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36"/>
          <w:szCs w:val="36"/>
        </w:rPr>
      </w:pPr>
      <w:bookmarkStart w:id="0" w:name="_Hlk57883707"/>
      <w:bookmarkStart w:id="30" w:name="_GoBack"/>
      <w:bookmarkEnd w:id="30"/>
    </w:p>
    <w:p>
      <w:pPr>
        <w:rPr>
          <w:sz w:val="36"/>
          <w:szCs w:val="36"/>
        </w:rPr>
      </w:pPr>
    </w:p>
    <w:p>
      <w:pPr>
        <w:rPr>
          <w:sz w:val="36"/>
          <w:szCs w:val="36"/>
        </w:rPr>
      </w:pPr>
    </w:p>
    <w:p>
      <w:pPr>
        <w:rPr>
          <w:sz w:val="36"/>
          <w:szCs w:val="36"/>
        </w:rPr>
      </w:pPr>
    </w:p>
    <w:bookmarkEnd w:id="0"/>
    <w:p>
      <w:pPr>
        <w:adjustRightInd w:val="0"/>
        <w:snapToGrid w:val="0"/>
        <w:jc w:val="center"/>
        <w:outlineLvl w:val="0"/>
        <w:rPr>
          <w:b/>
          <w:sz w:val="72"/>
          <w:szCs w:val="72"/>
        </w:rPr>
      </w:pPr>
      <w:bookmarkStart w:id="1" w:name="_Toc25099"/>
      <w:r>
        <w:rPr>
          <w:b/>
          <w:sz w:val="72"/>
          <w:szCs w:val="72"/>
        </w:rPr>
        <w:t>建设项目环境影响报告表</w:t>
      </w:r>
      <w:bookmarkEnd w:id="1"/>
    </w:p>
    <w:p>
      <w:pPr>
        <w:adjustRightInd w:val="0"/>
        <w:snapToGrid w:val="0"/>
        <w:spacing w:before="192" w:beforeLines="80"/>
        <w:jc w:val="center"/>
        <w:rPr>
          <w:bCs/>
          <w:sz w:val="48"/>
          <w:szCs w:val="48"/>
        </w:rPr>
      </w:pPr>
      <w:r>
        <w:rPr>
          <w:b/>
          <w:sz w:val="48"/>
          <w:szCs w:val="48"/>
        </w:rPr>
        <w:t>（生态影响类）</w:t>
      </w:r>
    </w:p>
    <w:p>
      <w:pPr>
        <w:adjustRightInd w:val="0"/>
        <w:snapToGrid w:val="0"/>
        <w:spacing w:line="288" w:lineRule="auto"/>
        <w:jc w:val="center"/>
        <w:rPr>
          <w:color w:val="000000"/>
          <w:kern w:val="44"/>
          <w:sz w:val="44"/>
          <w:szCs w:val="44"/>
        </w:rPr>
      </w:pPr>
      <w:bookmarkStart w:id="2" w:name="_Hlk57883728"/>
    </w:p>
    <w:p>
      <w:pPr>
        <w:jc w:val="center"/>
        <w:rPr>
          <w:sz w:val="52"/>
          <w:szCs w:val="52"/>
        </w:rPr>
      </w:pPr>
    </w:p>
    <w:p>
      <w:pPr>
        <w:ind w:firstLine="1040"/>
        <w:rPr>
          <w:sz w:val="44"/>
          <w:szCs w:val="44"/>
        </w:rPr>
      </w:pPr>
    </w:p>
    <w:p>
      <w:pPr>
        <w:ind w:firstLine="1040"/>
        <w:rPr>
          <w:sz w:val="44"/>
          <w:szCs w:val="44"/>
        </w:rPr>
      </w:pPr>
    </w:p>
    <w:p>
      <w:pPr>
        <w:ind w:firstLine="1040"/>
        <w:rPr>
          <w:sz w:val="44"/>
          <w:szCs w:val="44"/>
        </w:rPr>
      </w:pPr>
    </w:p>
    <w:p>
      <w:pPr>
        <w:ind w:firstLine="1040"/>
        <w:rPr>
          <w:sz w:val="44"/>
          <w:szCs w:val="44"/>
        </w:rPr>
      </w:pPr>
    </w:p>
    <w:p>
      <w:pPr>
        <w:ind w:firstLine="1040"/>
        <w:rPr>
          <w:sz w:val="44"/>
          <w:szCs w:val="44"/>
        </w:rPr>
      </w:pPr>
    </w:p>
    <w:p>
      <w:pPr>
        <w:ind w:firstLine="1040"/>
        <w:rPr>
          <w:sz w:val="44"/>
          <w:szCs w:val="44"/>
        </w:rPr>
      </w:pPr>
    </w:p>
    <w:p>
      <w:pPr>
        <w:ind w:firstLine="1040"/>
        <w:rPr>
          <w:sz w:val="44"/>
          <w:szCs w:val="44"/>
        </w:rPr>
      </w:pPr>
    </w:p>
    <w:bookmarkEnd w:id="2"/>
    <w:p>
      <w:pPr>
        <w:spacing w:after="120" w:line="360" w:lineRule="auto"/>
        <w:ind w:firstLine="560" w:firstLineChars="200"/>
        <w:jc w:val="left"/>
        <w:rPr>
          <w:sz w:val="28"/>
          <w:szCs w:val="28"/>
          <w:u w:val="single"/>
        </w:rPr>
      </w:pPr>
      <w:r>
        <w:rPr>
          <w:sz w:val="28"/>
          <w:szCs w:val="28"/>
        </w:rPr>
        <w:t>项目名称：</w:t>
      </w:r>
      <w:r>
        <w:rPr>
          <w:rFonts w:hint="eastAsia"/>
          <w:sz w:val="28"/>
          <w:szCs w:val="28"/>
          <w:u w:val="single"/>
        </w:rPr>
        <w:t xml:space="preserve"> 湖南省丰惠生态养殖有限公司稻蛙共作生态养殖项目           </w:t>
      </w:r>
    </w:p>
    <w:p>
      <w:pPr>
        <w:spacing w:line="480" w:lineRule="auto"/>
        <w:ind w:firstLine="560" w:firstLineChars="200"/>
        <w:jc w:val="left"/>
        <w:rPr>
          <w:sz w:val="28"/>
          <w:szCs w:val="28"/>
          <w:u w:val="single"/>
        </w:rPr>
      </w:pPr>
      <w:r>
        <w:rPr>
          <w:sz w:val="28"/>
          <w:szCs w:val="28"/>
        </w:rPr>
        <w:t>建设单位</w:t>
      </w:r>
      <w:r>
        <w:rPr>
          <w:rFonts w:hint="eastAsia"/>
          <w:sz w:val="28"/>
          <w:szCs w:val="28"/>
        </w:rPr>
        <w:t>（盖章）</w:t>
      </w:r>
      <w:r>
        <w:rPr>
          <w:sz w:val="28"/>
          <w:szCs w:val="28"/>
        </w:rPr>
        <w:t>：</w:t>
      </w:r>
      <w:r>
        <w:rPr>
          <w:sz w:val="28"/>
          <w:szCs w:val="28"/>
          <w:u w:val="single"/>
        </w:rPr>
        <w:t xml:space="preserve"> </w:t>
      </w:r>
      <w:r>
        <w:rPr>
          <w:rFonts w:hint="eastAsia"/>
          <w:sz w:val="28"/>
          <w:szCs w:val="28"/>
          <w:u w:val="single"/>
        </w:rPr>
        <w:t xml:space="preserve">湖南省丰惠生态养殖有限公司               </w:t>
      </w:r>
    </w:p>
    <w:p>
      <w:pPr>
        <w:adjustRightInd w:val="0"/>
        <w:snapToGrid w:val="0"/>
        <w:spacing w:line="288" w:lineRule="auto"/>
        <w:ind w:firstLine="560" w:firstLineChars="200"/>
        <w:rPr>
          <w:sz w:val="28"/>
          <w:szCs w:val="28"/>
          <w:u w:val="single"/>
        </w:rPr>
      </w:pPr>
      <w:r>
        <w:rPr>
          <w:rFonts w:hint="eastAsia"/>
          <w:sz w:val="28"/>
          <w:szCs w:val="28"/>
        </w:rPr>
        <w:t>编制日期：</w:t>
      </w:r>
      <w:r>
        <w:rPr>
          <w:rFonts w:hint="eastAsia"/>
          <w:sz w:val="28"/>
          <w:szCs w:val="28"/>
          <w:u w:val="single"/>
        </w:rPr>
        <w:t xml:space="preserve">             2022年4月                         </w:t>
      </w:r>
    </w:p>
    <w:p>
      <w:pPr>
        <w:adjustRightInd w:val="0"/>
        <w:snapToGrid w:val="0"/>
        <w:spacing w:line="288" w:lineRule="auto"/>
        <w:ind w:firstLine="1040"/>
        <w:rPr>
          <w:sz w:val="36"/>
          <w:szCs w:val="36"/>
        </w:rPr>
      </w:pPr>
    </w:p>
    <w:p>
      <w:pPr>
        <w:adjustRightInd w:val="0"/>
        <w:snapToGrid w:val="0"/>
        <w:spacing w:line="288" w:lineRule="auto"/>
        <w:ind w:firstLine="1040"/>
        <w:rPr>
          <w:sz w:val="36"/>
          <w:szCs w:val="36"/>
        </w:rPr>
      </w:pPr>
    </w:p>
    <w:p>
      <w:pPr>
        <w:adjustRightInd w:val="0"/>
        <w:snapToGrid w:val="0"/>
        <w:spacing w:line="288" w:lineRule="auto"/>
        <w:ind w:firstLine="1040"/>
        <w:rPr>
          <w:sz w:val="36"/>
          <w:szCs w:val="36"/>
        </w:rPr>
      </w:pPr>
    </w:p>
    <w:p>
      <w:pPr>
        <w:adjustRightInd w:val="0"/>
        <w:snapToGrid w:val="0"/>
        <w:spacing w:line="288" w:lineRule="auto"/>
        <w:ind w:firstLine="1040"/>
        <w:rPr>
          <w:sz w:val="36"/>
          <w:szCs w:val="36"/>
        </w:rPr>
      </w:pPr>
    </w:p>
    <w:p>
      <w:pPr>
        <w:adjustRightInd w:val="0"/>
        <w:snapToGrid w:val="0"/>
        <w:spacing w:line="288" w:lineRule="auto"/>
        <w:jc w:val="center"/>
        <w:rPr>
          <w:sz w:val="36"/>
          <w:szCs w:val="36"/>
        </w:rPr>
      </w:pPr>
      <w:r>
        <w:rPr>
          <w:b/>
          <w:bCs/>
          <w:sz w:val="36"/>
          <w:szCs w:val="36"/>
        </w:rPr>
        <w:t>中华人民共和国生态环境部制</w:t>
      </w:r>
    </w:p>
    <w:p>
      <w:pPr>
        <w:adjustRightInd w:val="0"/>
        <w:snapToGrid w:val="0"/>
        <w:spacing w:line="288" w:lineRule="auto"/>
        <w:ind w:firstLine="1040"/>
        <w:rPr>
          <w:sz w:val="36"/>
          <w:szCs w:val="36"/>
        </w:rPr>
        <w:sectPr>
          <w:headerReference r:id="rId3" w:type="default"/>
          <w:footerReference r:id="rId4" w:type="default"/>
          <w:footerReference r:id="rId5" w:type="even"/>
          <w:pgSz w:w="11906" w:h="16838"/>
          <w:pgMar w:top="1701" w:right="1531" w:bottom="1701" w:left="1531" w:header="851" w:footer="1077" w:gutter="0"/>
          <w:pgNumType w:start="21"/>
          <w:cols w:space="720" w:num="1"/>
          <w:docGrid w:linePitch="312" w:charSpace="0"/>
        </w:sectPr>
      </w:pPr>
    </w:p>
    <w:p>
      <w:pPr>
        <w:adjustRightInd w:val="0"/>
        <w:snapToGrid w:val="0"/>
        <w:spacing w:line="360" w:lineRule="auto"/>
        <w:jc w:val="center"/>
        <w:rPr>
          <w:b/>
          <w:bCs/>
          <w:sz w:val="30"/>
          <w:szCs w:val="30"/>
        </w:rPr>
      </w:pPr>
      <w:r>
        <w:rPr>
          <w:rFonts w:ascii="宋体" w:hAnsi="宋体"/>
          <w:b/>
          <w:bCs/>
          <w:sz w:val="32"/>
          <w:szCs w:val="32"/>
        </w:rPr>
        <w:t>目</w:t>
      </w:r>
      <w:r>
        <w:rPr>
          <w:rFonts w:hint="eastAsia" w:ascii="宋体" w:hAnsi="宋体"/>
          <w:b/>
          <w:bCs/>
          <w:sz w:val="32"/>
          <w:szCs w:val="32"/>
        </w:rPr>
        <w:t xml:space="preserve">  </w:t>
      </w:r>
      <w:r>
        <w:rPr>
          <w:rFonts w:ascii="宋体" w:hAnsi="宋体"/>
          <w:b/>
          <w:bCs/>
          <w:sz w:val="32"/>
          <w:szCs w:val="32"/>
        </w:rPr>
        <w:t>录</w:t>
      </w:r>
    </w:p>
    <w:p>
      <w:pPr>
        <w:pStyle w:val="48"/>
        <w:tabs>
          <w:tab w:val="right" w:leader="dot" w:pos="8844"/>
        </w:tabs>
        <w:adjustRightInd w:val="0"/>
        <w:snapToGrid w:val="0"/>
        <w:spacing w:line="360" w:lineRule="auto"/>
        <w:rPr>
          <w:sz w:val="28"/>
          <w:szCs w:val="28"/>
        </w:rPr>
      </w:pPr>
      <w:r>
        <w:rPr>
          <w:sz w:val="28"/>
          <w:szCs w:val="28"/>
        </w:rPr>
        <w:fldChar w:fldCharType="begin"/>
      </w:r>
      <w:r>
        <w:rPr>
          <w:sz w:val="28"/>
          <w:szCs w:val="28"/>
        </w:rPr>
        <w:instrText xml:space="preserve">TOC \o "1-1" \h \u </w:instrText>
      </w:r>
      <w:r>
        <w:rPr>
          <w:sz w:val="28"/>
          <w:szCs w:val="28"/>
        </w:rPr>
        <w:fldChar w:fldCharType="separate"/>
      </w:r>
      <w:r>
        <w:fldChar w:fldCharType="begin"/>
      </w:r>
      <w:r>
        <w:instrText xml:space="preserve"> HYPERLINK \l "_Toc24654" </w:instrText>
      </w:r>
      <w:r>
        <w:fldChar w:fldCharType="separate"/>
      </w:r>
      <w:r>
        <w:rPr>
          <w:bCs/>
          <w:snapToGrid w:val="0"/>
          <w:sz w:val="28"/>
          <w:szCs w:val="28"/>
        </w:rPr>
        <w:t>一、建设项目基本情况</w:t>
      </w:r>
      <w:r>
        <w:rPr>
          <w:sz w:val="28"/>
          <w:szCs w:val="28"/>
        </w:rPr>
        <w:tab/>
      </w:r>
      <w:r>
        <w:rPr>
          <w:sz w:val="28"/>
          <w:szCs w:val="28"/>
        </w:rPr>
        <w:fldChar w:fldCharType="begin"/>
      </w:r>
      <w:r>
        <w:rPr>
          <w:sz w:val="28"/>
          <w:szCs w:val="28"/>
        </w:rPr>
        <w:instrText xml:space="preserve"> PAGEREF _Toc24654 \h </w:instrText>
      </w:r>
      <w:r>
        <w:rPr>
          <w:sz w:val="28"/>
          <w:szCs w:val="28"/>
        </w:rPr>
        <w:fldChar w:fldCharType="separate"/>
      </w:r>
      <w:r>
        <w:rPr>
          <w:sz w:val="28"/>
          <w:szCs w:val="28"/>
        </w:rPr>
        <w:t>1</w:t>
      </w:r>
      <w:r>
        <w:rPr>
          <w:sz w:val="28"/>
          <w:szCs w:val="28"/>
        </w:rPr>
        <w:fldChar w:fldCharType="end"/>
      </w:r>
      <w:r>
        <w:rPr>
          <w:sz w:val="28"/>
          <w:szCs w:val="28"/>
        </w:rPr>
        <w:fldChar w:fldCharType="end"/>
      </w:r>
    </w:p>
    <w:p>
      <w:pPr>
        <w:pStyle w:val="48"/>
        <w:tabs>
          <w:tab w:val="right" w:leader="dot" w:pos="8844"/>
        </w:tabs>
        <w:adjustRightInd w:val="0"/>
        <w:snapToGrid w:val="0"/>
        <w:spacing w:line="360" w:lineRule="auto"/>
        <w:rPr>
          <w:sz w:val="28"/>
          <w:szCs w:val="28"/>
        </w:rPr>
      </w:pPr>
      <w:r>
        <w:fldChar w:fldCharType="begin"/>
      </w:r>
      <w:r>
        <w:instrText xml:space="preserve"> HYPERLINK \l "_Toc21551" </w:instrText>
      </w:r>
      <w:r>
        <w:fldChar w:fldCharType="separate"/>
      </w:r>
      <w:r>
        <w:rPr>
          <w:bCs/>
          <w:snapToGrid w:val="0"/>
          <w:sz w:val="28"/>
          <w:szCs w:val="28"/>
        </w:rPr>
        <w:t>二、建设内容</w:t>
      </w:r>
      <w:r>
        <w:rPr>
          <w:sz w:val="28"/>
          <w:szCs w:val="28"/>
        </w:rPr>
        <w:tab/>
      </w:r>
      <w:r>
        <w:rPr>
          <w:sz w:val="28"/>
          <w:szCs w:val="28"/>
        </w:rPr>
        <w:fldChar w:fldCharType="begin"/>
      </w:r>
      <w:r>
        <w:rPr>
          <w:sz w:val="28"/>
          <w:szCs w:val="28"/>
        </w:rPr>
        <w:instrText xml:space="preserve"> PAGEREF _Toc21551 \h </w:instrText>
      </w:r>
      <w:r>
        <w:rPr>
          <w:sz w:val="28"/>
          <w:szCs w:val="28"/>
        </w:rPr>
        <w:fldChar w:fldCharType="separate"/>
      </w:r>
      <w:r>
        <w:rPr>
          <w:sz w:val="28"/>
          <w:szCs w:val="28"/>
        </w:rPr>
        <w:t>8</w:t>
      </w:r>
      <w:r>
        <w:rPr>
          <w:sz w:val="28"/>
          <w:szCs w:val="28"/>
        </w:rPr>
        <w:fldChar w:fldCharType="end"/>
      </w:r>
      <w:r>
        <w:rPr>
          <w:sz w:val="28"/>
          <w:szCs w:val="28"/>
        </w:rPr>
        <w:fldChar w:fldCharType="end"/>
      </w:r>
    </w:p>
    <w:p>
      <w:pPr>
        <w:pStyle w:val="48"/>
        <w:tabs>
          <w:tab w:val="right" w:leader="dot" w:pos="8844"/>
        </w:tabs>
        <w:adjustRightInd w:val="0"/>
        <w:snapToGrid w:val="0"/>
        <w:spacing w:line="360" w:lineRule="auto"/>
        <w:rPr>
          <w:sz w:val="28"/>
          <w:szCs w:val="28"/>
        </w:rPr>
      </w:pPr>
      <w:r>
        <w:fldChar w:fldCharType="begin"/>
      </w:r>
      <w:r>
        <w:instrText xml:space="preserve"> HYPERLINK \l "_Toc28992" </w:instrText>
      </w:r>
      <w:r>
        <w:fldChar w:fldCharType="separate"/>
      </w:r>
      <w:r>
        <w:rPr>
          <w:bCs/>
          <w:snapToGrid w:val="0"/>
          <w:sz w:val="28"/>
          <w:szCs w:val="28"/>
        </w:rPr>
        <w:t>三、生态环境现状、保护目标及评价标准</w:t>
      </w:r>
      <w:r>
        <w:rPr>
          <w:sz w:val="28"/>
          <w:szCs w:val="28"/>
        </w:rPr>
        <w:tab/>
      </w:r>
      <w:r>
        <w:rPr>
          <w:sz w:val="28"/>
          <w:szCs w:val="28"/>
        </w:rPr>
        <w:fldChar w:fldCharType="begin"/>
      </w:r>
      <w:r>
        <w:rPr>
          <w:sz w:val="28"/>
          <w:szCs w:val="28"/>
        </w:rPr>
        <w:instrText xml:space="preserve"> PAGEREF _Toc28992 \h </w:instrText>
      </w:r>
      <w:r>
        <w:rPr>
          <w:sz w:val="28"/>
          <w:szCs w:val="28"/>
        </w:rPr>
        <w:fldChar w:fldCharType="separate"/>
      </w:r>
      <w:r>
        <w:rPr>
          <w:sz w:val="28"/>
          <w:szCs w:val="28"/>
        </w:rPr>
        <w:t>15</w:t>
      </w:r>
      <w:r>
        <w:rPr>
          <w:sz w:val="28"/>
          <w:szCs w:val="28"/>
        </w:rPr>
        <w:fldChar w:fldCharType="end"/>
      </w:r>
      <w:r>
        <w:rPr>
          <w:sz w:val="28"/>
          <w:szCs w:val="28"/>
        </w:rPr>
        <w:fldChar w:fldCharType="end"/>
      </w:r>
    </w:p>
    <w:p>
      <w:pPr>
        <w:pStyle w:val="48"/>
        <w:tabs>
          <w:tab w:val="right" w:leader="dot" w:pos="8844"/>
        </w:tabs>
        <w:adjustRightInd w:val="0"/>
        <w:snapToGrid w:val="0"/>
        <w:spacing w:line="360" w:lineRule="auto"/>
        <w:rPr>
          <w:sz w:val="28"/>
          <w:szCs w:val="28"/>
        </w:rPr>
      </w:pPr>
      <w:r>
        <w:fldChar w:fldCharType="begin"/>
      </w:r>
      <w:r>
        <w:instrText xml:space="preserve"> HYPERLINK \l "_Toc8673" </w:instrText>
      </w:r>
      <w:r>
        <w:fldChar w:fldCharType="separate"/>
      </w:r>
      <w:r>
        <w:rPr>
          <w:bCs/>
          <w:snapToGrid w:val="0"/>
          <w:sz w:val="28"/>
          <w:szCs w:val="28"/>
        </w:rPr>
        <w:t>四、生态环境影响分析</w:t>
      </w:r>
      <w:r>
        <w:rPr>
          <w:sz w:val="28"/>
          <w:szCs w:val="28"/>
        </w:rPr>
        <w:tab/>
      </w:r>
      <w:r>
        <w:rPr>
          <w:sz w:val="28"/>
          <w:szCs w:val="28"/>
        </w:rPr>
        <w:fldChar w:fldCharType="begin"/>
      </w:r>
      <w:r>
        <w:rPr>
          <w:sz w:val="28"/>
          <w:szCs w:val="28"/>
        </w:rPr>
        <w:instrText xml:space="preserve"> PAGEREF _Toc8673 \h </w:instrText>
      </w:r>
      <w:r>
        <w:rPr>
          <w:sz w:val="28"/>
          <w:szCs w:val="28"/>
        </w:rPr>
        <w:fldChar w:fldCharType="separate"/>
      </w:r>
      <w:r>
        <w:rPr>
          <w:sz w:val="28"/>
          <w:szCs w:val="28"/>
        </w:rPr>
        <w:t>23</w:t>
      </w:r>
      <w:r>
        <w:rPr>
          <w:sz w:val="28"/>
          <w:szCs w:val="28"/>
        </w:rPr>
        <w:fldChar w:fldCharType="end"/>
      </w:r>
      <w:r>
        <w:rPr>
          <w:sz w:val="28"/>
          <w:szCs w:val="28"/>
        </w:rPr>
        <w:fldChar w:fldCharType="end"/>
      </w:r>
    </w:p>
    <w:p>
      <w:pPr>
        <w:pStyle w:val="48"/>
        <w:tabs>
          <w:tab w:val="right" w:leader="dot" w:pos="8844"/>
        </w:tabs>
        <w:adjustRightInd w:val="0"/>
        <w:snapToGrid w:val="0"/>
        <w:spacing w:line="360" w:lineRule="auto"/>
        <w:rPr>
          <w:sz w:val="28"/>
          <w:szCs w:val="28"/>
        </w:rPr>
      </w:pPr>
      <w:r>
        <w:fldChar w:fldCharType="begin"/>
      </w:r>
      <w:r>
        <w:instrText xml:space="preserve"> HYPERLINK \l "_Toc25265" </w:instrText>
      </w:r>
      <w:r>
        <w:fldChar w:fldCharType="separate"/>
      </w:r>
      <w:r>
        <w:rPr>
          <w:bCs/>
          <w:snapToGrid w:val="0"/>
          <w:sz w:val="28"/>
          <w:szCs w:val="28"/>
        </w:rPr>
        <w:t>五、主要生态环境保护措施</w:t>
      </w:r>
      <w:r>
        <w:rPr>
          <w:sz w:val="28"/>
          <w:szCs w:val="28"/>
        </w:rPr>
        <w:tab/>
      </w:r>
      <w:r>
        <w:rPr>
          <w:sz w:val="28"/>
          <w:szCs w:val="28"/>
        </w:rPr>
        <w:fldChar w:fldCharType="begin"/>
      </w:r>
      <w:r>
        <w:rPr>
          <w:sz w:val="28"/>
          <w:szCs w:val="28"/>
        </w:rPr>
        <w:instrText xml:space="preserve"> PAGEREF _Toc25265 \h </w:instrText>
      </w:r>
      <w:r>
        <w:rPr>
          <w:sz w:val="28"/>
          <w:szCs w:val="28"/>
        </w:rPr>
        <w:fldChar w:fldCharType="separate"/>
      </w:r>
      <w:r>
        <w:rPr>
          <w:sz w:val="28"/>
          <w:szCs w:val="28"/>
        </w:rPr>
        <w:t>38</w:t>
      </w:r>
      <w:r>
        <w:rPr>
          <w:sz w:val="28"/>
          <w:szCs w:val="28"/>
        </w:rPr>
        <w:fldChar w:fldCharType="end"/>
      </w:r>
      <w:r>
        <w:rPr>
          <w:sz w:val="28"/>
          <w:szCs w:val="28"/>
        </w:rPr>
        <w:fldChar w:fldCharType="end"/>
      </w:r>
    </w:p>
    <w:p>
      <w:pPr>
        <w:pStyle w:val="48"/>
        <w:tabs>
          <w:tab w:val="right" w:leader="dot" w:pos="8844"/>
        </w:tabs>
        <w:adjustRightInd w:val="0"/>
        <w:snapToGrid w:val="0"/>
        <w:spacing w:line="360" w:lineRule="auto"/>
        <w:rPr>
          <w:sz w:val="28"/>
          <w:szCs w:val="28"/>
        </w:rPr>
      </w:pPr>
      <w:r>
        <w:fldChar w:fldCharType="begin"/>
      </w:r>
      <w:r>
        <w:instrText xml:space="preserve"> HYPERLINK \l "_Toc10651" </w:instrText>
      </w:r>
      <w:r>
        <w:fldChar w:fldCharType="separate"/>
      </w:r>
      <w:r>
        <w:rPr>
          <w:bCs/>
          <w:snapToGrid w:val="0"/>
          <w:sz w:val="28"/>
          <w:szCs w:val="28"/>
        </w:rPr>
        <w:t>六、生态环境保护措施监督检查清单</w:t>
      </w:r>
      <w:r>
        <w:rPr>
          <w:sz w:val="28"/>
          <w:szCs w:val="28"/>
        </w:rPr>
        <w:tab/>
      </w:r>
      <w:r>
        <w:rPr>
          <w:sz w:val="28"/>
          <w:szCs w:val="28"/>
        </w:rPr>
        <w:fldChar w:fldCharType="begin"/>
      </w:r>
      <w:r>
        <w:rPr>
          <w:sz w:val="28"/>
          <w:szCs w:val="28"/>
        </w:rPr>
        <w:instrText xml:space="preserve"> PAGEREF _Toc10651 \h </w:instrText>
      </w:r>
      <w:r>
        <w:rPr>
          <w:sz w:val="28"/>
          <w:szCs w:val="28"/>
        </w:rPr>
        <w:fldChar w:fldCharType="separate"/>
      </w:r>
      <w:r>
        <w:rPr>
          <w:sz w:val="28"/>
          <w:szCs w:val="28"/>
        </w:rPr>
        <w:t>47</w:t>
      </w:r>
      <w:r>
        <w:rPr>
          <w:sz w:val="28"/>
          <w:szCs w:val="28"/>
        </w:rPr>
        <w:fldChar w:fldCharType="end"/>
      </w:r>
      <w:r>
        <w:rPr>
          <w:sz w:val="28"/>
          <w:szCs w:val="28"/>
        </w:rPr>
        <w:fldChar w:fldCharType="end"/>
      </w:r>
    </w:p>
    <w:p>
      <w:pPr>
        <w:pStyle w:val="48"/>
        <w:tabs>
          <w:tab w:val="right" w:leader="dot" w:pos="8844"/>
        </w:tabs>
        <w:adjustRightInd w:val="0"/>
        <w:snapToGrid w:val="0"/>
        <w:spacing w:line="360" w:lineRule="auto"/>
        <w:rPr>
          <w:sz w:val="28"/>
          <w:szCs w:val="28"/>
        </w:rPr>
      </w:pPr>
      <w:r>
        <w:fldChar w:fldCharType="begin"/>
      </w:r>
      <w:r>
        <w:instrText xml:space="preserve"> HYPERLINK \l "_Toc30086" </w:instrText>
      </w:r>
      <w:r>
        <w:fldChar w:fldCharType="separate"/>
      </w:r>
      <w:r>
        <w:rPr>
          <w:bCs/>
          <w:snapToGrid w:val="0"/>
          <w:sz w:val="28"/>
          <w:szCs w:val="28"/>
        </w:rPr>
        <w:t>七、结论</w:t>
      </w:r>
      <w:r>
        <w:rPr>
          <w:sz w:val="28"/>
          <w:szCs w:val="28"/>
        </w:rPr>
        <w:tab/>
      </w:r>
      <w:r>
        <w:rPr>
          <w:sz w:val="28"/>
          <w:szCs w:val="28"/>
        </w:rPr>
        <w:fldChar w:fldCharType="begin"/>
      </w:r>
      <w:r>
        <w:rPr>
          <w:sz w:val="28"/>
          <w:szCs w:val="28"/>
        </w:rPr>
        <w:instrText xml:space="preserve"> PAGEREF _Toc30086 \h </w:instrText>
      </w:r>
      <w:r>
        <w:rPr>
          <w:sz w:val="28"/>
          <w:szCs w:val="28"/>
        </w:rPr>
        <w:fldChar w:fldCharType="separate"/>
      </w:r>
      <w:r>
        <w:rPr>
          <w:sz w:val="28"/>
          <w:szCs w:val="28"/>
        </w:rPr>
        <w:t>49</w:t>
      </w:r>
      <w:r>
        <w:rPr>
          <w:sz w:val="28"/>
          <w:szCs w:val="28"/>
        </w:rPr>
        <w:fldChar w:fldCharType="end"/>
      </w:r>
      <w:r>
        <w:rPr>
          <w:sz w:val="28"/>
          <w:szCs w:val="28"/>
        </w:rPr>
        <w:fldChar w:fldCharType="end"/>
      </w:r>
    </w:p>
    <w:p>
      <w:pPr>
        <w:adjustRightInd w:val="0"/>
        <w:snapToGrid w:val="0"/>
        <w:spacing w:line="380" w:lineRule="exact"/>
        <w:ind w:firstLine="560" w:firstLineChars="200"/>
        <w:jc w:val="left"/>
        <w:sectPr>
          <w:pgSz w:w="11906" w:h="16838"/>
          <w:pgMar w:top="1701" w:right="1531" w:bottom="1701" w:left="1531" w:header="851" w:footer="1077" w:gutter="0"/>
          <w:pgNumType w:start="21"/>
          <w:cols w:space="720" w:num="1"/>
          <w:docGrid w:linePitch="312" w:charSpace="0"/>
        </w:sectPr>
      </w:pPr>
      <w:r>
        <w:rPr>
          <w:sz w:val="28"/>
          <w:szCs w:val="28"/>
        </w:rPr>
        <w:fldChar w:fldCharType="end"/>
      </w:r>
    </w:p>
    <w:p>
      <w:pPr>
        <w:pStyle w:val="22"/>
        <w:adjustRightInd w:val="0"/>
        <w:snapToGrid w:val="0"/>
        <w:spacing w:before="0" w:beforeAutospacing="0" w:after="0" w:afterAutospacing="0"/>
        <w:jc w:val="center"/>
        <w:outlineLvl w:val="0"/>
        <w:rPr>
          <w:rFonts w:ascii="Times New Roman" w:hAnsi="Times New Roman"/>
          <w:snapToGrid w:val="0"/>
          <w:sz w:val="30"/>
          <w:szCs w:val="30"/>
        </w:rPr>
      </w:pPr>
      <w:bookmarkStart w:id="3" w:name="_Toc24654"/>
      <w:r>
        <w:rPr>
          <w:rFonts w:ascii="Times New Roman" w:hAnsi="Times New Roman"/>
          <w:b/>
          <w:bCs/>
          <w:snapToGrid w:val="0"/>
          <w:sz w:val="30"/>
          <w:szCs w:val="30"/>
        </w:rPr>
        <w:t>一、建设项目基本情况</w:t>
      </w:r>
      <w:bookmarkEnd w:id="3"/>
    </w:p>
    <w:tbl>
      <w:tblPr>
        <w:tblStyle w:val="24"/>
        <w:tblW w:w="9039" w:type="dxa"/>
        <w:tblInd w:w="16"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0" w:type="dxa"/>
          <w:bottom w:w="0" w:type="dxa"/>
          <w:right w:w="0" w:type="dxa"/>
        </w:tblCellMar>
      </w:tblPr>
      <w:tblGrid>
        <w:gridCol w:w="2226"/>
        <w:gridCol w:w="2043"/>
        <w:gridCol w:w="2218"/>
        <w:gridCol w:w="10"/>
        <w:gridCol w:w="254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2" w:hRule="atLeast"/>
        </w:trPr>
        <w:tc>
          <w:tcPr>
            <w:tcW w:w="2226" w:type="dxa"/>
            <w:tcBorders>
              <w:tl2br w:val="nil"/>
              <w:tr2bl w:val="nil"/>
            </w:tcBorders>
            <w:tcMar>
              <w:top w:w="16" w:type="dxa"/>
              <w:left w:w="16" w:type="dxa"/>
              <w:right w:w="16" w:type="dxa"/>
            </w:tcMar>
            <w:vAlign w:val="center"/>
          </w:tcPr>
          <w:p>
            <w:pPr>
              <w:adjustRightInd w:val="0"/>
              <w:snapToGrid w:val="0"/>
              <w:jc w:val="center"/>
              <w:rPr>
                <w:sz w:val="24"/>
              </w:rPr>
            </w:pPr>
            <w:r>
              <w:rPr>
                <w:sz w:val="24"/>
              </w:rPr>
              <w:t>建设项目名称</w:t>
            </w:r>
          </w:p>
        </w:tc>
        <w:tc>
          <w:tcPr>
            <w:tcW w:w="6813" w:type="dxa"/>
            <w:gridSpan w:val="4"/>
            <w:tcBorders>
              <w:tl2br w:val="nil"/>
              <w:tr2bl w:val="nil"/>
            </w:tcBorders>
            <w:vAlign w:val="center"/>
          </w:tcPr>
          <w:p>
            <w:pPr>
              <w:adjustRightInd w:val="0"/>
              <w:snapToGrid w:val="0"/>
              <w:jc w:val="center"/>
              <w:rPr>
                <w:sz w:val="24"/>
              </w:rPr>
            </w:pPr>
            <w:r>
              <w:rPr>
                <w:rFonts w:hint="eastAsia"/>
                <w:sz w:val="24"/>
              </w:rPr>
              <w:t>湖南省丰惠生态养殖有限公司稻蛙共作生态养殖项目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55" w:hRule="atLeast"/>
        </w:trPr>
        <w:tc>
          <w:tcPr>
            <w:tcW w:w="2226" w:type="dxa"/>
            <w:tcBorders>
              <w:tl2br w:val="nil"/>
              <w:tr2bl w:val="nil"/>
            </w:tcBorders>
            <w:tcMar>
              <w:top w:w="16" w:type="dxa"/>
              <w:left w:w="16" w:type="dxa"/>
              <w:right w:w="16" w:type="dxa"/>
            </w:tcMar>
            <w:vAlign w:val="center"/>
          </w:tcPr>
          <w:p>
            <w:pPr>
              <w:adjustRightInd w:val="0"/>
              <w:snapToGrid w:val="0"/>
              <w:jc w:val="center"/>
              <w:rPr>
                <w:sz w:val="24"/>
              </w:rPr>
            </w:pPr>
            <w:r>
              <w:rPr>
                <w:sz w:val="24"/>
              </w:rPr>
              <w:t>项目代码</w:t>
            </w:r>
          </w:p>
        </w:tc>
        <w:tc>
          <w:tcPr>
            <w:tcW w:w="6813" w:type="dxa"/>
            <w:gridSpan w:val="4"/>
            <w:tcBorders>
              <w:tl2br w:val="nil"/>
              <w:tr2bl w:val="nil"/>
            </w:tcBorders>
            <w:vAlign w:val="center"/>
          </w:tcPr>
          <w:p>
            <w:pPr>
              <w:adjustRightInd w:val="0"/>
              <w:snapToGrid w:val="0"/>
              <w:jc w:val="center"/>
              <w:rPr>
                <w:sz w:val="24"/>
              </w:rPr>
            </w:pPr>
            <w:r>
              <w:rPr>
                <w:rFonts w:hint="eastAsia"/>
                <w:sz w:val="24"/>
              </w:rPr>
              <w:t>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2" w:hRule="atLeast"/>
        </w:trPr>
        <w:tc>
          <w:tcPr>
            <w:tcW w:w="2226" w:type="dxa"/>
            <w:tcBorders>
              <w:tl2br w:val="nil"/>
              <w:tr2bl w:val="nil"/>
            </w:tcBorders>
            <w:tcMar>
              <w:top w:w="16" w:type="dxa"/>
              <w:left w:w="16" w:type="dxa"/>
              <w:right w:w="16" w:type="dxa"/>
            </w:tcMar>
            <w:vAlign w:val="center"/>
          </w:tcPr>
          <w:p>
            <w:pPr>
              <w:adjustRightInd w:val="0"/>
              <w:snapToGrid w:val="0"/>
              <w:jc w:val="center"/>
              <w:rPr>
                <w:sz w:val="24"/>
              </w:rPr>
            </w:pPr>
            <w:r>
              <w:rPr>
                <w:sz w:val="24"/>
              </w:rPr>
              <w:t>建设单位联系人</w:t>
            </w:r>
          </w:p>
        </w:tc>
        <w:tc>
          <w:tcPr>
            <w:tcW w:w="2043" w:type="dxa"/>
            <w:tcBorders>
              <w:tl2br w:val="nil"/>
              <w:tr2bl w:val="nil"/>
            </w:tcBorders>
            <w:vAlign w:val="center"/>
          </w:tcPr>
          <w:p>
            <w:pPr>
              <w:adjustRightInd w:val="0"/>
              <w:snapToGrid w:val="0"/>
              <w:jc w:val="center"/>
              <w:rPr>
                <w:sz w:val="24"/>
              </w:rPr>
            </w:pPr>
            <w:r>
              <w:rPr>
                <w:rFonts w:hint="eastAsia" w:eastAsiaTheme="minorEastAsia"/>
                <w:sz w:val="24"/>
              </w:rPr>
              <w:t>陈全发</w:t>
            </w:r>
          </w:p>
        </w:tc>
        <w:tc>
          <w:tcPr>
            <w:tcW w:w="2228" w:type="dxa"/>
            <w:gridSpan w:val="2"/>
            <w:tcBorders>
              <w:tl2br w:val="nil"/>
              <w:tr2bl w:val="nil"/>
            </w:tcBorders>
            <w:vAlign w:val="center"/>
          </w:tcPr>
          <w:p>
            <w:pPr>
              <w:adjustRightInd w:val="0"/>
              <w:snapToGrid w:val="0"/>
              <w:jc w:val="center"/>
              <w:rPr>
                <w:sz w:val="24"/>
              </w:rPr>
            </w:pPr>
            <w:r>
              <w:rPr>
                <w:rFonts w:eastAsiaTheme="minorEastAsia"/>
                <w:sz w:val="24"/>
              </w:rPr>
              <w:t>联系方式</w:t>
            </w:r>
          </w:p>
        </w:tc>
        <w:tc>
          <w:tcPr>
            <w:tcW w:w="2542" w:type="dxa"/>
            <w:tcBorders>
              <w:tl2br w:val="nil"/>
              <w:tr2bl w:val="nil"/>
            </w:tcBorders>
            <w:vAlign w:val="center"/>
          </w:tcPr>
          <w:p>
            <w:pPr>
              <w:adjustRightInd w:val="0"/>
              <w:snapToGrid w:val="0"/>
              <w:jc w:val="center"/>
              <w:rPr>
                <w:sz w:val="24"/>
              </w:rPr>
            </w:pPr>
            <w:r>
              <w:rPr>
                <w:rFonts w:hint="eastAsia" w:eastAsiaTheme="minorEastAsia"/>
                <w:sz w:val="24"/>
              </w:rPr>
              <w:t>18182058888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2" w:hRule="atLeast"/>
        </w:trPr>
        <w:tc>
          <w:tcPr>
            <w:tcW w:w="2226" w:type="dxa"/>
            <w:tcBorders>
              <w:tl2br w:val="nil"/>
              <w:tr2bl w:val="nil"/>
            </w:tcBorders>
            <w:tcMar>
              <w:top w:w="16" w:type="dxa"/>
              <w:left w:w="16" w:type="dxa"/>
              <w:right w:w="16" w:type="dxa"/>
            </w:tcMar>
            <w:vAlign w:val="center"/>
          </w:tcPr>
          <w:p>
            <w:pPr>
              <w:adjustRightInd w:val="0"/>
              <w:snapToGrid w:val="0"/>
              <w:jc w:val="center"/>
              <w:rPr>
                <w:sz w:val="24"/>
              </w:rPr>
            </w:pPr>
            <w:r>
              <w:rPr>
                <w:sz w:val="24"/>
              </w:rPr>
              <w:t>建设地点</w:t>
            </w:r>
          </w:p>
        </w:tc>
        <w:tc>
          <w:tcPr>
            <w:tcW w:w="6813" w:type="dxa"/>
            <w:gridSpan w:val="4"/>
            <w:tcBorders>
              <w:tl2br w:val="nil"/>
              <w:tr2bl w:val="nil"/>
            </w:tcBorders>
            <w:vAlign w:val="center"/>
          </w:tcPr>
          <w:p>
            <w:pPr>
              <w:adjustRightInd w:val="0"/>
              <w:snapToGrid w:val="0"/>
              <w:jc w:val="center"/>
              <w:rPr>
                <w:sz w:val="24"/>
              </w:rPr>
            </w:pPr>
            <w:r>
              <w:rPr>
                <w:rFonts w:hint="eastAsia" w:eastAsiaTheme="minorEastAsia"/>
                <w:sz w:val="24"/>
                <w:u w:val="single"/>
              </w:rPr>
              <w:t xml:space="preserve"> </w:t>
            </w:r>
            <w:r>
              <w:rPr>
                <w:rFonts w:eastAsiaTheme="minorEastAsia"/>
                <w:sz w:val="24"/>
                <w:u w:val="single"/>
              </w:rPr>
              <w:t>湖南省</w:t>
            </w:r>
            <w:r>
              <w:rPr>
                <w:rFonts w:hint="eastAsia" w:eastAsiaTheme="minorEastAsia"/>
                <w:sz w:val="24"/>
                <w:u w:val="single"/>
              </w:rPr>
              <w:t xml:space="preserve"> </w:t>
            </w:r>
            <w:r>
              <w:rPr>
                <w:rFonts w:eastAsiaTheme="minorEastAsia"/>
                <w:sz w:val="24"/>
              </w:rPr>
              <w:t>（自治区）</w:t>
            </w:r>
            <w:r>
              <w:rPr>
                <w:rFonts w:hint="eastAsia" w:eastAsiaTheme="minorEastAsia"/>
                <w:sz w:val="24"/>
                <w:u w:val="single"/>
              </w:rPr>
              <w:t xml:space="preserve"> 永州 </w:t>
            </w:r>
            <w:r>
              <w:rPr>
                <w:rFonts w:eastAsiaTheme="minorEastAsia"/>
                <w:sz w:val="24"/>
              </w:rPr>
              <w:t>市</w:t>
            </w:r>
            <w:r>
              <w:rPr>
                <w:rFonts w:hint="eastAsia" w:eastAsiaTheme="minorEastAsia"/>
                <w:sz w:val="24"/>
                <w:u w:val="single"/>
              </w:rPr>
              <w:t xml:space="preserve"> 新田 </w:t>
            </w:r>
            <w:r>
              <w:rPr>
                <w:rFonts w:eastAsiaTheme="minorEastAsia"/>
                <w:sz w:val="24"/>
              </w:rPr>
              <w:t>县（区）</w:t>
            </w:r>
            <w:r>
              <w:rPr>
                <w:rFonts w:hint="eastAsia" w:eastAsiaTheme="minorEastAsia"/>
                <w:sz w:val="24"/>
                <w:u w:val="single"/>
              </w:rPr>
              <w:t xml:space="preserve"> 中山街道 </w:t>
            </w:r>
            <w:r>
              <w:rPr>
                <w:rFonts w:eastAsiaTheme="minorEastAsia"/>
                <w:sz w:val="24"/>
              </w:rPr>
              <w:t>镇（街道）</w:t>
            </w:r>
            <w:r>
              <w:rPr>
                <w:rFonts w:hint="eastAsia" w:eastAsiaTheme="minorEastAsia"/>
                <w:sz w:val="24"/>
                <w:u w:val="single"/>
              </w:rPr>
              <w:t xml:space="preserve"> 挂兰村 </w:t>
            </w:r>
            <w:r>
              <w:rPr>
                <w:rFonts w:eastAsiaTheme="minorEastAsia"/>
                <w:sz w:val="24"/>
              </w:rPr>
              <w:t>（具体地址）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55" w:hRule="atLeast"/>
        </w:trPr>
        <w:tc>
          <w:tcPr>
            <w:tcW w:w="2226" w:type="dxa"/>
            <w:tcBorders>
              <w:tl2br w:val="nil"/>
              <w:tr2bl w:val="nil"/>
            </w:tcBorders>
            <w:tcMar>
              <w:top w:w="16" w:type="dxa"/>
              <w:left w:w="16" w:type="dxa"/>
              <w:right w:w="16" w:type="dxa"/>
            </w:tcMar>
            <w:vAlign w:val="center"/>
          </w:tcPr>
          <w:p>
            <w:pPr>
              <w:adjustRightInd w:val="0"/>
              <w:snapToGrid w:val="0"/>
              <w:jc w:val="center"/>
              <w:rPr>
                <w:sz w:val="24"/>
              </w:rPr>
            </w:pPr>
            <w:r>
              <w:rPr>
                <w:sz w:val="24"/>
              </w:rPr>
              <w:t>地理坐标</w:t>
            </w:r>
          </w:p>
        </w:tc>
        <w:tc>
          <w:tcPr>
            <w:tcW w:w="6813" w:type="dxa"/>
            <w:gridSpan w:val="4"/>
            <w:tcBorders>
              <w:tl2br w:val="nil"/>
              <w:tr2bl w:val="nil"/>
            </w:tcBorders>
            <w:vAlign w:val="center"/>
          </w:tcPr>
          <w:p>
            <w:pPr>
              <w:adjustRightInd w:val="0"/>
              <w:snapToGrid w:val="0"/>
              <w:jc w:val="center"/>
              <w:rPr>
                <w:sz w:val="24"/>
              </w:rPr>
            </w:pPr>
            <w:r>
              <w:rPr>
                <w:rFonts w:eastAsiaTheme="minorEastAsia"/>
                <w:sz w:val="24"/>
              </w:rPr>
              <w:t>（</w:t>
            </w:r>
            <w:r>
              <w:rPr>
                <w:rFonts w:hint="eastAsia" w:eastAsiaTheme="minorEastAsia"/>
                <w:sz w:val="24"/>
                <w:u w:val="single"/>
              </w:rPr>
              <w:t xml:space="preserve"> </w:t>
            </w:r>
            <w:r>
              <w:rPr>
                <w:rFonts w:eastAsiaTheme="minorEastAsia"/>
                <w:sz w:val="24"/>
                <w:u w:val="single"/>
              </w:rPr>
              <w:t>11</w:t>
            </w:r>
            <w:r>
              <w:rPr>
                <w:rFonts w:hint="eastAsia" w:eastAsiaTheme="minorEastAsia"/>
                <w:sz w:val="24"/>
                <w:u w:val="single"/>
              </w:rPr>
              <w:t xml:space="preserve">2 </w:t>
            </w:r>
            <w:r>
              <w:rPr>
                <w:rFonts w:eastAsiaTheme="minorEastAsia"/>
                <w:sz w:val="24"/>
              </w:rPr>
              <w:t>度</w:t>
            </w:r>
            <w:r>
              <w:rPr>
                <w:rFonts w:hint="eastAsia" w:eastAsiaTheme="minorEastAsia"/>
                <w:sz w:val="24"/>
                <w:u w:val="single"/>
              </w:rPr>
              <w:t xml:space="preserve"> 14 </w:t>
            </w:r>
            <w:r>
              <w:rPr>
                <w:rFonts w:eastAsiaTheme="minorEastAsia"/>
                <w:sz w:val="24"/>
              </w:rPr>
              <w:t>分</w:t>
            </w:r>
            <w:r>
              <w:rPr>
                <w:rFonts w:hint="eastAsia" w:eastAsiaTheme="minorEastAsia"/>
                <w:sz w:val="24"/>
                <w:u w:val="single"/>
              </w:rPr>
              <w:t xml:space="preserve"> </w:t>
            </w:r>
            <w:r>
              <w:rPr>
                <w:rFonts w:eastAsiaTheme="minorEastAsia"/>
                <w:sz w:val="24"/>
                <w:u w:val="single"/>
              </w:rPr>
              <w:t>43.960</w:t>
            </w:r>
            <w:r>
              <w:rPr>
                <w:rFonts w:hint="eastAsia" w:eastAsiaTheme="minorEastAsia"/>
                <w:sz w:val="24"/>
                <w:u w:val="single"/>
              </w:rPr>
              <w:t xml:space="preserve"> </w:t>
            </w:r>
            <w:r>
              <w:rPr>
                <w:rFonts w:eastAsiaTheme="minorEastAsia"/>
                <w:sz w:val="24"/>
              </w:rPr>
              <w:t>秒，</w:t>
            </w:r>
            <w:r>
              <w:rPr>
                <w:rFonts w:hint="eastAsia" w:eastAsiaTheme="minorEastAsia"/>
                <w:sz w:val="24"/>
                <w:u w:val="single"/>
              </w:rPr>
              <w:t xml:space="preserve"> </w:t>
            </w:r>
            <w:r>
              <w:rPr>
                <w:rFonts w:eastAsiaTheme="minorEastAsia"/>
                <w:sz w:val="24"/>
                <w:u w:val="single"/>
              </w:rPr>
              <w:t>2</w:t>
            </w:r>
            <w:r>
              <w:rPr>
                <w:rFonts w:hint="eastAsia" w:eastAsiaTheme="minorEastAsia"/>
                <w:sz w:val="24"/>
                <w:u w:val="single"/>
              </w:rPr>
              <w:t xml:space="preserve">5 </w:t>
            </w:r>
            <w:r>
              <w:rPr>
                <w:rFonts w:eastAsiaTheme="minorEastAsia"/>
                <w:sz w:val="24"/>
              </w:rPr>
              <w:t>度</w:t>
            </w:r>
            <w:r>
              <w:rPr>
                <w:rFonts w:hint="eastAsia" w:eastAsiaTheme="minorEastAsia"/>
                <w:sz w:val="24"/>
                <w:u w:val="single"/>
              </w:rPr>
              <w:t xml:space="preserve"> 56 </w:t>
            </w:r>
            <w:r>
              <w:rPr>
                <w:rFonts w:eastAsiaTheme="minorEastAsia"/>
                <w:sz w:val="24"/>
              </w:rPr>
              <w:t>分</w:t>
            </w:r>
            <w:r>
              <w:rPr>
                <w:rFonts w:hint="eastAsia" w:eastAsiaTheme="minorEastAsia"/>
                <w:sz w:val="24"/>
                <w:u w:val="single"/>
              </w:rPr>
              <w:t xml:space="preserve"> </w:t>
            </w:r>
            <w:r>
              <w:rPr>
                <w:rFonts w:eastAsiaTheme="minorEastAsia"/>
                <w:sz w:val="24"/>
                <w:u w:val="single"/>
              </w:rPr>
              <w:t>56.591</w:t>
            </w:r>
            <w:r>
              <w:rPr>
                <w:rFonts w:hint="eastAsia" w:eastAsiaTheme="minorEastAsia"/>
                <w:sz w:val="24"/>
                <w:u w:val="single"/>
              </w:rPr>
              <w:t xml:space="preserve"> </w:t>
            </w:r>
            <w:r>
              <w:rPr>
                <w:rFonts w:eastAsiaTheme="minorEastAsia"/>
                <w:sz w:val="24"/>
              </w:rPr>
              <w:t>秒）</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715" w:hRule="atLeast"/>
        </w:trPr>
        <w:tc>
          <w:tcPr>
            <w:tcW w:w="2226" w:type="dxa"/>
            <w:tcBorders>
              <w:tl2br w:val="nil"/>
              <w:tr2bl w:val="nil"/>
            </w:tcBorders>
            <w:tcMar>
              <w:top w:w="16" w:type="dxa"/>
              <w:left w:w="16" w:type="dxa"/>
              <w:right w:w="16" w:type="dxa"/>
            </w:tcMar>
            <w:vAlign w:val="center"/>
          </w:tcPr>
          <w:p>
            <w:pPr>
              <w:adjustRightInd w:val="0"/>
              <w:snapToGrid w:val="0"/>
              <w:jc w:val="center"/>
              <w:rPr>
                <w:sz w:val="24"/>
              </w:rPr>
            </w:pPr>
            <w:r>
              <w:rPr>
                <w:sz w:val="24"/>
              </w:rPr>
              <w:t>建设项目</w:t>
            </w:r>
          </w:p>
          <w:p>
            <w:pPr>
              <w:adjustRightInd w:val="0"/>
              <w:snapToGrid w:val="0"/>
              <w:jc w:val="center"/>
              <w:rPr>
                <w:sz w:val="24"/>
              </w:rPr>
            </w:pPr>
            <w:r>
              <w:rPr>
                <w:sz w:val="24"/>
              </w:rPr>
              <w:t>行业类别</w:t>
            </w:r>
          </w:p>
        </w:tc>
        <w:tc>
          <w:tcPr>
            <w:tcW w:w="2043" w:type="dxa"/>
            <w:tcBorders>
              <w:tl2br w:val="nil"/>
              <w:tr2bl w:val="nil"/>
            </w:tcBorders>
            <w:vAlign w:val="center"/>
          </w:tcPr>
          <w:p>
            <w:pPr>
              <w:adjustRightInd w:val="0"/>
              <w:snapToGrid w:val="0"/>
              <w:jc w:val="center"/>
            </w:pPr>
            <w:r>
              <w:rPr>
                <w:sz w:val="24"/>
              </w:rPr>
              <w:t>三、5 内陆养殖</w:t>
            </w:r>
          </w:p>
        </w:tc>
        <w:tc>
          <w:tcPr>
            <w:tcW w:w="2218" w:type="dxa"/>
            <w:tcBorders>
              <w:tl2br w:val="nil"/>
              <w:tr2bl w:val="nil"/>
            </w:tcBorders>
            <w:vAlign w:val="center"/>
          </w:tcPr>
          <w:p>
            <w:pPr>
              <w:adjustRightInd w:val="0"/>
              <w:snapToGrid w:val="0"/>
              <w:jc w:val="center"/>
              <w:rPr>
                <w:sz w:val="24"/>
              </w:rPr>
            </w:pPr>
            <w:r>
              <w:rPr>
                <w:sz w:val="24"/>
              </w:rPr>
              <w:t>用地（用海）面积（m</w:t>
            </w:r>
            <w:r>
              <w:rPr>
                <w:sz w:val="24"/>
                <w:vertAlign w:val="superscript"/>
              </w:rPr>
              <w:t>2</w:t>
            </w:r>
            <w:r>
              <w:rPr>
                <w:sz w:val="24"/>
              </w:rPr>
              <w:t>）/长度（km）</w:t>
            </w:r>
          </w:p>
        </w:tc>
        <w:tc>
          <w:tcPr>
            <w:tcW w:w="2552" w:type="dxa"/>
            <w:gridSpan w:val="2"/>
            <w:tcBorders>
              <w:tl2br w:val="nil"/>
              <w:tr2bl w:val="nil"/>
            </w:tcBorders>
            <w:vAlign w:val="center"/>
          </w:tcPr>
          <w:p>
            <w:pPr>
              <w:adjustRightInd w:val="0"/>
              <w:snapToGrid w:val="0"/>
              <w:jc w:val="center"/>
              <w:rPr>
                <w:sz w:val="24"/>
              </w:rPr>
            </w:pPr>
            <w:r>
              <w:rPr>
                <w:sz w:val="24"/>
              </w:rPr>
              <w:t>80000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4" w:hRule="atLeast"/>
        </w:trPr>
        <w:tc>
          <w:tcPr>
            <w:tcW w:w="2226" w:type="dxa"/>
            <w:tcBorders>
              <w:tl2br w:val="nil"/>
              <w:tr2bl w:val="nil"/>
            </w:tcBorders>
            <w:tcMar>
              <w:top w:w="16" w:type="dxa"/>
              <w:left w:w="16" w:type="dxa"/>
              <w:right w:w="16" w:type="dxa"/>
            </w:tcMar>
            <w:vAlign w:val="center"/>
          </w:tcPr>
          <w:p>
            <w:pPr>
              <w:adjustRightInd w:val="0"/>
              <w:snapToGrid w:val="0"/>
              <w:jc w:val="center"/>
              <w:rPr>
                <w:sz w:val="24"/>
              </w:rPr>
            </w:pPr>
            <w:r>
              <w:rPr>
                <w:sz w:val="24"/>
              </w:rPr>
              <w:t>建设性质</w:t>
            </w:r>
          </w:p>
        </w:tc>
        <w:tc>
          <w:tcPr>
            <w:tcW w:w="2043" w:type="dxa"/>
            <w:tcBorders>
              <w:tl2br w:val="nil"/>
              <w:tr2bl w:val="nil"/>
            </w:tcBorders>
            <w:vAlign w:val="center"/>
          </w:tcPr>
          <w:p>
            <w:pPr>
              <w:adjustRightInd w:val="0"/>
              <w:snapToGrid w:val="0"/>
              <w:ind w:left="21" w:leftChars="10"/>
              <w:jc w:val="left"/>
              <w:rPr>
                <w:sz w:val="24"/>
              </w:rPr>
            </w:pPr>
            <w:r>
              <w:rPr>
                <w:rFonts w:hint="eastAsia"/>
                <w:sz w:val="24"/>
              </w:rPr>
              <w:sym w:font="Wingdings 2" w:char="0052"/>
            </w:r>
            <w:r>
              <w:rPr>
                <w:sz w:val="24"/>
              </w:rPr>
              <w:t>新建（迁建）</w:t>
            </w:r>
          </w:p>
          <w:p>
            <w:pPr>
              <w:adjustRightInd w:val="0"/>
              <w:snapToGrid w:val="0"/>
              <w:ind w:left="21" w:leftChars="10"/>
              <w:jc w:val="left"/>
              <w:rPr>
                <w:sz w:val="24"/>
              </w:rPr>
            </w:pPr>
            <w:r>
              <w:rPr>
                <w:rFonts w:hint="eastAsia"/>
                <w:sz w:val="24"/>
              </w:rPr>
              <w:t>□</w:t>
            </w:r>
            <w:r>
              <w:rPr>
                <w:sz w:val="24"/>
              </w:rPr>
              <w:t>改建</w:t>
            </w:r>
          </w:p>
          <w:p>
            <w:pPr>
              <w:adjustRightInd w:val="0"/>
              <w:snapToGrid w:val="0"/>
              <w:ind w:left="21" w:leftChars="10"/>
              <w:jc w:val="left"/>
              <w:rPr>
                <w:sz w:val="24"/>
              </w:rPr>
            </w:pPr>
            <w:r>
              <w:rPr>
                <w:rFonts w:hint="eastAsia"/>
                <w:sz w:val="24"/>
              </w:rPr>
              <w:t>□</w:t>
            </w:r>
            <w:r>
              <w:rPr>
                <w:sz w:val="24"/>
              </w:rPr>
              <w:t>扩建</w:t>
            </w:r>
          </w:p>
          <w:p>
            <w:pPr>
              <w:adjustRightInd w:val="0"/>
              <w:snapToGrid w:val="0"/>
              <w:ind w:left="21" w:leftChars="10"/>
              <w:jc w:val="left"/>
              <w:rPr>
                <w:sz w:val="24"/>
              </w:rPr>
            </w:pPr>
            <w:r>
              <w:rPr>
                <w:rFonts w:hint="eastAsia"/>
                <w:sz w:val="24"/>
              </w:rPr>
              <w:t>□</w:t>
            </w:r>
            <w:r>
              <w:rPr>
                <w:sz w:val="24"/>
              </w:rPr>
              <w:t>技术改造</w:t>
            </w:r>
          </w:p>
        </w:tc>
        <w:tc>
          <w:tcPr>
            <w:tcW w:w="2218" w:type="dxa"/>
            <w:tcBorders>
              <w:tl2br w:val="nil"/>
              <w:tr2bl w:val="nil"/>
            </w:tcBorders>
            <w:vAlign w:val="center"/>
          </w:tcPr>
          <w:p>
            <w:pPr>
              <w:adjustRightInd w:val="0"/>
              <w:snapToGrid w:val="0"/>
              <w:jc w:val="center"/>
              <w:rPr>
                <w:sz w:val="24"/>
              </w:rPr>
            </w:pPr>
            <w:r>
              <w:rPr>
                <w:sz w:val="24"/>
              </w:rPr>
              <w:t>建设项目</w:t>
            </w:r>
          </w:p>
          <w:p>
            <w:pPr>
              <w:adjustRightInd w:val="0"/>
              <w:snapToGrid w:val="0"/>
              <w:jc w:val="center"/>
              <w:rPr>
                <w:sz w:val="24"/>
              </w:rPr>
            </w:pPr>
            <w:r>
              <w:rPr>
                <w:sz w:val="24"/>
              </w:rPr>
              <w:t>申报情形</w:t>
            </w:r>
          </w:p>
        </w:tc>
        <w:tc>
          <w:tcPr>
            <w:tcW w:w="2552" w:type="dxa"/>
            <w:gridSpan w:val="2"/>
            <w:tcBorders>
              <w:tl2br w:val="nil"/>
              <w:tr2bl w:val="nil"/>
            </w:tcBorders>
            <w:vAlign w:val="center"/>
          </w:tcPr>
          <w:p>
            <w:pPr>
              <w:adjustRightInd w:val="0"/>
              <w:snapToGrid w:val="0"/>
              <w:ind w:left="21" w:leftChars="10"/>
              <w:jc w:val="left"/>
              <w:rPr>
                <w:sz w:val="24"/>
              </w:rPr>
            </w:pPr>
            <w:r>
              <w:rPr>
                <w:rFonts w:hint="eastAsia"/>
                <w:sz w:val="24"/>
              </w:rPr>
              <w:t>☑</w:t>
            </w:r>
            <w:r>
              <w:rPr>
                <w:sz w:val="24"/>
              </w:rPr>
              <w:t>首次申报项目</w:t>
            </w:r>
          </w:p>
          <w:p>
            <w:pPr>
              <w:adjustRightInd w:val="0"/>
              <w:snapToGrid w:val="0"/>
              <w:ind w:left="21" w:leftChars="10"/>
              <w:jc w:val="left"/>
              <w:rPr>
                <w:sz w:val="24"/>
              </w:rPr>
            </w:pPr>
            <w:r>
              <w:rPr>
                <w:rFonts w:hint="eastAsia"/>
                <w:sz w:val="24"/>
              </w:rPr>
              <w:t>□</w:t>
            </w:r>
            <w:r>
              <w:rPr>
                <w:sz w:val="24"/>
              </w:rPr>
              <w:t>不予批准后再次申报项目</w:t>
            </w:r>
          </w:p>
          <w:p>
            <w:pPr>
              <w:adjustRightInd w:val="0"/>
              <w:snapToGrid w:val="0"/>
              <w:ind w:left="21" w:leftChars="10"/>
              <w:jc w:val="left"/>
              <w:rPr>
                <w:sz w:val="24"/>
              </w:rPr>
            </w:pPr>
            <w:r>
              <w:rPr>
                <w:rFonts w:hint="eastAsia"/>
                <w:sz w:val="24"/>
              </w:rPr>
              <w:t>□</w:t>
            </w:r>
            <w:r>
              <w:rPr>
                <w:sz w:val="24"/>
              </w:rPr>
              <w:t>超五年重新审核项目</w:t>
            </w:r>
          </w:p>
          <w:p>
            <w:pPr>
              <w:adjustRightInd w:val="0"/>
              <w:snapToGrid w:val="0"/>
              <w:ind w:left="21" w:leftChars="10"/>
              <w:rPr>
                <w:sz w:val="24"/>
              </w:rPr>
            </w:pPr>
            <w:r>
              <w:rPr>
                <w:rFonts w:hint="eastAsia"/>
                <w:sz w:val="24"/>
              </w:rPr>
              <w:t>□</w:t>
            </w:r>
            <w:r>
              <w:rPr>
                <w:sz w:val="24"/>
              </w:rPr>
              <w:t>重大变动重新报批项目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762" w:hRule="atLeast"/>
        </w:trPr>
        <w:tc>
          <w:tcPr>
            <w:tcW w:w="2226" w:type="dxa"/>
            <w:tcBorders>
              <w:tl2br w:val="nil"/>
              <w:tr2bl w:val="nil"/>
            </w:tcBorders>
            <w:tcMar>
              <w:top w:w="16" w:type="dxa"/>
              <w:left w:w="16" w:type="dxa"/>
              <w:right w:w="16" w:type="dxa"/>
            </w:tcMar>
            <w:vAlign w:val="center"/>
          </w:tcPr>
          <w:p>
            <w:pPr>
              <w:adjustRightInd w:val="0"/>
              <w:snapToGrid w:val="0"/>
              <w:jc w:val="center"/>
              <w:rPr>
                <w:sz w:val="24"/>
              </w:rPr>
            </w:pPr>
            <w:r>
              <w:rPr>
                <w:sz w:val="24"/>
              </w:rPr>
              <w:t>项目审批（核准/</w:t>
            </w:r>
          </w:p>
          <w:p>
            <w:pPr>
              <w:adjustRightInd w:val="0"/>
              <w:snapToGrid w:val="0"/>
              <w:jc w:val="center"/>
              <w:rPr>
                <w:sz w:val="24"/>
              </w:rPr>
            </w:pPr>
            <w:r>
              <w:rPr>
                <w:sz w:val="24"/>
              </w:rPr>
              <w:t>备案）部门（选填）</w:t>
            </w:r>
          </w:p>
        </w:tc>
        <w:tc>
          <w:tcPr>
            <w:tcW w:w="2043" w:type="dxa"/>
            <w:tcBorders>
              <w:tl2br w:val="nil"/>
              <w:tr2bl w:val="nil"/>
            </w:tcBorders>
            <w:vAlign w:val="center"/>
          </w:tcPr>
          <w:p>
            <w:pPr>
              <w:adjustRightInd w:val="0"/>
              <w:snapToGrid w:val="0"/>
              <w:jc w:val="center"/>
              <w:rPr>
                <w:sz w:val="24"/>
              </w:rPr>
            </w:pPr>
            <w:r>
              <w:rPr>
                <w:rFonts w:hint="eastAsia"/>
                <w:sz w:val="24"/>
              </w:rPr>
              <w:t>/</w:t>
            </w:r>
          </w:p>
        </w:tc>
        <w:tc>
          <w:tcPr>
            <w:tcW w:w="2218" w:type="dxa"/>
            <w:tcBorders>
              <w:tl2br w:val="nil"/>
              <w:tr2bl w:val="nil"/>
            </w:tcBorders>
            <w:vAlign w:val="center"/>
          </w:tcPr>
          <w:p>
            <w:pPr>
              <w:adjustRightInd w:val="0"/>
              <w:snapToGrid w:val="0"/>
              <w:jc w:val="center"/>
              <w:rPr>
                <w:sz w:val="24"/>
              </w:rPr>
            </w:pPr>
            <w:r>
              <w:rPr>
                <w:sz w:val="24"/>
              </w:rPr>
              <w:t>项目审批（核准/</w:t>
            </w:r>
          </w:p>
          <w:p>
            <w:pPr>
              <w:adjustRightInd w:val="0"/>
              <w:snapToGrid w:val="0"/>
              <w:jc w:val="center"/>
              <w:rPr>
                <w:sz w:val="24"/>
              </w:rPr>
            </w:pPr>
            <w:r>
              <w:rPr>
                <w:sz w:val="24"/>
              </w:rPr>
              <w:t>备案）文号（选填）</w:t>
            </w:r>
          </w:p>
        </w:tc>
        <w:tc>
          <w:tcPr>
            <w:tcW w:w="2552" w:type="dxa"/>
            <w:gridSpan w:val="2"/>
            <w:tcBorders>
              <w:tl2br w:val="nil"/>
              <w:tr2bl w:val="nil"/>
            </w:tcBorders>
            <w:vAlign w:val="center"/>
          </w:tcPr>
          <w:p>
            <w:pPr>
              <w:adjustRightInd w:val="0"/>
              <w:snapToGrid w:val="0"/>
              <w:jc w:val="center"/>
              <w:rPr>
                <w:sz w:val="24"/>
              </w:rPr>
            </w:pPr>
            <w:r>
              <w:rPr>
                <w:rFonts w:hint="eastAsia"/>
                <w:sz w:val="24"/>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55" w:hRule="atLeast"/>
        </w:trPr>
        <w:tc>
          <w:tcPr>
            <w:tcW w:w="2226" w:type="dxa"/>
            <w:tcBorders>
              <w:tl2br w:val="nil"/>
              <w:tr2bl w:val="nil"/>
            </w:tcBorders>
            <w:tcMar>
              <w:top w:w="16" w:type="dxa"/>
              <w:left w:w="16" w:type="dxa"/>
              <w:right w:w="16" w:type="dxa"/>
            </w:tcMar>
            <w:vAlign w:val="center"/>
          </w:tcPr>
          <w:p>
            <w:pPr>
              <w:adjustRightInd w:val="0"/>
              <w:snapToGrid w:val="0"/>
              <w:jc w:val="center"/>
              <w:rPr>
                <w:sz w:val="24"/>
              </w:rPr>
            </w:pPr>
            <w:r>
              <w:rPr>
                <w:sz w:val="24"/>
              </w:rPr>
              <w:t>总投资（万元）</w:t>
            </w:r>
          </w:p>
        </w:tc>
        <w:tc>
          <w:tcPr>
            <w:tcW w:w="2043" w:type="dxa"/>
            <w:tcBorders>
              <w:tl2br w:val="nil"/>
              <w:tr2bl w:val="nil"/>
            </w:tcBorders>
            <w:vAlign w:val="center"/>
          </w:tcPr>
          <w:p>
            <w:pPr>
              <w:adjustRightInd w:val="0"/>
              <w:snapToGrid w:val="0"/>
              <w:jc w:val="center"/>
              <w:rPr>
                <w:sz w:val="24"/>
              </w:rPr>
            </w:pPr>
            <w:r>
              <w:rPr>
                <w:rFonts w:hint="eastAsia"/>
                <w:sz w:val="24"/>
              </w:rPr>
              <w:t>7</w:t>
            </w:r>
            <w:r>
              <w:rPr>
                <w:sz w:val="24"/>
              </w:rPr>
              <w:t>000</w:t>
            </w:r>
          </w:p>
        </w:tc>
        <w:tc>
          <w:tcPr>
            <w:tcW w:w="2218" w:type="dxa"/>
            <w:tcBorders>
              <w:tl2br w:val="nil"/>
              <w:tr2bl w:val="nil"/>
            </w:tcBorders>
            <w:tcMar>
              <w:top w:w="16" w:type="dxa"/>
              <w:left w:w="16" w:type="dxa"/>
              <w:right w:w="16" w:type="dxa"/>
            </w:tcMar>
            <w:vAlign w:val="center"/>
          </w:tcPr>
          <w:p>
            <w:pPr>
              <w:adjustRightInd w:val="0"/>
              <w:snapToGrid w:val="0"/>
              <w:jc w:val="center"/>
              <w:rPr>
                <w:sz w:val="24"/>
              </w:rPr>
            </w:pPr>
            <w:r>
              <w:rPr>
                <w:sz w:val="24"/>
              </w:rPr>
              <w:t>环保投资（万元）</w:t>
            </w:r>
          </w:p>
        </w:tc>
        <w:tc>
          <w:tcPr>
            <w:tcW w:w="2552" w:type="dxa"/>
            <w:gridSpan w:val="2"/>
            <w:tcBorders>
              <w:tl2br w:val="nil"/>
              <w:tr2bl w:val="nil"/>
            </w:tcBorders>
            <w:vAlign w:val="center"/>
          </w:tcPr>
          <w:p>
            <w:pPr>
              <w:adjustRightInd w:val="0"/>
              <w:snapToGrid w:val="0"/>
              <w:jc w:val="center"/>
              <w:rPr>
                <w:sz w:val="24"/>
              </w:rPr>
            </w:pPr>
            <w:r>
              <w:rPr>
                <w:rFonts w:hint="eastAsia"/>
                <w:sz w:val="24"/>
              </w:rPr>
              <w:t>131.1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4" w:hRule="atLeast"/>
        </w:trPr>
        <w:tc>
          <w:tcPr>
            <w:tcW w:w="2226" w:type="dxa"/>
            <w:tcBorders>
              <w:tl2br w:val="nil"/>
              <w:tr2bl w:val="nil"/>
            </w:tcBorders>
            <w:tcMar>
              <w:top w:w="16" w:type="dxa"/>
              <w:left w:w="16" w:type="dxa"/>
              <w:right w:w="16" w:type="dxa"/>
            </w:tcMar>
            <w:vAlign w:val="center"/>
          </w:tcPr>
          <w:p>
            <w:pPr>
              <w:adjustRightInd w:val="0"/>
              <w:snapToGrid w:val="0"/>
              <w:jc w:val="center"/>
              <w:rPr>
                <w:sz w:val="24"/>
              </w:rPr>
            </w:pPr>
            <w:r>
              <w:rPr>
                <w:sz w:val="24"/>
              </w:rPr>
              <w:t>环保投资占比（%）</w:t>
            </w:r>
          </w:p>
        </w:tc>
        <w:tc>
          <w:tcPr>
            <w:tcW w:w="2043" w:type="dxa"/>
            <w:tcBorders>
              <w:tl2br w:val="nil"/>
              <w:tr2bl w:val="nil"/>
            </w:tcBorders>
            <w:vAlign w:val="center"/>
          </w:tcPr>
          <w:p>
            <w:pPr>
              <w:adjustRightInd w:val="0"/>
              <w:snapToGrid w:val="0"/>
              <w:jc w:val="center"/>
              <w:rPr>
                <w:sz w:val="24"/>
              </w:rPr>
            </w:pPr>
            <w:r>
              <w:rPr>
                <w:rFonts w:hint="eastAsia"/>
                <w:sz w:val="24"/>
              </w:rPr>
              <w:t>1.87</w:t>
            </w:r>
          </w:p>
        </w:tc>
        <w:tc>
          <w:tcPr>
            <w:tcW w:w="2218" w:type="dxa"/>
            <w:tcBorders>
              <w:tl2br w:val="nil"/>
              <w:tr2bl w:val="nil"/>
            </w:tcBorders>
            <w:tcMar>
              <w:top w:w="16" w:type="dxa"/>
              <w:left w:w="16" w:type="dxa"/>
              <w:right w:w="16" w:type="dxa"/>
            </w:tcMar>
            <w:vAlign w:val="center"/>
          </w:tcPr>
          <w:p>
            <w:pPr>
              <w:adjustRightInd w:val="0"/>
              <w:snapToGrid w:val="0"/>
              <w:jc w:val="center"/>
              <w:rPr>
                <w:sz w:val="24"/>
              </w:rPr>
            </w:pPr>
            <w:r>
              <w:rPr>
                <w:sz w:val="24"/>
              </w:rPr>
              <w:t>施工工期</w:t>
            </w:r>
          </w:p>
        </w:tc>
        <w:tc>
          <w:tcPr>
            <w:tcW w:w="2552" w:type="dxa"/>
            <w:gridSpan w:val="2"/>
            <w:tcBorders>
              <w:tl2br w:val="nil"/>
              <w:tr2bl w:val="nil"/>
            </w:tcBorders>
            <w:vAlign w:val="center"/>
          </w:tcPr>
          <w:p>
            <w:pPr>
              <w:adjustRightInd w:val="0"/>
              <w:snapToGrid w:val="0"/>
              <w:jc w:val="center"/>
              <w:rPr>
                <w:sz w:val="24"/>
              </w:rPr>
            </w:pPr>
            <w:r>
              <w:rPr>
                <w:sz w:val="24"/>
              </w:rPr>
              <w:t>预计2022年6月投产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911" w:hRule="atLeast"/>
        </w:trPr>
        <w:tc>
          <w:tcPr>
            <w:tcW w:w="2226" w:type="dxa"/>
            <w:tcBorders>
              <w:tl2br w:val="nil"/>
              <w:tr2bl w:val="nil"/>
            </w:tcBorders>
            <w:tcMar>
              <w:top w:w="16" w:type="dxa"/>
              <w:left w:w="16" w:type="dxa"/>
              <w:right w:w="16" w:type="dxa"/>
            </w:tcMar>
            <w:vAlign w:val="center"/>
          </w:tcPr>
          <w:p>
            <w:pPr>
              <w:adjustRightInd w:val="0"/>
              <w:snapToGrid w:val="0"/>
              <w:jc w:val="center"/>
              <w:rPr>
                <w:sz w:val="24"/>
              </w:rPr>
            </w:pPr>
            <w:r>
              <w:rPr>
                <w:sz w:val="24"/>
              </w:rPr>
              <w:t>是否开工建设</w:t>
            </w:r>
          </w:p>
        </w:tc>
        <w:tc>
          <w:tcPr>
            <w:tcW w:w="6813" w:type="dxa"/>
            <w:gridSpan w:val="4"/>
            <w:tcBorders>
              <w:tl2br w:val="nil"/>
              <w:tr2bl w:val="nil"/>
            </w:tcBorders>
            <w:vAlign w:val="center"/>
          </w:tcPr>
          <w:p>
            <w:pPr>
              <w:adjustRightInd w:val="0"/>
              <w:snapToGrid w:val="0"/>
              <w:ind w:firstLine="105"/>
              <w:jc w:val="left"/>
              <w:rPr>
                <w:sz w:val="24"/>
              </w:rPr>
            </w:pPr>
            <w:r>
              <w:rPr>
                <w:sz w:val="24"/>
              </w:rPr>
              <w:t>☑否</w:t>
            </w:r>
          </w:p>
          <w:p>
            <w:pPr>
              <w:adjustRightInd w:val="0"/>
              <w:snapToGrid w:val="0"/>
              <w:ind w:firstLine="92"/>
              <w:jc w:val="left"/>
              <w:rPr>
                <w:sz w:val="24"/>
              </w:rPr>
            </w:pPr>
            <w:r>
              <w:rPr>
                <w:rFonts w:hint="eastAsia"/>
                <w:sz w:val="24"/>
              </w:rPr>
              <w:t>□</w:t>
            </w:r>
            <w:r>
              <w:rPr>
                <w:sz w:val="24"/>
              </w:rPr>
              <w:t>是：</w:t>
            </w:r>
            <w:r>
              <w:rPr>
                <w:sz w:val="24"/>
                <w:u w:val="single"/>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911" w:hRule="atLeast"/>
        </w:trPr>
        <w:tc>
          <w:tcPr>
            <w:tcW w:w="2226" w:type="dxa"/>
            <w:tcBorders>
              <w:tl2br w:val="nil"/>
              <w:tr2bl w:val="nil"/>
            </w:tcBorders>
            <w:tcMar>
              <w:top w:w="16" w:type="dxa"/>
              <w:left w:w="16" w:type="dxa"/>
              <w:right w:w="16" w:type="dxa"/>
            </w:tcMar>
            <w:vAlign w:val="center"/>
          </w:tcPr>
          <w:p>
            <w:pPr>
              <w:autoSpaceDE w:val="0"/>
              <w:autoSpaceDN w:val="0"/>
              <w:adjustRightInd w:val="0"/>
              <w:snapToGrid w:val="0"/>
              <w:jc w:val="center"/>
              <w:rPr>
                <w:kern w:val="0"/>
                <w:sz w:val="24"/>
              </w:rPr>
            </w:pPr>
            <w:r>
              <w:rPr>
                <w:kern w:val="0"/>
                <w:sz w:val="24"/>
              </w:rPr>
              <w:t>专项评价设置情况</w:t>
            </w:r>
          </w:p>
        </w:tc>
        <w:tc>
          <w:tcPr>
            <w:tcW w:w="6813" w:type="dxa"/>
            <w:gridSpan w:val="4"/>
            <w:tcBorders>
              <w:tl2br w:val="nil"/>
              <w:tr2bl w:val="nil"/>
            </w:tcBorders>
            <w:tcMar>
              <w:top w:w="16" w:type="dxa"/>
              <w:left w:w="16" w:type="dxa"/>
              <w:right w:w="16" w:type="dxa"/>
            </w:tcMar>
            <w:vAlign w:val="center"/>
          </w:tcPr>
          <w:p>
            <w:pPr>
              <w:autoSpaceDE w:val="0"/>
              <w:autoSpaceDN w:val="0"/>
              <w:adjustRightInd w:val="0"/>
              <w:snapToGrid w:val="0"/>
              <w:jc w:val="center"/>
              <w:rPr>
                <w:kern w:val="0"/>
                <w:sz w:val="24"/>
              </w:rPr>
            </w:pPr>
            <w:r>
              <w:rPr>
                <w:kern w:val="0"/>
                <w:sz w:val="24"/>
              </w:rPr>
              <w:t>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911" w:hRule="atLeast"/>
        </w:trPr>
        <w:tc>
          <w:tcPr>
            <w:tcW w:w="2226" w:type="dxa"/>
            <w:tcBorders>
              <w:tl2br w:val="nil"/>
              <w:tr2bl w:val="nil"/>
            </w:tcBorders>
            <w:tcMar>
              <w:top w:w="16" w:type="dxa"/>
              <w:left w:w="16" w:type="dxa"/>
              <w:right w:w="16" w:type="dxa"/>
            </w:tcMar>
            <w:vAlign w:val="center"/>
          </w:tcPr>
          <w:p>
            <w:pPr>
              <w:autoSpaceDE w:val="0"/>
              <w:autoSpaceDN w:val="0"/>
              <w:adjustRightInd w:val="0"/>
              <w:snapToGrid w:val="0"/>
              <w:jc w:val="center"/>
              <w:rPr>
                <w:kern w:val="0"/>
                <w:sz w:val="24"/>
              </w:rPr>
            </w:pPr>
            <w:r>
              <w:rPr>
                <w:sz w:val="24"/>
              </w:rPr>
              <w:t>规划情况</w:t>
            </w:r>
          </w:p>
        </w:tc>
        <w:tc>
          <w:tcPr>
            <w:tcW w:w="6813" w:type="dxa"/>
            <w:gridSpan w:val="4"/>
            <w:tcBorders>
              <w:tl2br w:val="nil"/>
              <w:tr2bl w:val="nil"/>
            </w:tcBorders>
            <w:tcMar>
              <w:top w:w="16" w:type="dxa"/>
              <w:left w:w="16" w:type="dxa"/>
              <w:right w:w="16" w:type="dxa"/>
            </w:tcMar>
            <w:vAlign w:val="center"/>
          </w:tcPr>
          <w:p>
            <w:pPr>
              <w:autoSpaceDE w:val="0"/>
              <w:autoSpaceDN w:val="0"/>
              <w:adjustRightInd w:val="0"/>
              <w:snapToGrid w:val="0"/>
              <w:jc w:val="center"/>
              <w:rPr>
                <w:kern w:val="0"/>
                <w:sz w:val="24"/>
              </w:rPr>
            </w:pPr>
            <w:r>
              <w:rPr>
                <w:kern w:val="0"/>
                <w:sz w:val="24"/>
              </w:rPr>
              <w:t>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911" w:hRule="atLeast"/>
        </w:trPr>
        <w:tc>
          <w:tcPr>
            <w:tcW w:w="2226" w:type="dxa"/>
            <w:tcBorders>
              <w:tl2br w:val="nil"/>
              <w:tr2bl w:val="nil"/>
            </w:tcBorders>
            <w:tcMar>
              <w:top w:w="16" w:type="dxa"/>
              <w:left w:w="16" w:type="dxa"/>
              <w:right w:w="16" w:type="dxa"/>
            </w:tcMar>
            <w:vAlign w:val="center"/>
          </w:tcPr>
          <w:p>
            <w:pPr>
              <w:autoSpaceDE w:val="0"/>
              <w:autoSpaceDN w:val="0"/>
              <w:adjustRightInd w:val="0"/>
              <w:snapToGrid w:val="0"/>
              <w:jc w:val="center"/>
              <w:rPr>
                <w:sz w:val="24"/>
              </w:rPr>
            </w:pPr>
            <w:r>
              <w:rPr>
                <w:sz w:val="24"/>
              </w:rPr>
              <w:t>规划环境影响</w:t>
            </w:r>
          </w:p>
          <w:p>
            <w:pPr>
              <w:autoSpaceDE w:val="0"/>
              <w:autoSpaceDN w:val="0"/>
              <w:adjustRightInd w:val="0"/>
              <w:snapToGrid w:val="0"/>
              <w:jc w:val="center"/>
              <w:rPr>
                <w:kern w:val="0"/>
                <w:sz w:val="24"/>
              </w:rPr>
            </w:pPr>
            <w:r>
              <w:rPr>
                <w:sz w:val="24"/>
              </w:rPr>
              <w:t>评价情况</w:t>
            </w:r>
          </w:p>
        </w:tc>
        <w:tc>
          <w:tcPr>
            <w:tcW w:w="6813" w:type="dxa"/>
            <w:gridSpan w:val="4"/>
            <w:tcBorders>
              <w:tl2br w:val="nil"/>
              <w:tr2bl w:val="nil"/>
            </w:tcBorders>
            <w:tcMar>
              <w:top w:w="16" w:type="dxa"/>
              <w:left w:w="16" w:type="dxa"/>
              <w:right w:w="16" w:type="dxa"/>
            </w:tcMar>
            <w:vAlign w:val="center"/>
          </w:tcPr>
          <w:p>
            <w:pPr>
              <w:adjustRightInd w:val="0"/>
              <w:snapToGrid w:val="0"/>
              <w:jc w:val="center"/>
              <w:rPr>
                <w:kern w:val="0"/>
                <w:sz w:val="24"/>
              </w:rPr>
            </w:pPr>
            <w:r>
              <w:rPr>
                <w:kern w:val="0"/>
                <w:sz w:val="24"/>
              </w:rPr>
              <w:t>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557" w:hRule="atLeast"/>
        </w:trPr>
        <w:tc>
          <w:tcPr>
            <w:tcW w:w="2226" w:type="dxa"/>
            <w:tcBorders>
              <w:tl2br w:val="nil"/>
              <w:tr2bl w:val="nil"/>
            </w:tcBorders>
            <w:tcMar>
              <w:top w:w="16" w:type="dxa"/>
              <w:left w:w="16" w:type="dxa"/>
              <w:right w:w="16" w:type="dxa"/>
            </w:tcMar>
            <w:vAlign w:val="center"/>
          </w:tcPr>
          <w:p>
            <w:pPr>
              <w:autoSpaceDE w:val="0"/>
              <w:autoSpaceDN w:val="0"/>
              <w:adjustRightInd w:val="0"/>
              <w:snapToGrid w:val="0"/>
              <w:jc w:val="center"/>
              <w:rPr>
                <w:kern w:val="0"/>
                <w:sz w:val="24"/>
              </w:rPr>
            </w:pPr>
            <w:r>
              <w:rPr>
                <w:kern w:val="0"/>
                <w:sz w:val="24"/>
              </w:rPr>
              <w:t>规划及</w:t>
            </w:r>
            <w:r>
              <w:rPr>
                <w:sz w:val="24"/>
              </w:rPr>
              <w:t>规划环境影响评价</w:t>
            </w:r>
            <w:r>
              <w:rPr>
                <w:kern w:val="0"/>
                <w:sz w:val="24"/>
              </w:rPr>
              <w:t>符合性分析</w:t>
            </w:r>
          </w:p>
        </w:tc>
        <w:tc>
          <w:tcPr>
            <w:tcW w:w="6813" w:type="dxa"/>
            <w:gridSpan w:val="4"/>
            <w:tcBorders>
              <w:tl2br w:val="nil"/>
              <w:tr2bl w:val="nil"/>
            </w:tcBorders>
            <w:tcMar>
              <w:top w:w="16" w:type="dxa"/>
              <w:left w:w="16" w:type="dxa"/>
              <w:right w:w="16" w:type="dxa"/>
            </w:tcMar>
            <w:vAlign w:val="center"/>
          </w:tcPr>
          <w:p>
            <w:pPr>
              <w:adjustRightInd w:val="0"/>
              <w:snapToGrid w:val="0"/>
              <w:spacing w:line="360" w:lineRule="auto"/>
              <w:ind w:firstLine="482" w:firstLineChars="200"/>
              <w:jc w:val="left"/>
              <w:rPr>
                <w:b/>
                <w:bCs/>
                <w:sz w:val="24"/>
                <w:u w:val="single"/>
              </w:rPr>
            </w:pPr>
            <w:r>
              <w:rPr>
                <w:b/>
                <w:bCs/>
                <w:sz w:val="24"/>
                <w:u w:val="single"/>
              </w:rPr>
              <w:t>1、选址合理性分析</w:t>
            </w:r>
          </w:p>
          <w:p>
            <w:pPr>
              <w:adjustRightInd w:val="0"/>
              <w:snapToGrid w:val="0"/>
              <w:spacing w:line="360" w:lineRule="auto"/>
              <w:ind w:firstLine="480" w:firstLineChars="200"/>
              <w:rPr>
                <w:sz w:val="24"/>
                <w:u w:val="single"/>
              </w:rPr>
            </w:pPr>
            <w:r>
              <w:rPr>
                <w:sz w:val="24"/>
                <w:u w:val="single"/>
              </w:rPr>
              <w:t>（1）规划符合性</w:t>
            </w:r>
          </w:p>
          <w:p>
            <w:pPr>
              <w:adjustRightInd w:val="0"/>
              <w:snapToGrid w:val="0"/>
              <w:spacing w:line="360" w:lineRule="auto"/>
              <w:ind w:firstLine="480" w:firstLineChars="200"/>
              <w:rPr>
                <w:sz w:val="24"/>
                <w:u w:val="single"/>
              </w:rPr>
            </w:pPr>
            <w:r>
              <w:rPr>
                <w:sz w:val="24"/>
                <w:u w:val="single"/>
              </w:rPr>
              <w:t>本项目位于</w:t>
            </w:r>
            <w:r>
              <w:rPr>
                <w:rFonts w:hint="eastAsia"/>
                <w:sz w:val="24"/>
                <w:u w:val="single"/>
              </w:rPr>
              <w:t>湖南省永州市新田县中山街道挂兰村</w:t>
            </w:r>
            <w:r>
              <w:rPr>
                <w:sz w:val="24"/>
                <w:u w:val="single"/>
              </w:rPr>
              <w:t>，本项目用地不在城区规划范围内，附近区域无自然保护区、世界文化和自然遗产及等需要特殊保护的生态敏感区，无风景名胜区、森林公园、地质公园、重要湿地等重要生态敏感区，因此选址合理。</w:t>
            </w:r>
          </w:p>
          <w:p>
            <w:pPr>
              <w:adjustRightInd w:val="0"/>
              <w:snapToGrid w:val="0"/>
              <w:spacing w:line="360" w:lineRule="auto"/>
              <w:ind w:firstLine="480" w:firstLineChars="200"/>
              <w:rPr>
                <w:sz w:val="24"/>
                <w:u w:val="single"/>
              </w:rPr>
            </w:pPr>
            <w:r>
              <w:rPr>
                <w:sz w:val="24"/>
                <w:u w:val="single"/>
              </w:rPr>
              <w:t>（2）周边环境功能区划</w:t>
            </w:r>
          </w:p>
          <w:p>
            <w:pPr>
              <w:adjustRightInd w:val="0"/>
              <w:snapToGrid w:val="0"/>
              <w:spacing w:line="360" w:lineRule="auto"/>
              <w:ind w:firstLine="480" w:firstLineChars="200"/>
              <w:rPr>
                <w:b/>
                <w:bCs/>
                <w:sz w:val="24"/>
                <w:u w:val="single"/>
              </w:rPr>
            </w:pPr>
            <w:r>
              <w:rPr>
                <w:sz w:val="24"/>
                <w:u w:val="single"/>
              </w:rPr>
              <w:t>项目所处地块为基本农田，且项目周边50米内存在一处民居，主要环境影响为蛙鸣噪声污染。本建设项目是稻蛙共作生态养殖项目，根据《国务院办公厅关于防止耕地“非粮化”稳定粮食生产的意见（国办发〔2020〕44号）》文件中“（八）严禁违规占用永久基本农田种树挖塘。贯彻土地管理法、基本农田保护条例有关规定，落实耕地保护目标和永久基本农田保护任务。严格规范永久基本农田上农业生产经营活动，禁止占用永久基本农田从事林果业以及挖塘养鱼、非法取土等破坏耕作层的行为，禁止闲置、荒芜永久基本农田。利用永久基本农田发展稻渔、稻虾、稻蟹等综合立体种养，应当以不破坏永久基本农田为前提，沟坑占比要符合稻渔综合种养技术规范通则标准。推动制订和完善相关法律法规，明确对占用永久基本农田从事林果业、挖塘养鱼等的处罚措施”之规定，可以在基本农田进行稻蛙共作养殖；该项目养殖周期末端为成年蛙，据项目建设方</w:t>
            </w:r>
            <w:r>
              <w:rPr>
                <w:rFonts w:hint="eastAsia"/>
                <w:sz w:val="24"/>
                <w:u w:val="single"/>
              </w:rPr>
              <w:t>提供资料</w:t>
            </w:r>
            <w:r>
              <w:rPr>
                <w:sz w:val="24"/>
                <w:u w:val="single"/>
              </w:rPr>
              <w:t>：没有越冬的成年蛙在养殖周期内不会有群体性蛙鸣，偶发性个体蛙鸣不会产生噪声污染超标排放</w:t>
            </w:r>
            <w:r>
              <w:rPr>
                <w:rFonts w:hint="eastAsia"/>
                <w:sz w:val="24"/>
                <w:u w:val="single"/>
              </w:rPr>
              <w:t>，</w:t>
            </w:r>
            <w:r>
              <w:rPr>
                <w:sz w:val="24"/>
                <w:u w:val="single"/>
              </w:rPr>
              <w:t>且项目建设公司已经作出相关承诺（</w:t>
            </w:r>
            <w:r>
              <w:rPr>
                <w:rFonts w:hint="eastAsia"/>
                <w:sz w:val="24"/>
                <w:u w:val="single"/>
              </w:rPr>
              <w:t>详</w:t>
            </w:r>
            <w:r>
              <w:rPr>
                <w:sz w:val="24"/>
                <w:u w:val="single"/>
              </w:rPr>
              <w:t>见附件）</w:t>
            </w:r>
            <w:r>
              <w:rPr>
                <w:rFonts w:hint="eastAsia"/>
                <w:sz w:val="24"/>
                <w:u w:val="single"/>
              </w:rPr>
              <w:t>。项目在运营过程中不破坏土地的现有生态结构。</w:t>
            </w:r>
          </w:p>
          <w:p>
            <w:pPr>
              <w:adjustRightInd w:val="0"/>
              <w:snapToGrid w:val="0"/>
              <w:spacing w:line="360" w:lineRule="auto"/>
              <w:ind w:firstLine="480" w:firstLineChars="200"/>
              <w:rPr>
                <w:sz w:val="24"/>
              </w:rPr>
            </w:pPr>
            <w:r>
              <w:rPr>
                <w:sz w:val="24"/>
                <w:u w:val="single"/>
              </w:rPr>
              <w:t>项目拟建区域环境质量现状良好，有较大的环境容量；各污废物均得到妥善处理，做到达标排放或综合利用，排放的污染物符合区域总量控制要求；环境影响预测分析表明，本工程实施后，正常生产情况下项目对地表水环境、环境空气和声环境影响不大，满足相应的环境质量要求；且项目从生产原料到生产工艺潜在的环境风险小。</w:t>
            </w:r>
          </w:p>
          <w:p>
            <w:pPr>
              <w:adjustRightInd w:val="0"/>
              <w:snapToGrid w:val="0"/>
              <w:spacing w:line="360" w:lineRule="auto"/>
              <w:ind w:firstLine="482" w:firstLineChars="200"/>
              <w:rPr>
                <w:b/>
                <w:bCs/>
                <w:sz w:val="24"/>
              </w:rPr>
            </w:pPr>
            <w:r>
              <w:rPr>
                <w:rFonts w:hint="eastAsia"/>
                <w:b/>
                <w:bCs/>
                <w:sz w:val="24"/>
              </w:rPr>
              <w:t>2</w:t>
            </w:r>
            <w:r>
              <w:rPr>
                <w:b/>
                <w:bCs/>
                <w:sz w:val="24"/>
              </w:rPr>
              <w:t>、</w:t>
            </w:r>
            <w:r>
              <w:rPr>
                <w:rFonts w:hint="eastAsia"/>
                <w:b/>
                <w:bCs/>
                <w:sz w:val="24"/>
              </w:rPr>
              <w:t>国家</w:t>
            </w:r>
            <w:r>
              <w:rPr>
                <w:b/>
                <w:bCs/>
                <w:sz w:val="24"/>
              </w:rPr>
              <w:t>产业政策符合性</w:t>
            </w:r>
          </w:p>
          <w:p>
            <w:pPr>
              <w:adjustRightInd w:val="0"/>
              <w:snapToGrid w:val="0"/>
              <w:spacing w:line="360" w:lineRule="auto"/>
              <w:ind w:firstLine="480" w:firstLineChars="200"/>
              <w:rPr>
                <w:sz w:val="24"/>
              </w:rPr>
            </w:pPr>
            <w:r>
              <w:rPr>
                <w:sz w:val="24"/>
              </w:rPr>
              <w:t>中华人民共和国国家发展和改革委员会第9号令《产业结构调整指导目录（2019年本）》由鼓励、限制和淘汰三类目录组成。经查询，本项目不属于鼓励类、限制类和淘汰类，且符合国家有关法律、法规和政策规定，属于允许类，所以本项目符合国家产业政策。</w:t>
            </w:r>
          </w:p>
          <w:p>
            <w:pPr>
              <w:autoSpaceDE w:val="0"/>
              <w:autoSpaceDN w:val="0"/>
              <w:adjustRightInd w:val="0"/>
              <w:snapToGrid w:val="0"/>
              <w:spacing w:line="360" w:lineRule="auto"/>
              <w:ind w:firstLine="480" w:firstLineChars="200"/>
              <w:rPr>
                <w:sz w:val="24"/>
              </w:rPr>
            </w:pPr>
            <w:r>
              <w:rPr>
                <w:sz w:val="24"/>
              </w:rPr>
              <w:t>项目用地不属于《禁止用地项目目录（2012年本）》和《限制用地项目目录（2012年本）》所规定的用地类型，因此项目建设符合国家产业政策</w:t>
            </w:r>
            <w:r>
              <w:rPr>
                <w:rFonts w:hint="eastAsia"/>
                <w:sz w:val="24"/>
              </w:rPr>
              <w:t>。</w:t>
            </w:r>
          </w:p>
          <w:p>
            <w:pPr>
              <w:autoSpaceDE w:val="0"/>
              <w:autoSpaceDN w:val="0"/>
              <w:adjustRightInd w:val="0"/>
              <w:snapToGrid w:val="0"/>
              <w:spacing w:line="360" w:lineRule="auto"/>
              <w:ind w:firstLine="480" w:firstLineChars="200"/>
              <w:rPr>
                <w:sz w:val="24"/>
              </w:rPr>
            </w:pPr>
            <w:r>
              <w:rPr>
                <w:rFonts w:hint="eastAsia"/>
                <w:sz w:val="24"/>
              </w:rPr>
              <w:t>根据《湖南省关于推进农业产业精准扶贫工作的意见》（湘扶办联〔2015〕16号）中“2、加快发展养殖产业。重点扶持发展草食牧业，加快牛羊生产大县建设。支持永顺、凤凰、永定等19个贫困县发展肉牛生产，石门、安化、慈利等13个贫困县发展肉羊生产，组织实施好南方现代草地畜牧业推进行动、现代草食牧业示范县和基础母牛扩群增量补贴等项目，力争贫困地区牛羊肉产量和产值年递增5%以上。培优做强湘西黄牛、湘西黑猪、马头山羊等地方特色畜禽品种。</w:t>
            </w:r>
            <w:r>
              <w:rPr>
                <w:rFonts w:hint="eastAsia"/>
                <w:b/>
                <w:bCs/>
                <w:sz w:val="24"/>
              </w:rPr>
              <w:t>大力发展高效水产养殖，积极推广稻一鱼（鳅蛙等）”共生和稻鱼轮养轮种模式</w:t>
            </w:r>
            <w:r>
              <w:rPr>
                <w:rFonts w:hint="eastAsia"/>
                <w:sz w:val="24"/>
              </w:rPr>
              <w:t>，扩大新化、安化稻田综合种养试点，加快改造贫困地区稻田综合种养基础设施。充分利用冷、热水资源发展冷水性鱼类和罗非鱼养殖，开展流水养殖和地方品种鱼类养殖，支持张家界大鲵产业发展。力争十三五期间全省贫困地区发展稻田综合种养100万亩以上，流水养鱼10万亩。稳定发展生猪生产，重点抓好茶陵、邵阳、洞口等16个贫困县规模养殖场标准化建设。扶持壮大雪峰乌骨鸡、武冈铜鹅、九疑山免等优势特色家禽生产。”内容，本项目为稻蛙共作生态养殖项目，符合该工作的意见的指导内容。</w:t>
            </w:r>
          </w:p>
          <w:p>
            <w:pPr>
              <w:autoSpaceDE w:val="0"/>
              <w:autoSpaceDN w:val="0"/>
              <w:adjustRightInd w:val="0"/>
              <w:snapToGrid w:val="0"/>
              <w:spacing w:line="360" w:lineRule="auto"/>
              <w:ind w:firstLine="480" w:firstLineChars="200"/>
              <w:rPr>
                <w:kern w:val="0"/>
                <w:sz w:val="24"/>
              </w:rPr>
            </w:pPr>
            <w:r>
              <w:rPr>
                <w:rFonts w:hint="eastAsia"/>
                <w:sz w:val="24"/>
              </w:rPr>
              <w:t>根据《关于大力发展稻田综合种养加快贫困农民脱贫致富的指导意见》（湘扶办联〔2015〕16号）中“稻田综合种养是充分利用生物间资源互补的循环生态学机理，达到稻-渔生态系统平衡的一种生产方式。一方面鱼（蟹、虾等）可以清除稻田中的杂草、病害虫，另一方面鱼的粪便又可以为水稻提供肥料。稻田综合种养主要分稻鱼共生与稻鱼轮种轮养两种形式。</w:t>
            </w:r>
            <w:r>
              <w:rPr>
                <w:rFonts w:hint="eastAsia"/>
                <w:b/>
                <w:bCs/>
                <w:sz w:val="24"/>
              </w:rPr>
              <w:t>稻鱼共生主要有稻-蟹、稻-鳖、稻-虾、稻-鱼、稻-鳅、稻-蛙等模式</w:t>
            </w:r>
            <w:r>
              <w:rPr>
                <w:rFonts w:hint="eastAsia"/>
                <w:sz w:val="24"/>
              </w:rPr>
              <w:t>；稻鱼轮种轮养是种一季水稻养一批鱼。稻田综合种养投资小、见效快、风险小、效益高，一般情况下每亩年增效益在一千元以上，有的可达三、四千元，真正做到了“一水两用、一田双收，稳粮增鱼、粮鱼双赢”，相比单一种植水稻，效益大幅提升；同时稻田综合种养减少了稻谷和水产品的农药残留，并有效控制了农业面源污染，有利于生产出绿色、有机农产品，对提升水稻和水产品的质量安全和品质具有重要意义。各级扶贫和畜牧水产部门，尤其是扶贫工作重点县的扶贫办、畜牧水产局要充分认清我省在稻田综合种养方面的自然优势，充分认识到稻田综合种养在促进精准扶贫、精准脱贫过程中蕴藏的巨大潜力，切实加强组织指导，广泛调动农民群众特别是贫困群众参与稻田综合种养的积极性、主动性，使其成为湖南实施精准扶贫、精准脱贫的特色产业路子。”内容，本项目为稻蛙共作生态养殖项目，符合该指导意见的内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431" w:hRule="atLeast"/>
        </w:trPr>
        <w:tc>
          <w:tcPr>
            <w:tcW w:w="2226" w:type="dxa"/>
            <w:tcBorders>
              <w:tl2br w:val="nil"/>
              <w:tr2bl w:val="nil"/>
            </w:tcBorders>
            <w:tcMar>
              <w:top w:w="16" w:type="dxa"/>
              <w:left w:w="16" w:type="dxa"/>
              <w:right w:w="16" w:type="dxa"/>
            </w:tcMar>
            <w:vAlign w:val="center"/>
          </w:tcPr>
          <w:p>
            <w:pPr>
              <w:autoSpaceDE w:val="0"/>
              <w:autoSpaceDN w:val="0"/>
              <w:adjustRightInd w:val="0"/>
              <w:snapToGrid w:val="0"/>
              <w:jc w:val="center"/>
              <w:rPr>
                <w:kern w:val="0"/>
                <w:sz w:val="24"/>
              </w:rPr>
            </w:pPr>
            <w:bookmarkStart w:id="4" w:name="_Hlk56690880"/>
            <w:r>
              <w:rPr>
                <w:kern w:val="0"/>
                <w:sz w:val="24"/>
              </w:rPr>
              <w:t>其他符合性分析</w:t>
            </w:r>
            <w:bookmarkEnd w:id="4"/>
          </w:p>
        </w:tc>
        <w:tc>
          <w:tcPr>
            <w:tcW w:w="6813" w:type="dxa"/>
            <w:gridSpan w:val="4"/>
            <w:tcBorders>
              <w:tl2br w:val="nil"/>
              <w:tr2bl w:val="nil"/>
            </w:tcBorders>
            <w:tcMar>
              <w:top w:w="16" w:type="dxa"/>
              <w:left w:w="16" w:type="dxa"/>
              <w:right w:w="16" w:type="dxa"/>
            </w:tcMar>
            <w:vAlign w:val="center"/>
          </w:tcPr>
          <w:p>
            <w:pPr>
              <w:adjustRightInd w:val="0"/>
              <w:snapToGrid w:val="0"/>
              <w:spacing w:line="360" w:lineRule="auto"/>
              <w:ind w:firstLine="482" w:firstLineChars="200"/>
              <w:rPr>
                <w:b/>
                <w:bCs/>
                <w:sz w:val="24"/>
              </w:rPr>
            </w:pPr>
            <w:r>
              <w:rPr>
                <w:rFonts w:hint="eastAsia"/>
                <w:b/>
                <w:bCs/>
                <w:sz w:val="24"/>
              </w:rPr>
              <w:t>1、</w:t>
            </w:r>
            <w:r>
              <w:rPr>
                <w:b/>
                <w:bCs/>
                <w:sz w:val="24"/>
              </w:rPr>
              <w:t>与“三线一单”相符性分析</w:t>
            </w:r>
          </w:p>
          <w:p>
            <w:pPr>
              <w:adjustRightInd w:val="0"/>
              <w:snapToGrid w:val="0"/>
              <w:spacing w:line="360" w:lineRule="auto"/>
              <w:ind w:firstLine="480" w:firstLineChars="200"/>
              <w:rPr>
                <w:sz w:val="24"/>
              </w:rPr>
            </w:pPr>
            <w:r>
              <w:rPr>
                <w:sz w:val="24"/>
              </w:rPr>
              <w:t>根据《关于以改善环境质量为核心加强环境影响评价管理的通知》（环评[2016]150号）：</w:t>
            </w:r>
            <w:r>
              <w:rPr>
                <w:rFonts w:hint="eastAsia"/>
                <w:sz w:val="24"/>
              </w:rPr>
              <w:t>“</w:t>
            </w:r>
            <w:r>
              <w:rPr>
                <w:sz w:val="24"/>
              </w:rPr>
              <w:t>为适应以改善环境质量为核心的环境管理要求</w:t>
            </w:r>
            <w:r>
              <w:rPr>
                <w:rFonts w:hint="eastAsia"/>
                <w:sz w:val="24"/>
              </w:rPr>
              <w:t>”</w:t>
            </w:r>
            <w:r>
              <w:rPr>
                <w:sz w:val="24"/>
              </w:rPr>
              <w:t>，切实加强环境影响评价（以下简称环评）管理，落实</w:t>
            </w:r>
            <w:r>
              <w:rPr>
                <w:rFonts w:hint="eastAsia"/>
                <w:sz w:val="24"/>
              </w:rPr>
              <w:t>“</w:t>
            </w:r>
            <w:r>
              <w:rPr>
                <w:sz w:val="24"/>
              </w:rPr>
              <w:t>生态保护红线、环境质量底线、资源利用上线和环境准入负面清单</w:t>
            </w:r>
            <w:r>
              <w:rPr>
                <w:rFonts w:hint="eastAsia"/>
                <w:sz w:val="24"/>
              </w:rPr>
              <w:t>”</w:t>
            </w:r>
            <w:r>
              <w:rPr>
                <w:sz w:val="24"/>
              </w:rPr>
              <w:t>（以下简称三线一单）约束</w:t>
            </w:r>
            <w:r>
              <w:rPr>
                <w:rFonts w:hint="eastAsia"/>
                <w:sz w:val="24"/>
              </w:rPr>
              <w:t>。</w:t>
            </w:r>
          </w:p>
          <w:p>
            <w:pPr>
              <w:adjustRightInd w:val="0"/>
              <w:snapToGrid w:val="0"/>
              <w:spacing w:line="360" w:lineRule="auto"/>
              <w:ind w:firstLine="480" w:firstLineChars="200"/>
              <w:rPr>
                <w:sz w:val="24"/>
              </w:rPr>
            </w:pPr>
            <w:r>
              <w:rPr>
                <w:rFonts w:hint="eastAsia"/>
                <w:sz w:val="24"/>
              </w:rPr>
              <w:t>并且结合根据永州市人民政府出台的《关于“三线一单”生态环境分区管控的实施意见》（永政发【2020】11号）：“（一）划分环境管控单元：</w:t>
            </w:r>
            <w:r>
              <w:rPr>
                <w:sz w:val="24"/>
              </w:rPr>
              <w:t>根据省级</w:t>
            </w:r>
            <w:r>
              <w:rPr>
                <w:rFonts w:hint="eastAsia"/>
                <w:sz w:val="24"/>
              </w:rPr>
              <w:t>“</w:t>
            </w:r>
            <w:r>
              <w:rPr>
                <w:sz w:val="24"/>
              </w:rPr>
              <w:t>三线一单</w:t>
            </w:r>
            <w:r>
              <w:rPr>
                <w:rFonts w:hint="eastAsia"/>
                <w:sz w:val="24"/>
              </w:rPr>
              <w:t>”</w:t>
            </w:r>
            <w:r>
              <w:rPr>
                <w:sz w:val="24"/>
              </w:rPr>
              <w:t>编制成果，全市共划定环境管控单元82个</w:t>
            </w:r>
            <w:r>
              <w:rPr>
                <w:rFonts w:hint="eastAsia"/>
                <w:sz w:val="24"/>
              </w:rPr>
              <w:t>，分别为优先保护单元、重点管控单元和一般管控单元。（二）制定生态环境准入清单：以环境管控单元为基础，结合“</w:t>
            </w:r>
            <w:r>
              <w:rPr>
                <w:sz w:val="24"/>
              </w:rPr>
              <w:t>三线”划定情况，从空间布局约束、污染物排放管控、环境风险防控和资源利用效率等方面明确准入、限制和禁止的要求</w:t>
            </w:r>
            <w:r>
              <w:rPr>
                <w:rFonts w:hint="eastAsia"/>
                <w:sz w:val="24"/>
              </w:rPr>
              <w:t>。（3）</w:t>
            </w:r>
            <w:r>
              <w:rPr>
                <w:sz w:val="24"/>
              </w:rPr>
              <w:t>分区环境管控要求</w:t>
            </w:r>
            <w:r>
              <w:rPr>
                <w:rFonts w:hint="eastAsia"/>
                <w:sz w:val="24"/>
              </w:rPr>
              <w:t>：</w:t>
            </w:r>
            <w:r>
              <w:rPr>
                <w:sz w:val="24"/>
              </w:rPr>
              <w:t>优先保护单元以生态保护为导向，依法禁止或限制大规模、高强度的开发建设活动，确保生态环境功能不降低。重点管控单元以产业高质量发展和环境保护协调为主，优化空间布局，促进产业转型升级改造，加强污染物排放监管、污染治理和环境风险防控，进一步提升资源利用效率。一般管控单元以经济社会可持续发展为导向，开发建设应落实现行生态环境保护基本要求。</w:t>
            </w:r>
            <w:r>
              <w:rPr>
                <w:rFonts w:hint="eastAsia"/>
                <w:sz w:val="24"/>
              </w:rPr>
              <w:t>”</w:t>
            </w:r>
            <w:r>
              <w:rPr>
                <w:sz w:val="24"/>
              </w:rPr>
              <w:t>。</w:t>
            </w:r>
          </w:p>
          <w:p>
            <w:pPr>
              <w:adjustRightInd w:val="0"/>
              <w:snapToGrid w:val="0"/>
              <w:spacing w:line="360" w:lineRule="auto"/>
              <w:ind w:firstLine="480" w:firstLineChars="200"/>
              <w:rPr>
                <w:sz w:val="24"/>
              </w:rPr>
            </w:pPr>
            <w:r>
              <w:rPr>
                <w:rFonts w:hint="eastAsia"/>
                <w:sz w:val="24"/>
              </w:rPr>
              <w:t>综上所述，本项目</w:t>
            </w:r>
            <w:r>
              <w:rPr>
                <w:sz w:val="24"/>
              </w:rPr>
              <w:t>与《关于以改善环境质量为核心加强环境影响评价管理的通知》（环评[2016]150号）</w:t>
            </w:r>
            <w:r>
              <w:rPr>
                <w:rFonts w:hint="eastAsia"/>
                <w:sz w:val="24"/>
              </w:rPr>
              <w:t>和《永州市生态保护红线、环境质量底线、资源利用上线和生态环境准入清单生态环境分区管控成果》</w:t>
            </w:r>
            <w:r>
              <w:rPr>
                <w:sz w:val="24"/>
              </w:rPr>
              <w:t>符合性见</w:t>
            </w:r>
            <w:r>
              <w:rPr>
                <w:rFonts w:hint="eastAsia"/>
                <w:sz w:val="24"/>
              </w:rPr>
              <w:t>下</w:t>
            </w:r>
            <w:r>
              <w:rPr>
                <w:sz w:val="24"/>
              </w:rPr>
              <w:t>表</w:t>
            </w:r>
            <w:r>
              <w:rPr>
                <w:rFonts w:hint="eastAsia"/>
                <w:sz w:val="24"/>
              </w:rPr>
              <w:t>1-1。</w:t>
            </w:r>
          </w:p>
          <w:p>
            <w:pPr>
              <w:adjustRightInd w:val="0"/>
              <w:snapToGrid w:val="0"/>
              <w:jc w:val="center"/>
              <w:rPr>
                <w:b/>
                <w:bCs/>
              </w:rPr>
            </w:pPr>
            <w:r>
              <w:rPr>
                <w:b/>
                <w:bCs/>
              </w:rPr>
              <w:t>表</w:t>
            </w:r>
            <w:r>
              <w:rPr>
                <w:rFonts w:hint="eastAsia"/>
                <w:b/>
                <w:bCs/>
              </w:rPr>
              <w:t>1</w:t>
            </w:r>
            <w:r>
              <w:rPr>
                <w:b/>
                <w:bCs/>
              </w:rPr>
              <w:t>-</w:t>
            </w:r>
            <w:r>
              <w:rPr>
                <w:rFonts w:hint="eastAsia"/>
                <w:b/>
                <w:bCs/>
              </w:rPr>
              <w:t xml:space="preserve">1 </w:t>
            </w:r>
            <w:r>
              <w:rPr>
                <w:b/>
                <w:bCs/>
              </w:rPr>
              <w:t xml:space="preserve"> 项目与“三线一单”相符性分析</w:t>
            </w:r>
          </w:p>
          <w:tbl>
            <w:tblPr>
              <w:tblStyle w:val="24"/>
              <w:tblW w:w="4808" w:type="pct"/>
              <w:tblInd w:w="134" w:type="dxa"/>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autofit"/>
              <w:tblCellMar>
                <w:top w:w="0" w:type="dxa"/>
                <w:left w:w="108" w:type="dxa"/>
                <w:bottom w:w="0" w:type="dxa"/>
                <w:right w:w="108" w:type="dxa"/>
              </w:tblCellMar>
            </w:tblPr>
            <w:tblGrid>
              <w:gridCol w:w="685"/>
              <w:gridCol w:w="3679"/>
              <w:gridCol w:w="2147"/>
            </w:tblGrid>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90" w:hRule="atLeast"/>
              </w:trPr>
              <w:tc>
                <w:tcPr>
                  <w:tcW w:w="526" w:type="pct"/>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pPr>
                  <w:r>
                    <w:t>生态保护红线</w:t>
                  </w:r>
                </w:p>
              </w:tc>
              <w:tc>
                <w:tcPr>
                  <w:tcW w:w="2825" w:type="pct"/>
                  <w:tcBorders>
                    <w:top w:val="single" w:color="000000" w:sz="6" w:space="0"/>
                    <w:left w:val="single" w:color="000000" w:sz="6" w:space="0"/>
                    <w:bottom w:val="single" w:color="000000" w:sz="6" w:space="0"/>
                    <w:right w:val="single" w:color="000000" w:sz="4" w:space="0"/>
                  </w:tcBorders>
                  <w:vAlign w:val="center"/>
                </w:tcPr>
                <w:p>
                  <w:pPr>
                    <w:adjustRightInd w:val="0"/>
                    <w:snapToGrid w:val="0"/>
                  </w:pPr>
                  <w:r>
                    <w:t>项目所在的龙泉镇为</w:t>
                  </w:r>
                  <w:r>
                    <w:rPr>
                      <w:rFonts w:hint="eastAsia"/>
                    </w:rPr>
                    <w:t>重点</w:t>
                  </w:r>
                  <w:r>
                    <w:t>管控单元，环境管控单元编码为ZH43112820003；</w:t>
                  </w:r>
                </w:p>
                <w:p>
                  <w:pPr>
                    <w:adjustRightInd w:val="0"/>
                    <w:snapToGrid w:val="0"/>
                  </w:pPr>
                  <w:r>
                    <w:t>主体功能定位为：国家重点生态功能区。</w:t>
                  </w:r>
                </w:p>
                <w:p>
                  <w:pPr>
                    <w:adjustRightInd w:val="0"/>
                    <w:snapToGrid w:val="0"/>
                  </w:pPr>
                  <w:r>
                    <w:t>经济产业布局为：农产品加工等。</w:t>
                  </w:r>
                </w:p>
                <w:p>
                  <w:pPr>
                    <w:adjustRightInd w:val="0"/>
                    <w:snapToGrid w:val="0"/>
                  </w:pPr>
                  <w:r>
                    <w:t>主要属性：生态保护红线/一般生态空间(公益林/森林公园/湿地公园/石漠化敏感区/水土保持功能重要区/水土流失敏感区/水源涵养重要区)；水环境一般</w:t>
                  </w:r>
                </w:p>
                <w:p>
                  <w:pPr>
                    <w:adjustRightInd w:val="0"/>
                    <w:snapToGrid w:val="0"/>
                  </w:pPr>
                  <w:r>
                    <w:t>管控区/水环境工业污染重点管控区(新田工业集中区外围汇水区、城镇生活污水处理厂-永州市北控污水净化有限公司新田县分公司)/水环境优先保护区(湖南新田河省级湿地公园/)；大气环境弱扩散重点管控区/大气环境受体敏感重点管控区/大气环境一般管控区/大气环境高排放重点管控区(新田工业集中区核准范围外已建成区)；农用地优先保护区/土壤污染风险一般管控区/其他土壤重点管控区(市县级采矿权/砂石矿)；高污染燃料禁燃区；城市规划区</w:t>
                  </w:r>
                </w:p>
                <w:p>
                  <w:pPr>
                    <w:adjustRightInd w:val="0"/>
                    <w:snapToGrid w:val="0"/>
                  </w:pPr>
                  <w:r>
                    <w:t>空间布局约束：</w:t>
                  </w:r>
                </w:p>
                <w:p>
                  <w:pPr>
                    <w:adjustRightInd w:val="0"/>
                    <w:snapToGrid w:val="0"/>
                  </w:pPr>
                  <w:r>
                    <w:t>（1.1）产业准入应符合“新田县产业准入负面清单”的规定。积极发展富硒农产品精深加工产业。</w:t>
                  </w:r>
                </w:p>
                <w:p>
                  <w:pPr>
                    <w:adjustRightInd w:val="0"/>
                    <w:snapToGrid w:val="0"/>
                  </w:pPr>
                  <w:r>
                    <w:t>（1.2）城市规划区内禁止新建烧制建筑砖瓦厂；城市建成区内禁止新建混凝土和沥青搅拌站。</w:t>
                  </w:r>
                </w:p>
                <w:p>
                  <w:pPr>
                    <w:adjustRightInd w:val="0"/>
                    <w:snapToGrid w:val="0"/>
                  </w:pPr>
                  <w:r>
                    <w:t>（1.3）新田工业集中区调区扩区原则上不应超出省级主管部门确定的拓展空间；对园区外的现有企业加强环境监管，确保污染物达标排放。</w:t>
                  </w:r>
                </w:p>
                <w:p>
                  <w:pPr>
                    <w:adjustRightInd w:val="0"/>
                    <w:snapToGrid w:val="0"/>
                  </w:pPr>
                  <w:r>
                    <w:t>污染物排放管控：</w:t>
                  </w:r>
                </w:p>
                <w:p>
                  <w:pPr>
                    <w:adjustRightInd w:val="0"/>
                    <w:snapToGrid w:val="0"/>
                  </w:pPr>
                  <w:r>
                    <w:t>（2.1）有关行业新建项目必须执行《新田县环境突出问题集中整治重点行业操作规范</w:t>
                  </w:r>
                  <w:r>
                    <w:rPr>
                      <w:rFonts w:hint="eastAsia"/>
                      <w:lang w:eastAsia="zh-CN"/>
                    </w:rPr>
                    <w:t>（试行）》</w:t>
                  </w:r>
                  <w:r>
                    <w:t>，现有项目必须在规定期限内达到《规范》要求，否则自行淘汰退出。</w:t>
                  </w:r>
                </w:p>
                <w:p>
                  <w:pPr>
                    <w:adjustRightInd w:val="0"/>
                    <w:snapToGrid w:val="0"/>
                  </w:pPr>
                  <w:r>
                    <w:t>（2.2）统筹推进生活垃圾和农业生产废弃物利用、处理，推行垃圾就地分类减量和资源化利用，实现“户分类、村收集、镇转运、县处理”垃圾处理模式。禁止露天焚烧秸秆和生活垃圾。</w:t>
                  </w:r>
                </w:p>
              </w:tc>
              <w:tc>
                <w:tcPr>
                  <w:tcW w:w="1648" w:type="pct"/>
                  <w:tcBorders>
                    <w:top w:val="single" w:color="000000" w:sz="6" w:space="0"/>
                    <w:left w:val="single" w:color="000000" w:sz="6" w:space="0"/>
                    <w:bottom w:val="single" w:color="000000" w:sz="6" w:space="0"/>
                    <w:right w:val="single" w:color="000000" w:sz="4" w:space="0"/>
                  </w:tcBorders>
                  <w:vAlign w:val="center"/>
                </w:tcPr>
                <w:p>
                  <w:pPr>
                    <w:adjustRightInd w:val="0"/>
                    <w:snapToGrid w:val="0"/>
                    <w:jc w:val="center"/>
                  </w:pPr>
                  <w:r>
                    <w:t>本项目为稻蛙共作生态养殖项目，项目租赁挂兰村</w:t>
                  </w:r>
                  <w:r>
                    <w:rPr>
                      <w:rFonts w:hint="eastAsia"/>
                    </w:rPr>
                    <w:t>部分农田用于养殖</w:t>
                  </w:r>
                  <w:r>
                    <w:t>，本项目用地不占用生态红线。属于现代农业范畴，废水处理达标后</w:t>
                  </w:r>
                  <w:r>
                    <w:rPr>
                      <w:rFonts w:hint="eastAsia"/>
                    </w:rPr>
                    <w:t>外排至日东河</w:t>
                  </w:r>
                  <w:r>
                    <w:t>，符合生态保护红线要求</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170" w:hRule="atLeast"/>
              </w:trPr>
              <w:tc>
                <w:tcPr>
                  <w:tcW w:w="526" w:type="pct"/>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pPr>
                  <w:r>
                    <w:t>环境质量底线</w:t>
                  </w:r>
                </w:p>
              </w:tc>
              <w:tc>
                <w:tcPr>
                  <w:tcW w:w="2825" w:type="pct"/>
                  <w:tcBorders>
                    <w:top w:val="single" w:color="000000" w:sz="6" w:space="0"/>
                    <w:left w:val="single" w:color="000000" w:sz="6" w:space="0"/>
                    <w:bottom w:val="single" w:color="000000" w:sz="6" w:space="0"/>
                    <w:right w:val="single" w:color="000000" w:sz="4" w:space="0"/>
                  </w:tcBorders>
                  <w:vAlign w:val="center"/>
                </w:tcPr>
                <w:p>
                  <w:pPr>
                    <w:adjustRightInd w:val="0"/>
                    <w:snapToGrid w:val="0"/>
                    <w:jc w:val="center"/>
                  </w:pPr>
                  <w:r>
                    <w:t>根据现状监测结果可知，项目所在区域大气、地表水、声等环境质量能够满足相应功能区划要求。在严格落实各项污染防治措施的前提下，本项目的建设对周边环境影响较小，建成后不会突破当地环境质量底线</w:t>
                  </w:r>
                </w:p>
              </w:tc>
              <w:tc>
                <w:tcPr>
                  <w:tcW w:w="1648" w:type="pct"/>
                  <w:tcBorders>
                    <w:top w:val="single" w:color="000000" w:sz="6" w:space="0"/>
                    <w:left w:val="single" w:color="000000" w:sz="6" w:space="0"/>
                    <w:bottom w:val="single" w:color="000000" w:sz="6" w:space="0"/>
                    <w:right w:val="single" w:color="000000" w:sz="4" w:space="0"/>
                  </w:tcBorders>
                  <w:vAlign w:val="center"/>
                </w:tcPr>
                <w:p>
                  <w:pPr>
                    <w:adjustRightInd w:val="0"/>
                    <w:snapToGrid w:val="0"/>
                    <w:jc w:val="center"/>
                  </w:pPr>
                  <w:r>
                    <w:t>根据现状监测结果可知，项目所在区域</w:t>
                  </w:r>
                  <w:r>
                    <w:rPr>
                      <w:rFonts w:hint="eastAsia"/>
                    </w:rPr>
                    <w:t>目前大气、地表水、声等环境质量能够满足相应功能区划要求，在运营过程中，据项目建设方提供资料：没有越冬的成年蛙在养殖周期内不会有群体性蛙鸣，偶发性个体蛙鸣不会产生噪声污染超标排放，且项目建设公司已经作出相关承诺（详见附件）</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170" w:hRule="atLeast"/>
              </w:trPr>
              <w:tc>
                <w:tcPr>
                  <w:tcW w:w="526" w:type="pct"/>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pPr>
                  <w:r>
                    <w:t>资源利用上线</w:t>
                  </w:r>
                </w:p>
              </w:tc>
              <w:tc>
                <w:tcPr>
                  <w:tcW w:w="2825" w:type="pct"/>
                  <w:tcBorders>
                    <w:top w:val="single" w:color="000000" w:sz="6" w:space="0"/>
                    <w:left w:val="single" w:color="000000" w:sz="6" w:space="0"/>
                    <w:bottom w:val="single" w:color="000000" w:sz="6" w:space="0"/>
                    <w:right w:val="single" w:color="000000" w:sz="4" w:space="0"/>
                  </w:tcBorders>
                  <w:vAlign w:val="center"/>
                </w:tcPr>
                <w:p>
                  <w:pPr>
                    <w:adjustRightInd w:val="0"/>
                    <w:snapToGrid w:val="0"/>
                    <w:jc w:val="center"/>
                  </w:pPr>
                  <w:r>
                    <w:t>项目所在地不属于资源、能源紧缺区域，不会超过资源利用上线</w:t>
                  </w:r>
                </w:p>
              </w:tc>
              <w:tc>
                <w:tcPr>
                  <w:tcW w:w="1648" w:type="pct"/>
                  <w:tcBorders>
                    <w:top w:val="single" w:color="000000" w:sz="6" w:space="0"/>
                    <w:left w:val="single" w:color="000000" w:sz="6" w:space="0"/>
                    <w:bottom w:val="single" w:color="000000" w:sz="6" w:space="0"/>
                    <w:right w:val="single" w:color="000000" w:sz="4" w:space="0"/>
                  </w:tcBorders>
                  <w:vAlign w:val="center"/>
                </w:tcPr>
                <w:p>
                  <w:pPr>
                    <w:adjustRightInd w:val="0"/>
                    <w:snapToGrid w:val="0"/>
                    <w:jc w:val="center"/>
                  </w:pPr>
                  <w:r>
                    <w:t>本项目为稻蛙共作生态养殖项目，营运过程中消耗一点量的水资源以及电资源，区域内生活用水来自桶装饮用水，生产用水来自日东河，能源主要依托当地电网供电，项目资源消耗相对区域资源利用总量较小</w:t>
                  </w:r>
                  <w:r>
                    <w:rPr>
                      <w:rFonts w:hint="eastAsia"/>
                    </w:rPr>
                    <w:t>；本项目养殖区面积约77333.3m</w:t>
                  </w:r>
                  <w:r>
                    <w:rPr>
                      <w:rFonts w:hint="eastAsia"/>
                      <w:vertAlign w:val="superscript"/>
                    </w:rPr>
                    <w:t>2</w:t>
                  </w:r>
                  <w:r>
                    <w:rPr>
                      <w:rFonts w:hint="eastAsia"/>
                    </w:rPr>
                    <w:t>，沟坑面积约为</w:t>
                  </w:r>
                  <w:r>
                    <w:rPr>
                      <w:rFonts w:hint="eastAsia"/>
                      <w:szCs w:val="21"/>
                    </w:rPr>
                    <w:t>540m</w:t>
                  </w:r>
                  <w:r>
                    <w:rPr>
                      <w:rFonts w:hint="eastAsia"/>
                      <w:szCs w:val="21"/>
                      <w:vertAlign w:val="superscript"/>
                    </w:rPr>
                    <w:t>2</w:t>
                  </w:r>
                  <w:r>
                    <w:rPr>
                      <w:rFonts w:hint="eastAsia"/>
                      <w:szCs w:val="21"/>
                    </w:rPr>
                    <w:t>，占养殖区面积的0.7%，满足《稻渔综合种养技术规范通则标准》沟坑占比规定，</w:t>
                  </w:r>
                  <w:r>
                    <w:t>符合资源利用上线要求</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PrEx>
              <w:trPr>
                <w:trHeight w:val="170" w:hRule="atLeast"/>
              </w:trPr>
              <w:tc>
                <w:tcPr>
                  <w:tcW w:w="526" w:type="pct"/>
                  <w:tcBorders>
                    <w:top w:val="single" w:color="000000" w:sz="6" w:space="0"/>
                    <w:left w:val="single" w:color="000000" w:sz="6" w:space="0"/>
                    <w:bottom w:val="single" w:color="000000" w:sz="4" w:space="0"/>
                    <w:right w:val="single" w:color="000000" w:sz="6" w:space="0"/>
                  </w:tcBorders>
                  <w:vAlign w:val="center"/>
                </w:tcPr>
                <w:p>
                  <w:pPr>
                    <w:adjustRightInd w:val="0"/>
                    <w:snapToGrid w:val="0"/>
                    <w:jc w:val="center"/>
                  </w:pPr>
                  <w:r>
                    <w:t>环境准入负面清单</w:t>
                  </w:r>
                </w:p>
              </w:tc>
              <w:tc>
                <w:tcPr>
                  <w:tcW w:w="2825" w:type="pct"/>
                  <w:tcBorders>
                    <w:top w:val="single" w:color="000000" w:sz="6" w:space="0"/>
                    <w:left w:val="single" w:color="000000" w:sz="6" w:space="0"/>
                    <w:bottom w:val="single" w:color="000000" w:sz="4" w:space="0"/>
                    <w:right w:val="single" w:color="000000" w:sz="4" w:space="0"/>
                  </w:tcBorders>
                  <w:vAlign w:val="center"/>
                </w:tcPr>
                <w:p>
                  <w:pPr>
                    <w:adjustRightInd w:val="0"/>
                    <w:snapToGrid w:val="0"/>
                    <w:jc w:val="center"/>
                  </w:pPr>
                  <w:r>
                    <w:rPr>
                      <w:rFonts w:hint="eastAsia"/>
                    </w:rPr>
                    <w:t>本项目属于重点管控单元，详见附图。</w:t>
                  </w:r>
                  <w:r>
                    <w:t>本项目为内陆养殖</w:t>
                  </w:r>
                  <w:r>
                    <w:rPr>
                      <w:rFonts w:hint="eastAsia"/>
                    </w:rPr>
                    <w:t>，</w:t>
                  </w:r>
                  <w:r>
                    <w:t>《产业结构调整指导目录》（2019年本），不属于其中的限制类和淘汰类</w:t>
                  </w:r>
                  <w:r>
                    <w:rPr>
                      <w:rFonts w:hint="eastAsia"/>
                    </w:rPr>
                    <w:t>。</w:t>
                  </w:r>
                  <w:r>
                    <w:t>因此，本项目的建设与国家和地方的产业政策相符，满足环境准入负面管理要求。</w:t>
                  </w:r>
                </w:p>
              </w:tc>
              <w:tc>
                <w:tcPr>
                  <w:tcW w:w="1648" w:type="pct"/>
                  <w:tcBorders>
                    <w:top w:val="single" w:color="000000" w:sz="6" w:space="0"/>
                    <w:left w:val="single" w:color="000000" w:sz="6" w:space="0"/>
                    <w:bottom w:val="single" w:color="000000" w:sz="4" w:space="0"/>
                    <w:right w:val="single" w:color="000000" w:sz="4" w:space="0"/>
                  </w:tcBorders>
                  <w:vAlign w:val="center"/>
                </w:tcPr>
                <w:p>
                  <w:pPr>
                    <w:adjustRightInd w:val="0"/>
                    <w:snapToGrid w:val="0"/>
                    <w:jc w:val="center"/>
                  </w:pPr>
                  <w:r>
                    <w:rPr>
                      <w:rFonts w:hint="eastAsia"/>
                    </w:rPr>
                    <w:t>根据，《新田县产业准入负面清单》内容“禁止在水库、河流干道发展网箱养鱼，在县城规划区内新建规模养殖场，天然草场超载放牧”，根据核对新田县县城总体规划图，本项目不位于县城规划区内（详见附图8）</w:t>
                  </w:r>
                </w:p>
              </w:tc>
            </w:tr>
          </w:tbl>
          <w:p>
            <w:pPr>
              <w:adjustRightInd w:val="0"/>
              <w:snapToGrid w:val="0"/>
              <w:spacing w:line="360" w:lineRule="auto"/>
              <w:ind w:firstLine="480" w:firstLineChars="200"/>
              <w:rPr>
                <w:sz w:val="24"/>
              </w:rPr>
            </w:pPr>
            <w:r>
              <w:rPr>
                <w:sz w:val="24"/>
              </w:rPr>
              <w:t>由上表可知，本项目不在生态敏感区保护范围内，符合《关于以改善环境质量为核心加强环境影响评价管理的通知》（环评[2016]150号）</w:t>
            </w:r>
            <w:r>
              <w:rPr>
                <w:rFonts w:hint="eastAsia"/>
                <w:sz w:val="24"/>
              </w:rPr>
              <w:t>和《关于“三线一单”生态环境分区管控的实施意见》（永政发【2020】11号）管理要求</w:t>
            </w:r>
            <w:r>
              <w:rPr>
                <w:sz w:val="24"/>
              </w:rPr>
              <w:t>。</w:t>
            </w:r>
          </w:p>
          <w:p>
            <w:pPr>
              <w:autoSpaceDE w:val="0"/>
              <w:autoSpaceDN w:val="0"/>
              <w:adjustRightInd w:val="0"/>
              <w:snapToGrid w:val="0"/>
              <w:spacing w:line="360" w:lineRule="auto"/>
              <w:ind w:firstLine="480" w:firstLineChars="200"/>
              <w:rPr>
                <w:sz w:val="24"/>
              </w:rPr>
            </w:pPr>
            <w:r>
              <w:rPr>
                <w:sz w:val="24"/>
              </w:rPr>
              <w:t>综上，项目建设不存在明显限制因素，选址合理</w:t>
            </w:r>
            <w:r>
              <w:rPr>
                <w:rFonts w:hint="eastAsia"/>
                <w:sz w:val="24"/>
              </w:rPr>
              <w:t>。</w:t>
            </w:r>
          </w:p>
          <w:p>
            <w:pPr>
              <w:autoSpaceDE w:val="0"/>
              <w:autoSpaceDN w:val="0"/>
              <w:adjustRightInd w:val="0"/>
              <w:snapToGrid w:val="0"/>
              <w:spacing w:line="360" w:lineRule="auto"/>
              <w:ind w:firstLine="480" w:firstLineChars="200"/>
              <w:rPr>
                <w:sz w:val="24"/>
              </w:rPr>
            </w:pPr>
          </w:p>
          <w:p>
            <w:pPr>
              <w:autoSpaceDE w:val="0"/>
              <w:autoSpaceDN w:val="0"/>
              <w:adjustRightInd w:val="0"/>
              <w:snapToGrid w:val="0"/>
              <w:spacing w:line="360" w:lineRule="auto"/>
              <w:ind w:firstLine="480" w:firstLineChars="200"/>
              <w:rPr>
                <w:sz w:val="24"/>
              </w:rPr>
            </w:pPr>
          </w:p>
          <w:p>
            <w:pPr>
              <w:autoSpaceDE w:val="0"/>
              <w:autoSpaceDN w:val="0"/>
              <w:adjustRightInd w:val="0"/>
              <w:snapToGrid w:val="0"/>
              <w:spacing w:line="360" w:lineRule="auto"/>
              <w:ind w:firstLine="480" w:firstLineChars="200"/>
              <w:rPr>
                <w:sz w:val="24"/>
              </w:rPr>
            </w:pPr>
          </w:p>
          <w:p>
            <w:pPr>
              <w:autoSpaceDE w:val="0"/>
              <w:autoSpaceDN w:val="0"/>
              <w:adjustRightInd w:val="0"/>
              <w:snapToGrid w:val="0"/>
              <w:spacing w:line="360" w:lineRule="auto"/>
              <w:ind w:firstLine="480" w:firstLineChars="200"/>
              <w:rPr>
                <w:sz w:val="24"/>
              </w:rPr>
            </w:pPr>
          </w:p>
          <w:p>
            <w:pPr>
              <w:autoSpaceDE w:val="0"/>
              <w:autoSpaceDN w:val="0"/>
              <w:adjustRightInd w:val="0"/>
              <w:snapToGrid w:val="0"/>
              <w:spacing w:line="360" w:lineRule="auto"/>
              <w:ind w:firstLine="480" w:firstLineChars="200"/>
              <w:rPr>
                <w:sz w:val="24"/>
              </w:rPr>
            </w:pPr>
          </w:p>
          <w:p>
            <w:pPr>
              <w:autoSpaceDE w:val="0"/>
              <w:autoSpaceDN w:val="0"/>
              <w:adjustRightInd w:val="0"/>
              <w:snapToGrid w:val="0"/>
              <w:spacing w:line="360" w:lineRule="auto"/>
              <w:ind w:firstLine="480" w:firstLineChars="200"/>
              <w:rPr>
                <w:sz w:val="24"/>
              </w:rPr>
            </w:pPr>
          </w:p>
          <w:p>
            <w:pPr>
              <w:autoSpaceDE w:val="0"/>
              <w:autoSpaceDN w:val="0"/>
              <w:adjustRightInd w:val="0"/>
              <w:snapToGrid w:val="0"/>
              <w:spacing w:line="360" w:lineRule="auto"/>
              <w:ind w:firstLine="480" w:firstLineChars="200"/>
              <w:rPr>
                <w:sz w:val="24"/>
              </w:rPr>
            </w:pPr>
          </w:p>
          <w:p>
            <w:pPr>
              <w:autoSpaceDE w:val="0"/>
              <w:autoSpaceDN w:val="0"/>
              <w:adjustRightInd w:val="0"/>
              <w:snapToGrid w:val="0"/>
              <w:spacing w:line="360" w:lineRule="auto"/>
              <w:ind w:firstLine="480" w:firstLineChars="200"/>
              <w:rPr>
                <w:sz w:val="24"/>
              </w:rPr>
            </w:pPr>
          </w:p>
          <w:p>
            <w:pPr>
              <w:autoSpaceDE w:val="0"/>
              <w:autoSpaceDN w:val="0"/>
              <w:adjustRightInd w:val="0"/>
              <w:snapToGrid w:val="0"/>
              <w:spacing w:line="360" w:lineRule="auto"/>
              <w:rPr>
                <w:sz w:val="24"/>
              </w:rPr>
            </w:pPr>
          </w:p>
          <w:p>
            <w:pPr>
              <w:autoSpaceDE w:val="0"/>
              <w:autoSpaceDN w:val="0"/>
              <w:adjustRightInd w:val="0"/>
              <w:snapToGrid w:val="0"/>
              <w:spacing w:line="360" w:lineRule="auto"/>
              <w:rPr>
                <w:sz w:val="24"/>
              </w:rPr>
            </w:pPr>
          </w:p>
          <w:p>
            <w:pPr>
              <w:autoSpaceDE w:val="0"/>
              <w:autoSpaceDN w:val="0"/>
              <w:adjustRightInd w:val="0"/>
              <w:snapToGrid w:val="0"/>
              <w:spacing w:line="360" w:lineRule="auto"/>
              <w:rPr>
                <w:sz w:val="24"/>
              </w:rPr>
            </w:pPr>
          </w:p>
          <w:p>
            <w:pPr>
              <w:autoSpaceDE w:val="0"/>
              <w:autoSpaceDN w:val="0"/>
              <w:adjustRightInd w:val="0"/>
              <w:snapToGrid w:val="0"/>
              <w:spacing w:line="360" w:lineRule="auto"/>
              <w:rPr>
                <w:sz w:val="24"/>
              </w:rPr>
            </w:pPr>
          </w:p>
          <w:p>
            <w:pPr>
              <w:autoSpaceDE w:val="0"/>
              <w:autoSpaceDN w:val="0"/>
              <w:adjustRightInd w:val="0"/>
              <w:snapToGrid w:val="0"/>
              <w:spacing w:line="360" w:lineRule="auto"/>
              <w:rPr>
                <w:sz w:val="24"/>
              </w:rPr>
            </w:pPr>
          </w:p>
          <w:p>
            <w:pPr>
              <w:autoSpaceDE w:val="0"/>
              <w:autoSpaceDN w:val="0"/>
              <w:adjustRightInd w:val="0"/>
              <w:snapToGrid w:val="0"/>
              <w:spacing w:line="360" w:lineRule="auto"/>
              <w:rPr>
                <w:sz w:val="24"/>
              </w:rPr>
            </w:pPr>
            <w:r>
              <w:rPr>
                <w:rFonts w:hint="eastAsia"/>
                <w:sz w:val="24"/>
              </w:rPr>
              <w:t xml:space="preserve"> </w:t>
            </w:r>
          </w:p>
          <w:p>
            <w:pPr>
              <w:autoSpaceDE w:val="0"/>
              <w:autoSpaceDN w:val="0"/>
              <w:adjustRightInd w:val="0"/>
              <w:snapToGrid w:val="0"/>
              <w:spacing w:line="360" w:lineRule="auto"/>
              <w:rPr>
                <w:sz w:val="24"/>
              </w:rPr>
            </w:pPr>
          </w:p>
          <w:p>
            <w:pPr>
              <w:autoSpaceDE w:val="0"/>
              <w:autoSpaceDN w:val="0"/>
              <w:adjustRightInd w:val="0"/>
              <w:snapToGrid w:val="0"/>
              <w:spacing w:line="360" w:lineRule="auto"/>
              <w:rPr>
                <w:sz w:val="24"/>
              </w:rPr>
            </w:pPr>
          </w:p>
          <w:p>
            <w:pPr>
              <w:autoSpaceDE w:val="0"/>
              <w:autoSpaceDN w:val="0"/>
              <w:adjustRightInd w:val="0"/>
              <w:snapToGrid w:val="0"/>
              <w:spacing w:line="360" w:lineRule="auto"/>
              <w:rPr>
                <w:sz w:val="24"/>
              </w:rPr>
            </w:pPr>
          </w:p>
          <w:p>
            <w:pPr>
              <w:autoSpaceDE w:val="0"/>
              <w:autoSpaceDN w:val="0"/>
              <w:adjustRightInd w:val="0"/>
              <w:snapToGrid w:val="0"/>
              <w:spacing w:line="360" w:lineRule="auto"/>
              <w:rPr>
                <w:sz w:val="24"/>
              </w:rPr>
            </w:pPr>
          </w:p>
          <w:p>
            <w:pPr>
              <w:autoSpaceDE w:val="0"/>
              <w:autoSpaceDN w:val="0"/>
              <w:adjustRightInd w:val="0"/>
              <w:snapToGrid w:val="0"/>
              <w:spacing w:line="360" w:lineRule="auto"/>
              <w:rPr>
                <w:kern w:val="0"/>
                <w:sz w:val="24"/>
              </w:rPr>
            </w:pPr>
            <w:r>
              <w:rPr>
                <w:rFonts w:hint="eastAsia"/>
                <w:sz w:val="24"/>
              </w:rPr>
              <w:t xml:space="preserve">   </w:t>
            </w:r>
          </w:p>
        </w:tc>
      </w:tr>
    </w:tbl>
    <w:p>
      <w:pPr>
        <w:spacing w:line="360" w:lineRule="auto"/>
        <w:rPr>
          <w:sz w:val="30"/>
        </w:rPr>
        <w:sectPr>
          <w:footerReference r:id="rId6" w:type="default"/>
          <w:pgSz w:w="11906" w:h="16838"/>
          <w:pgMar w:top="1701" w:right="1531" w:bottom="1701" w:left="1531" w:header="851" w:footer="1077" w:gutter="0"/>
          <w:pgNumType w:start="1"/>
          <w:cols w:space="720" w:num="1"/>
          <w:docGrid w:linePitch="312" w:charSpace="0"/>
        </w:sectPr>
      </w:pPr>
    </w:p>
    <w:p>
      <w:pPr>
        <w:pStyle w:val="22"/>
        <w:adjustRightInd w:val="0"/>
        <w:snapToGrid w:val="0"/>
        <w:spacing w:before="0" w:beforeAutospacing="0" w:after="0" w:afterAutospacing="0"/>
        <w:jc w:val="center"/>
        <w:outlineLvl w:val="0"/>
        <w:rPr>
          <w:rFonts w:ascii="Times New Roman" w:hAnsi="Times New Roman"/>
          <w:snapToGrid w:val="0"/>
          <w:sz w:val="30"/>
          <w:szCs w:val="30"/>
        </w:rPr>
      </w:pPr>
      <w:bookmarkStart w:id="5" w:name="_Toc21551"/>
      <w:r>
        <w:rPr>
          <w:rFonts w:ascii="Times New Roman" w:hAnsi="Times New Roman"/>
          <w:b/>
          <w:bCs/>
          <w:snapToGrid w:val="0"/>
          <w:sz w:val="30"/>
          <w:szCs w:val="30"/>
        </w:rPr>
        <w:t>二、建设内容</w:t>
      </w:r>
      <w:bookmarkEnd w:id="5"/>
    </w:p>
    <w:tbl>
      <w:tblPr>
        <w:tblStyle w:val="24"/>
        <w:tblW w:w="4999"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07"/>
        <w:gridCol w:w="835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97" w:hRule="atLeast"/>
          <w:jc w:val="center"/>
        </w:trPr>
        <w:tc>
          <w:tcPr>
            <w:tcW w:w="390" w:type="pct"/>
            <w:tcBorders>
              <w:tl2br w:val="nil"/>
              <w:tr2bl w:val="nil"/>
            </w:tcBorders>
            <w:vAlign w:val="center"/>
          </w:tcPr>
          <w:p>
            <w:pPr>
              <w:adjustRightInd w:val="0"/>
              <w:snapToGrid w:val="0"/>
              <w:jc w:val="center"/>
              <w:rPr>
                <w:kern w:val="0"/>
                <w:sz w:val="24"/>
              </w:rPr>
            </w:pPr>
            <w:r>
              <w:rPr>
                <w:kern w:val="0"/>
                <w:sz w:val="24"/>
              </w:rPr>
              <w:t>地理位置</w:t>
            </w:r>
          </w:p>
        </w:tc>
        <w:tc>
          <w:tcPr>
            <w:tcW w:w="4609" w:type="pct"/>
            <w:tcBorders>
              <w:tl2br w:val="nil"/>
              <w:tr2bl w:val="nil"/>
            </w:tcBorders>
            <w:vAlign w:val="center"/>
          </w:tcPr>
          <w:p>
            <w:pPr>
              <w:adjustRightInd w:val="0"/>
              <w:snapToGrid w:val="0"/>
              <w:spacing w:line="360" w:lineRule="auto"/>
              <w:ind w:firstLine="480" w:firstLineChars="200"/>
              <w:rPr>
                <w:kern w:val="0"/>
                <w:sz w:val="24"/>
              </w:rPr>
            </w:pPr>
            <w:r>
              <w:rPr>
                <w:kern w:val="0"/>
                <w:sz w:val="24"/>
              </w:rPr>
              <w:t>本项目位于永州市新田县中山街道挂兰村</w:t>
            </w:r>
            <w:r>
              <w:rPr>
                <w:rFonts w:hint="eastAsia"/>
                <w:kern w:val="0"/>
                <w:sz w:val="24"/>
              </w:rPr>
              <w:t>（中心点地理坐标：</w:t>
            </w:r>
            <w:r>
              <w:rPr>
                <w:kern w:val="0"/>
                <w:sz w:val="24"/>
              </w:rPr>
              <w:t>东经112°14′43.96002″，北纬25°56′56.59164″</w:t>
            </w:r>
            <w:r>
              <w:rPr>
                <w:rFonts w:hint="eastAsia"/>
                <w:kern w:val="0"/>
                <w:sz w:val="24"/>
              </w:rPr>
              <w:t>），位于日东河水域范围内</w:t>
            </w:r>
            <w:r>
              <w:rPr>
                <w:kern w:val="0"/>
                <w:sz w:val="24"/>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90" w:type="pct"/>
            <w:tcBorders>
              <w:tl2br w:val="nil"/>
              <w:tr2bl w:val="nil"/>
            </w:tcBorders>
            <w:vAlign w:val="center"/>
          </w:tcPr>
          <w:p>
            <w:pPr>
              <w:adjustRightInd w:val="0"/>
              <w:snapToGrid w:val="0"/>
              <w:jc w:val="center"/>
              <w:rPr>
                <w:kern w:val="0"/>
                <w:sz w:val="24"/>
              </w:rPr>
            </w:pPr>
            <w:r>
              <w:rPr>
                <w:kern w:val="0"/>
                <w:sz w:val="24"/>
              </w:rPr>
              <w:t>项目组成及规模</w:t>
            </w:r>
          </w:p>
        </w:tc>
        <w:tc>
          <w:tcPr>
            <w:tcW w:w="4609" w:type="pct"/>
            <w:tcBorders>
              <w:tl2br w:val="nil"/>
              <w:tr2bl w:val="nil"/>
            </w:tcBorders>
          </w:tcPr>
          <w:p>
            <w:pPr>
              <w:numPr>
                <w:ilvl w:val="0"/>
                <w:numId w:val="2"/>
              </w:numPr>
              <w:adjustRightInd w:val="0"/>
              <w:snapToGrid w:val="0"/>
              <w:spacing w:line="360" w:lineRule="auto"/>
              <w:ind w:firstLine="482" w:firstLineChars="200"/>
              <w:rPr>
                <w:b/>
                <w:bCs/>
                <w:kern w:val="0"/>
                <w:sz w:val="24"/>
              </w:rPr>
            </w:pPr>
            <w:r>
              <w:rPr>
                <w:rFonts w:hint="eastAsia"/>
                <w:b/>
                <w:bCs/>
                <w:kern w:val="0"/>
                <w:sz w:val="24"/>
              </w:rPr>
              <w:t>项目背景及基本情况</w:t>
            </w:r>
          </w:p>
          <w:p>
            <w:pPr>
              <w:adjustRightInd w:val="0"/>
              <w:snapToGrid w:val="0"/>
              <w:spacing w:line="360" w:lineRule="auto"/>
              <w:ind w:firstLine="470" w:firstLineChars="196"/>
              <w:rPr>
                <w:color w:val="000000"/>
                <w:sz w:val="24"/>
              </w:rPr>
            </w:pPr>
            <w:r>
              <w:rPr>
                <w:color w:val="000000"/>
                <w:sz w:val="24"/>
                <w:u w:val="single"/>
              </w:rPr>
              <w:t>随着当今社会对生态环境保护的重视，野生动物已成为立法保护对象，所以养殖动物成为了人类餐桌的来源。牛蛙属于食用蛙，具有生长快，肉味鲜美、营养丰富、蛋白质含量高的特点。养殖动物不仅营养价值更高，而且还能保证食物来源的安全，有利于减少人类食品安全的隐患。近几年，针对“稻+生态种养”出台了一系列政策，利好接踵而至。湖南省发布了《关于大力发展稻田综合种养加快贫困农民脱贫致富的指导意见》，将稻蛙综合种养作为产业扶贫脱贫的重要手段</w:t>
            </w:r>
            <w:r>
              <w:rPr>
                <w:rFonts w:hint="eastAsia"/>
                <w:color w:val="000000"/>
                <w:sz w:val="24"/>
                <w:u w:val="single"/>
              </w:rPr>
              <w:t>。</w:t>
            </w:r>
            <w:r>
              <w:rPr>
                <w:color w:val="000000"/>
                <w:sz w:val="24"/>
                <w:u w:val="single"/>
              </w:rPr>
              <w:t>“稻蛙综合种养”模式打破了粮食生产的单一方式，不与农业生产争地、争水，农民接受程度高。发展稻-蛙生态种养模式有利于加快农业产业结构调整和推进农业供给侧结构性改革，且具有低投入高产能、可复制性强、规模化发展前景广阔等优点，社会效益显著。“稻蛙综合种养”是根据生态循环农业和生态经济学原理，将水稻种植与水产养殖技术、农机与农艺的有机结合，通过对稻田实施工程化改造，构建稻蛙共生互促系统，并通过规模化开发、集约化经营、标准化生产、品牌化运作，能在水稻稳产的前提下，大幅度提高稻田经济效益和农民收入，提升稻田产品质量安全水平，改善稻田的生态环境，是一种具有稳粮、促渔、增效、提质、生态等多方面功能的现代生态循环农业发展新模式。</w:t>
            </w:r>
          </w:p>
          <w:p>
            <w:pPr>
              <w:adjustRightInd w:val="0"/>
              <w:snapToGrid w:val="0"/>
              <w:spacing w:line="360" w:lineRule="auto"/>
              <w:ind w:firstLine="470" w:firstLineChars="196"/>
              <w:rPr>
                <w:color w:val="000000"/>
                <w:sz w:val="24"/>
                <w:u w:val="single"/>
              </w:rPr>
            </w:pPr>
            <w:r>
              <w:rPr>
                <w:color w:val="000000"/>
                <w:sz w:val="24"/>
                <w:u w:val="single"/>
              </w:rPr>
              <w:t>湖南省丰惠生态养殖有限公司把握养殖市场机会，拟投资</w:t>
            </w:r>
            <w:r>
              <w:rPr>
                <w:rFonts w:hint="eastAsia"/>
                <w:color w:val="000000"/>
                <w:sz w:val="24"/>
                <w:u w:val="single"/>
              </w:rPr>
              <w:t>6</w:t>
            </w:r>
            <w:r>
              <w:rPr>
                <w:color w:val="000000"/>
                <w:sz w:val="24"/>
                <w:u w:val="single"/>
              </w:rPr>
              <w:t>000万元在新田县中山街道挂兰村建设稻蛙共作生态养殖项目，建设单位与</w:t>
            </w:r>
            <w:r>
              <w:rPr>
                <w:rFonts w:hint="eastAsia"/>
                <w:color w:val="000000"/>
                <w:sz w:val="24"/>
                <w:u w:val="single"/>
              </w:rPr>
              <w:t>挂兰村村民委员会</w:t>
            </w:r>
            <w:r>
              <w:rPr>
                <w:color w:val="000000"/>
                <w:sz w:val="24"/>
                <w:u w:val="single"/>
              </w:rPr>
              <w:t>签订农村土地承包合同，项目租用的为</w:t>
            </w:r>
            <w:r>
              <w:rPr>
                <w:rFonts w:hint="eastAsia"/>
                <w:color w:val="000000"/>
                <w:sz w:val="24"/>
                <w:u w:val="single"/>
              </w:rPr>
              <w:t>农田</w:t>
            </w:r>
            <w:r>
              <w:rPr>
                <w:color w:val="000000"/>
                <w:sz w:val="24"/>
                <w:u w:val="single"/>
              </w:rPr>
              <w:t>，占地面积</w:t>
            </w:r>
            <w:r>
              <w:rPr>
                <w:rFonts w:hint="eastAsia"/>
                <w:color w:val="000000"/>
                <w:sz w:val="24"/>
                <w:u w:val="single"/>
              </w:rPr>
              <w:t>120</w:t>
            </w:r>
            <w:r>
              <w:rPr>
                <w:color w:val="000000"/>
                <w:sz w:val="24"/>
                <w:u w:val="single"/>
              </w:rPr>
              <w:t>亩</w:t>
            </w:r>
            <w:r>
              <w:rPr>
                <w:rFonts w:hint="eastAsia"/>
                <w:color w:val="000000"/>
                <w:sz w:val="24"/>
                <w:u w:val="single"/>
              </w:rPr>
              <w:t>，厂内适当进行防渗处理，不破坏土地的现有生态结构，建设内容包括养殖区、污水处理设施及仓库、环保设施等。</w:t>
            </w:r>
          </w:p>
          <w:p>
            <w:pPr>
              <w:adjustRightInd w:val="0"/>
              <w:snapToGrid w:val="0"/>
              <w:spacing w:line="360" w:lineRule="auto"/>
              <w:ind w:firstLine="480" w:firstLineChars="200"/>
              <w:rPr>
                <w:kern w:val="0"/>
                <w:sz w:val="24"/>
              </w:rPr>
            </w:pPr>
            <w:r>
              <w:rPr>
                <w:sz w:val="24"/>
                <w:szCs w:val="21"/>
              </w:rPr>
              <w:t>根据《中华人民共和国环境保护法》、《中华人民共和国环境影响评价法》和《建设项目环境保护管理条例》等法律、法规的要求，该项目需要进行环境影响评价</w:t>
            </w:r>
            <w:r>
              <w:rPr>
                <w:rFonts w:hint="eastAsia"/>
                <w:sz w:val="24"/>
                <w:szCs w:val="21"/>
              </w:rPr>
              <w:t>，</w:t>
            </w:r>
            <w:r>
              <w:rPr>
                <w:sz w:val="24"/>
                <w:szCs w:val="21"/>
              </w:rPr>
              <w:t>202</w:t>
            </w:r>
            <w:r>
              <w:rPr>
                <w:rFonts w:hint="eastAsia"/>
                <w:sz w:val="24"/>
                <w:szCs w:val="21"/>
              </w:rPr>
              <w:t>2</w:t>
            </w:r>
            <w:r>
              <w:rPr>
                <w:sz w:val="24"/>
                <w:szCs w:val="21"/>
              </w:rPr>
              <w:t>年</w:t>
            </w:r>
            <w:r>
              <w:rPr>
                <w:rFonts w:hint="eastAsia"/>
                <w:sz w:val="24"/>
                <w:szCs w:val="21"/>
              </w:rPr>
              <w:t>2</w:t>
            </w:r>
            <w:r>
              <w:rPr>
                <w:sz w:val="24"/>
                <w:szCs w:val="21"/>
              </w:rPr>
              <w:t>月，</w:t>
            </w:r>
            <w:r>
              <w:rPr>
                <w:rFonts w:hint="eastAsia"/>
                <w:bCs/>
                <w:sz w:val="24"/>
                <w:szCs w:val="21"/>
              </w:rPr>
              <w:t>湖南省丰惠生态养殖有限公司</w:t>
            </w:r>
            <w:r>
              <w:rPr>
                <w:sz w:val="24"/>
                <w:szCs w:val="21"/>
              </w:rPr>
              <w:t>委托</w:t>
            </w:r>
            <w:r>
              <w:rPr>
                <w:rFonts w:hint="eastAsia"/>
                <w:sz w:val="24"/>
                <w:szCs w:val="21"/>
              </w:rPr>
              <w:t>河北昂竹环保科技有限责任公司</w:t>
            </w:r>
            <w:r>
              <w:rPr>
                <w:sz w:val="24"/>
                <w:szCs w:val="21"/>
              </w:rPr>
              <w:t>对</w:t>
            </w:r>
            <w:r>
              <w:rPr>
                <w:rFonts w:hint="eastAsia"/>
                <w:bCs/>
                <w:sz w:val="24"/>
                <w:szCs w:val="21"/>
              </w:rPr>
              <w:t>湖南省丰惠生态养殖有限公司稻蛙共作生态养殖项目</w:t>
            </w:r>
            <w:r>
              <w:rPr>
                <w:bCs/>
                <w:sz w:val="24"/>
                <w:szCs w:val="21"/>
              </w:rPr>
              <w:t>进行环境影响评价工作。根据《建设项目环境影响评价分类管理名录》（2021年版）</w:t>
            </w:r>
            <w:r>
              <w:rPr>
                <w:rFonts w:hint="eastAsia"/>
                <w:bCs/>
                <w:sz w:val="24"/>
                <w:szCs w:val="21"/>
              </w:rPr>
              <w:t>本</w:t>
            </w:r>
            <w:r>
              <w:rPr>
                <w:bCs/>
                <w:snapToGrid w:val="0"/>
                <w:sz w:val="24"/>
                <w:szCs w:val="21"/>
              </w:rPr>
              <w:t>项目</w:t>
            </w:r>
            <w:r>
              <w:rPr>
                <w:bCs/>
                <w:sz w:val="24"/>
                <w:szCs w:val="21"/>
              </w:rPr>
              <w:t>属于</w:t>
            </w:r>
            <w:r>
              <w:rPr>
                <w:rFonts w:hint="eastAsia"/>
                <w:bCs/>
                <w:sz w:val="24"/>
                <w:szCs w:val="21"/>
              </w:rPr>
              <w:t>“三、渔业 04”中“5 内陆养殖0412 网箱、围网投饵养殖”类别</w:t>
            </w:r>
            <w:r>
              <w:rPr>
                <w:rFonts w:hint="eastAsia"/>
                <w:sz w:val="24"/>
                <w:szCs w:val="21"/>
              </w:rPr>
              <w:t>，因此本项目编制环境影响报告表</w:t>
            </w:r>
            <w:r>
              <w:rPr>
                <w:bCs/>
                <w:snapToGrid w:val="0"/>
                <w:sz w:val="24"/>
                <w:szCs w:val="21"/>
              </w:rPr>
              <w:t>。根据建设方提供的工程相关基础资料，按照环评技术导则要求，编制了《</w:t>
            </w:r>
            <w:r>
              <w:rPr>
                <w:rFonts w:hint="eastAsia"/>
                <w:bCs/>
                <w:sz w:val="24"/>
                <w:szCs w:val="21"/>
              </w:rPr>
              <w:t>湖南省丰惠生态养殖有限公司稻蛙共作生态养殖项目</w:t>
            </w:r>
            <w:r>
              <w:rPr>
                <w:bCs/>
                <w:snapToGrid w:val="0"/>
                <w:sz w:val="24"/>
                <w:szCs w:val="21"/>
              </w:rPr>
              <w:t>环境影响报告表》。</w:t>
            </w:r>
          </w:p>
          <w:p>
            <w:pPr>
              <w:adjustRightInd w:val="0"/>
              <w:snapToGrid w:val="0"/>
              <w:spacing w:line="360" w:lineRule="auto"/>
              <w:ind w:firstLine="482" w:firstLineChars="200"/>
              <w:rPr>
                <w:b/>
                <w:bCs/>
                <w:color w:val="000000"/>
                <w:sz w:val="24"/>
              </w:rPr>
            </w:pPr>
            <w:r>
              <w:rPr>
                <w:rFonts w:hint="eastAsia"/>
                <w:b/>
                <w:bCs/>
                <w:kern w:val="0"/>
                <w:sz w:val="24"/>
              </w:rPr>
              <w:t>2、</w:t>
            </w:r>
            <w:r>
              <w:rPr>
                <w:b/>
                <w:bCs/>
                <w:color w:val="000000"/>
                <w:sz w:val="24"/>
              </w:rPr>
              <w:t>项目工程概况</w:t>
            </w:r>
          </w:p>
          <w:p>
            <w:pPr>
              <w:adjustRightInd w:val="0"/>
              <w:snapToGrid w:val="0"/>
              <w:spacing w:line="360" w:lineRule="auto"/>
              <w:ind w:firstLine="482" w:firstLineChars="200"/>
              <w:rPr>
                <w:kern w:val="0"/>
                <w:sz w:val="24"/>
              </w:rPr>
            </w:pPr>
            <w:r>
              <w:rPr>
                <w:b/>
                <w:bCs/>
                <w:color w:val="000000"/>
                <w:sz w:val="24"/>
              </w:rPr>
              <w:t>2.1工程概况</w:t>
            </w:r>
          </w:p>
          <w:p>
            <w:pPr>
              <w:adjustRightInd w:val="0"/>
              <w:snapToGrid w:val="0"/>
              <w:spacing w:line="360" w:lineRule="auto"/>
              <w:ind w:firstLine="470" w:firstLineChars="196"/>
              <w:rPr>
                <w:color w:val="000000"/>
                <w:sz w:val="24"/>
              </w:rPr>
            </w:pPr>
            <w:r>
              <w:rPr>
                <w:color w:val="000000"/>
                <w:sz w:val="24"/>
              </w:rPr>
              <w:t>项目名称：</w:t>
            </w:r>
            <w:r>
              <w:rPr>
                <w:rFonts w:hint="eastAsia"/>
                <w:color w:val="000000"/>
                <w:sz w:val="24"/>
              </w:rPr>
              <w:t>湖南省丰惠生态养殖有限公司稻蛙共作生态养殖项目</w:t>
            </w:r>
            <w:r>
              <w:rPr>
                <w:color w:val="000000"/>
                <w:sz w:val="24"/>
              </w:rPr>
              <w:t>；</w:t>
            </w:r>
          </w:p>
          <w:p>
            <w:pPr>
              <w:adjustRightInd w:val="0"/>
              <w:snapToGrid w:val="0"/>
              <w:spacing w:line="360" w:lineRule="auto"/>
              <w:ind w:firstLine="470" w:firstLineChars="196"/>
              <w:rPr>
                <w:color w:val="000000"/>
                <w:sz w:val="24"/>
              </w:rPr>
            </w:pPr>
            <w:r>
              <w:rPr>
                <w:color w:val="000000"/>
                <w:sz w:val="24"/>
              </w:rPr>
              <w:t>建设性质：</w:t>
            </w:r>
            <w:r>
              <w:rPr>
                <w:rFonts w:hint="eastAsia"/>
                <w:color w:val="000000"/>
                <w:kern w:val="0"/>
                <w:sz w:val="24"/>
              </w:rPr>
              <w:t>新建</w:t>
            </w:r>
            <w:r>
              <w:rPr>
                <w:color w:val="000000"/>
                <w:sz w:val="24"/>
              </w:rPr>
              <w:t>；</w:t>
            </w:r>
          </w:p>
          <w:p>
            <w:pPr>
              <w:adjustRightInd w:val="0"/>
              <w:snapToGrid w:val="0"/>
              <w:spacing w:line="360" w:lineRule="auto"/>
              <w:ind w:firstLine="480"/>
              <w:rPr>
                <w:color w:val="000000"/>
                <w:sz w:val="24"/>
              </w:rPr>
            </w:pPr>
            <w:r>
              <w:rPr>
                <w:color w:val="000000"/>
                <w:sz w:val="24"/>
              </w:rPr>
              <w:t>建设单位：</w:t>
            </w:r>
            <w:r>
              <w:rPr>
                <w:rFonts w:hint="eastAsia"/>
                <w:color w:val="000000"/>
                <w:sz w:val="24"/>
              </w:rPr>
              <w:t>湖南省丰惠生态养殖有限公司</w:t>
            </w:r>
            <w:r>
              <w:rPr>
                <w:color w:val="000000"/>
                <w:sz w:val="24"/>
              </w:rPr>
              <w:t>；</w:t>
            </w:r>
          </w:p>
          <w:p>
            <w:pPr>
              <w:adjustRightInd w:val="0"/>
              <w:snapToGrid w:val="0"/>
              <w:spacing w:line="360" w:lineRule="auto"/>
              <w:ind w:firstLine="480"/>
              <w:rPr>
                <w:color w:val="000000"/>
                <w:sz w:val="24"/>
              </w:rPr>
            </w:pPr>
            <w:r>
              <w:rPr>
                <w:color w:val="000000"/>
                <w:sz w:val="24"/>
              </w:rPr>
              <w:t>建设地点：</w:t>
            </w:r>
            <w:r>
              <w:rPr>
                <w:rFonts w:hint="eastAsia"/>
                <w:color w:val="000000"/>
                <w:sz w:val="24"/>
              </w:rPr>
              <w:t>永州市</w:t>
            </w:r>
            <w:r>
              <w:rPr>
                <w:rFonts w:hint="eastAsia"/>
                <w:color w:val="000000"/>
                <w:sz w:val="24"/>
                <w:szCs w:val="21"/>
              </w:rPr>
              <w:t>新田县中山街道挂兰村</w:t>
            </w:r>
            <w:r>
              <w:rPr>
                <w:color w:val="000000"/>
                <w:sz w:val="24"/>
              </w:rPr>
              <w:t>，项目地理位置详见附图1；</w:t>
            </w:r>
          </w:p>
          <w:p>
            <w:pPr>
              <w:adjustRightInd w:val="0"/>
              <w:snapToGrid w:val="0"/>
              <w:spacing w:line="360" w:lineRule="auto"/>
              <w:ind w:firstLine="480" w:firstLineChars="200"/>
              <w:rPr>
                <w:kern w:val="0"/>
                <w:sz w:val="24"/>
                <w:highlight w:val="yellow"/>
              </w:rPr>
            </w:pPr>
            <w:r>
              <w:rPr>
                <w:color w:val="000000"/>
                <w:sz w:val="24"/>
              </w:rPr>
              <w:t>投资总额：总投资</w:t>
            </w:r>
            <w:r>
              <w:rPr>
                <w:rFonts w:hint="eastAsia"/>
                <w:color w:val="000000"/>
                <w:sz w:val="24"/>
              </w:rPr>
              <w:t>7000</w:t>
            </w:r>
            <w:r>
              <w:rPr>
                <w:color w:val="000000"/>
                <w:sz w:val="24"/>
              </w:rPr>
              <w:t>万元，其中环保投资</w:t>
            </w:r>
            <w:r>
              <w:rPr>
                <w:rFonts w:hint="eastAsia"/>
                <w:color w:val="000000"/>
                <w:sz w:val="24"/>
              </w:rPr>
              <w:t>131.1</w:t>
            </w:r>
            <w:r>
              <w:rPr>
                <w:color w:val="000000"/>
                <w:sz w:val="24"/>
              </w:rPr>
              <w:t>万元，占总投资的</w:t>
            </w:r>
            <w:r>
              <w:rPr>
                <w:rFonts w:hint="eastAsia"/>
                <w:color w:val="000000"/>
                <w:sz w:val="24"/>
              </w:rPr>
              <w:t>1.87</w:t>
            </w:r>
            <w:r>
              <w:rPr>
                <w:color w:val="000000"/>
                <w:sz w:val="24"/>
              </w:rPr>
              <w:t>%。</w:t>
            </w:r>
          </w:p>
          <w:p>
            <w:pPr>
              <w:adjustRightInd w:val="0"/>
              <w:snapToGrid w:val="0"/>
              <w:spacing w:line="360" w:lineRule="auto"/>
              <w:ind w:firstLine="482" w:firstLineChars="200"/>
              <w:rPr>
                <w:kern w:val="0"/>
                <w:sz w:val="24"/>
              </w:rPr>
            </w:pPr>
            <w:r>
              <w:rPr>
                <w:b/>
                <w:color w:val="000000"/>
                <w:sz w:val="24"/>
              </w:rPr>
              <w:t>2.</w:t>
            </w:r>
            <w:r>
              <w:rPr>
                <w:rFonts w:hint="eastAsia"/>
                <w:b/>
                <w:color w:val="000000"/>
                <w:sz w:val="24"/>
              </w:rPr>
              <w:t>2</w:t>
            </w:r>
            <w:r>
              <w:rPr>
                <w:b/>
                <w:color w:val="000000"/>
                <w:sz w:val="24"/>
              </w:rPr>
              <w:t>工程内容及规模</w:t>
            </w:r>
          </w:p>
          <w:p>
            <w:pPr>
              <w:adjustRightInd w:val="0"/>
              <w:snapToGrid w:val="0"/>
              <w:spacing w:line="360" w:lineRule="auto"/>
              <w:ind w:firstLine="480" w:firstLineChars="200"/>
              <w:rPr>
                <w:color w:val="000000"/>
                <w:sz w:val="24"/>
              </w:rPr>
            </w:pPr>
            <w:r>
              <w:rPr>
                <w:rFonts w:hint="eastAsia"/>
                <w:color w:val="000000"/>
                <w:sz w:val="24"/>
              </w:rPr>
              <w:t>湖南省丰惠生态养殖有限公司稻蛙共作生态养殖项目</w:t>
            </w:r>
            <w:r>
              <w:rPr>
                <w:color w:val="000000"/>
                <w:sz w:val="24"/>
              </w:rPr>
              <w:t>位于</w:t>
            </w:r>
            <w:r>
              <w:rPr>
                <w:rFonts w:hint="eastAsia"/>
                <w:color w:val="000000"/>
                <w:sz w:val="24"/>
              </w:rPr>
              <w:t>永州市新田县中山街道挂兰村</w:t>
            </w:r>
            <w:r>
              <w:rPr>
                <w:color w:val="000000"/>
                <w:sz w:val="24"/>
              </w:rPr>
              <w:t>，占地面积</w:t>
            </w:r>
            <w:r>
              <w:rPr>
                <w:rFonts w:hint="eastAsia"/>
                <w:color w:val="000000"/>
                <w:sz w:val="24"/>
              </w:rPr>
              <w:t>120亩，主要建设内容包括养殖区、污水处理设施及仓库、环保设施等。</w:t>
            </w:r>
          </w:p>
          <w:p>
            <w:pPr>
              <w:pStyle w:val="30"/>
              <w:spacing w:line="360" w:lineRule="auto"/>
              <w:ind w:firstLine="480" w:firstLineChars="200"/>
              <w:rPr>
                <w:rFonts w:hint="default" w:ascii="Times New Roman"/>
              </w:rPr>
            </w:pPr>
            <w:r>
              <w:rPr>
                <w:rFonts w:hint="default" w:ascii="Times New Roman"/>
              </w:rPr>
              <w:t>项目主要建设内容见表2-</w:t>
            </w:r>
            <w:r>
              <w:rPr>
                <w:rFonts w:ascii="Times New Roman"/>
              </w:rPr>
              <w:t>1</w:t>
            </w:r>
            <w:r>
              <w:rPr>
                <w:rFonts w:hint="default" w:ascii="Times New Roman"/>
              </w:rPr>
              <w:t>。</w:t>
            </w:r>
          </w:p>
          <w:p>
            <w:pPr>
              <w:adjustRightInd w:val="0"/>
              <w:snapToGrid w:val="0"/>
              <w:jc w:val="center"/>
              <w:rPr>
                <w:b/>
                <w:bCs/>
                <w:szCs w:val="21"/>
              </w:rPr>
            </w:pPr>
            <w:r>
              <w:rPr>
                <w:b/>
                <w:bCs/>
                <w:szCs w:val="21"/>
              </w:rPr>
              <w:t>表2-</w:t>
            </w:r>
            <w:r>
              <w:rPr>
                <w:rFonts w:hint="eastAsia"/>
                <w:b/>
                <w:bCs/>
                <w:szCs w:val="21"/>
              </w:rPr>
              <w:t>1</w:t>
            </w:r>
            <w:r>
              <w:rPr>
                <w:b/>
                <w:bCs/>
                <w:szCs w:val="21"/>
              </w:rPr>
              <w:t xml:space="preserve"> 主要建设内容一览表</w:t>
            </w:r>
          </w:p>
          <w:tbl>
            <w:tblPr>
              <w:tblStyle w:val="24"/>
              <w:tblW w:w="4990"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68"/>
              <w:gridCol w:w="409"/>
              <w:gridCol w:w="1178"/>
              <w:gridCol w:w="4571"/>
              <w:gridCol w:w="117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jc w:val="center"/>
              </w:trPr>
              <w:tc>
                <w:tcPr>
                  <w:tcW w:w="473" w:type="pct"/>
                  <w:vAlign w:val="center"/>
                </w:tcPr>
                <w:p>
                  <w:pPr>
                    <w:adjustRightInd w:val="0"/>
                    <w:snapToGrid w:val="0"/>
                    <w:jc w:val="center"/>
                    <w:rPr>
                      <w:szCs w:val="21"/>
                    </w:rPr>
                  </w:pPr>
                  <w:r>
                    <w:rPr>
                      <w:szCs w:val="21"/>
                    </w:rPr>
                    <w:t>类别</w:t>
                  </w:r>
                </w:p>
              </w:tc>
              <w:tc>
                <w:tcPr>
                  <w:tcW w:w="979" w:type="pct"/>
                  <w:gridSpan w:val="2"/>
                  <w:vAlign w:val="center"/>
                </w:tcPr>
                <w:p>
                  <w:pPr>
                    <w:adjustRightInd w:val="0"/>
                    <w:snapToGrid w:val="0"/>
                    <w:jc w:val="center"/>
                    <w:rPr>
                      <w:szCs w:val="21"/>
                    </w:rPr>
                  </w:pPr>
                  <w:r>
                    <w:rPr>
                      <w:szCs w:val="21"/>
                    </w:rPr>
                    <w:t>名称</w:t>
                  </w:r>
                </w:p>
              </w:tc>
              <w:tc>
                <w:tcPr>
                  <w:tcW w:w="2819" w:type="pct"/>
                  <w:vAlign w:val="center"/>
                </w:tcPr>
                <w:p>
                  <w:pPr>
                    <w:adjustRightInd w:val="0"/>
                    <w:snapToGrid w:val="0"/>
                    <w:jc w:val="center"/>
                    <w:rPr>
                      <w:szCs w:val="21"/>
                    </w:rPr>
                  </w:pPr>
                  <w:r>
                    <w:rPr>
                      <w:szCs w:val="21"/>
                    </w:rPr>
                    <w:t>建设内容及规模</w:t>
                  </w:r>
                </w:p>
              </w:tc>
              <w:tc>
                <w:tcPr>
                  <w:tcW w:w="727" w:type="pct"/>
                  <w:vAlign w:val="center"/>
                </w:tcPr>
                <w:p>
                  <w:pPr>
                    <w:adjustRightInd w:val="0"/>
                    <w:snapToGrid w:val="0"/>
                    <w:jc w:val="center"/>
                    <w:rPr>
                      <w:bCs/>
                      <w:szCs w:val="21"/>
                    </w:rPr>
                  </w:pPr>
                  <w:r>
                    <w:rPr>
                      <w:bCs/>
                      <w:szCs w:val="21"/>
                    </w:rPr>
                    <w:t>备注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364" w:hRule="atLeast"/>
                <w:jc w:val="center"/>
              </w:trPr>
              <w:tc>
                <w:tcPr>
                  <w:tcW w:w="473" w:type="pct"/>
                  <w:vAlign w:val="center"/>
                </w:tcPr>
                <w:p>
                  <w:pPr>
                    <w:adjustRightInd w:val="0"/>
                    <w:snapToGrid w:val="0"/>
                    <w:jc w:val="center"/>
                    <w:rPr>
                      <w:szCs w:val="21"/>
                    </w:rPr>
                  </w:pPr>
                  <w:r>
                    <w:rPr>
                      <w:szCs w:val="21"/>
                    </w:rPr>
                    <w:t>主体</w:t>
                  </w:r>
                </w:p>
                <w:p>
                  <w:pPr>
                    <w:adjustRightInd w:val="0"/>
                    <w:snapToGrid w:val="0"/>
                    <w:jc w:val="center"/>
                    <w:rPr>
                      <w:szCs w:val="21"/>
                    </w:rPr>
                  </w:pPr>
                  <w:r>
                    <w:rPr>
                      <w:szCs w:val="21"/>
                    </w:rPr>
                    <w:t>工程</w:t>
                  </w:r>
                </w:p>
              </w:tc>
              <w:tc>
                <w:tcPr>
                  <w:tcW w:w="979" w:type="pct"/>
                  <w:gridSpan w:val="2"/>
                  <w:vAlign w:val="center"/>
                </w:tcPr>
                <w:p>
                  <w:pPr>
                    <w:adjustRightInd w:val="0"/>
                    <w:snapToGrid w:val="0"/>
                    <w:jc w:val="center"/>
                    <w:rPr>
                      <w:szCs w:val="21"/>
                    </w:rPr>
                  </w:pPr>
                  <w:r>
                    <w:rPr>
                      <w:rFonts w:hint="eastAsia"/>
                      <w:szCs w:val="21"/>
                    </w:rPr>
                    <w:t>养殖区</w:t>
                  </w:r>
                </w:p>
              </w:tc>
              <w:tc>
                <w:tcPr>
                  <w:tcW w:w="2819" w:type="pct"/>
                  <w:vAlign w:val="center"/>
                </w:tcPr>
                <w:p>
                  <w:pPr>
                    <w:adjustRightInd w:val="0"/>
                    <w:snapToGrid w:val="0"/>
                    <w:jc w:val="center"/>
                    <w:rPr>
                      <w:szCs w:val="21"/>
                    </w:rPr>
                  </w:pPr>
                  <w:r>
                    <w:rPr>
                      <w:szCs w:val="21"/>
                    </w:rPr>
                    <w:t>主要分为蛙苗区</w:t>
                  </w:r>
                  <w:r>
                    <w:rPr>
                      <w:rFonts w:hint="eastAsia"/>
                      <w:szCs w:val="21"/>
                    </w:rPr>
                    <w:t>、</w:t>
                  </w:r>
                  <w:r>
                    <w:rPr>
                      <w:szCs w:val="21"/>
                    </w:rPr>
                    <w:t>蛙池区</w:t>
                  </w:r>
                  <w:r>
                    <w:rPr>
                      <w:rFonts w:hint="eastAsia"/>
                      <w:szCs w:val="21"/>
                    </w:rPr>
                    <w:t>以及水稻种植区，占地面积约116亩，其中用于稻蛙暂养、栖息等用途而开挖的沟和坑面积约540m</w:t>
                  </w:r>
                  <w:r>
                    <w:rPr>
                      <w:rFonts w:hint="eastAsia"/>
                      <w:szCs w:val="21"/>
                      <w:vertAlign w:val="superscript"/>
                    </w:rPr>
                    <w:t>2</w:t>
                  </w:r>
                </w:p>
              </w:tc>
              <w:tc>
                <w:tcPr>
                  <w:tcW w:w="727" w:type="pct"/>
                  <w:vAlign w:val="center"/>
                </w:tcPr>
                <w:p>
                  <w:pPr>
                    <w:adjustRightInd w:val="0"/>
                    <w:snapToGrid w:val="0"/>
                    <w:jc w:val="center"/>
                    <w:rPr>
                      <w:bCs/>
                      <w:szCs w:val="21"/>
                    </w:rPr>
                  </w:pPr>
                  <w:r>
                    <w:rPr>
                      <w:rFonts w:hint="eastAsia"/>
                      <w:bCs/>
                      <w:szCs w:val="21"/>
                    </w:rPr>
                    <w:t>新建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jc w:val="center"/>
              </w:trPr>
              <w:tc>
                <w:tcPr>
                  <w:tcW w:w="473" w:type="pct"/>
                  <w:vMerge w:val="restart"/>
                  <w:tcBorders>
                    <w:top w:val="single" w:color="000000" w:sz="6" w:space="0"/>
                  </w:tcBorders>
                  <w:vAlign w:val="center"/>
                </w:tcPr>
                <w:p>
                  <w:pPr>
                    <w:adjustRightInd w:val="0"/>
                    <w:snapToGrid w:val="0"/>
                    <w:jc w:val="center"/>
                    <w:rPr>
                      <w:szCs w:val="21"/>
                    </w:rPr>
                  </w:pPr>
                  <w:r>
                    <w:rPr>
                      <w:szCs w:val="21"/>
                    </w:rPr>
                    <w:t>辅助工程</w:t>
                  </w:r>
                </w:p>
              </w:tc>
              <w:tc>
                <w:tcPr>
                  <w:tcW w:w="979" w:type="pct"/>
                  <w:gridSpan w:val="2"/>
                  <w:tcBorders>
                    <w:top w:val="single" w:color="000000" w:sz="6" w:space="0"/>
                  </w:tcBorders>
                  <w:vAlign w:val="center"/>
                </w:tcPr>
                <w:p>
                  <w:pPr>
                    <w:adjustRightInd w:val="0"/>
                    <w:snapToGrid w:val="0"/>
                    <w:jc w:val="center"/>
                    <w:rPr>
                      <w:szCs w:val="21"/>
                    </w:rPr>
                  </w:pPr>
                  <w:r>
                    <w:rPr>
                      <w:rFonts w:hint="eastAsia"/>
                      <w:szCs w:val="21"/>
                    </w:rPr>
                    <w:t>仓库</w:t>
                  </w:r>
                </w:p>
              </w:tc>
              <w:tc>
                <w:tcPr>
                  <w:tcW w:w="2819" w:type="pct"/>
                  <w:tcBorders>
                    <w:top w:val="single" w:color="000000" w:sz="6" w:space="0"/>
                  </w:tcBorders>
                  <w:vAlign w:val="center"/>
                </w:tcPr>
                <w:p>
                  <w:pPr>
                    <w:adjustRightInd w:val="0"/>
                    <w:snapToGrid w:val="0"/>
                    <w:jc w:val="center"/>
                    <w:rPr>
                      <w:szCs w:val="21"/>
                    </w:rPr>
                  </w:pPr>
                  <w:r>
                    <w:rPr>
                      <w:rFonts w:hint="eastAsia"/>
                      <w:szCs w:val="21"/>
                    </w:rPr>
                    <w:t>面积360m</w:t>
                  </w:r>
                  <w:r>
                    <w:rPr>
                      <w:rFonts w:hint="eastAsia"/>
                      <w:szCs w:val="21"/>
                      <w:vertAlign w:val="superscript"/>
                    </w:rPr>
                    <w:t>2</w:t>
                  </w:r>
                  <w:r>
                    <w:rPr>
                      <w:rFonts w:hint="eastAsia"/>
                      <w:szCs w:val="21"/>
                    </w:rPr>
                    <w:t>，用于饲料等的堆放</w:t>
                  </w:r>
                </w:p>
              </w:tc>
              <w:tc>
                <w:tcPr>
                  <w:tcW w:w="727" w:type="pct"/>
                  <w:vAlign w:val="center"/>
                </w:tcPr>
                <w:p>
                  <w:pPr>
                    <w:adjustRightInd w:val="0"/>
                    <w:snapToGrid w:val="0"/>
                    <w:jc w:val="center"/>
                    <w:rPr>
                      <w:bCs/>
                      <w:szCs w:val="21"/>
                    </w:rPr>
                  </w:pPr>
                  <w:r>
                    <w:rPr>
                      <w:bCs/>
                      <w:szCs w:val="21"/>
                    </w:rPr>
                    <w:t>新建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jc w:val="center"/>
              </w:trPr>
              <w:tc>
                <w:tcPr>
                  <w:tcW w:w="473" w:type="pct"/>
                  <w:vMerge w:val="continue"/>
                  <w:vAlign w:val="center"/>
                </w:tcPr>
                <w:p>
                  <w:pPr>
                    <w:adjustRightInd w:val="0"/>
                    <w:snapToGrid w:val="0"/>
                    <w:jc w:val="center"/>
                    <w:rPr>
                      <w:szCs w:val="21"/>
                    </w:rPr>
                  </w:pPr>
                </w:p>
              </w:tc>
              <w:tc>
                <w:tcPr>
                  <w:tcW w:w="979" w:type="pct"/>
                  <w:gridSpan w:val="2"/>
                  <w:tcBorders>
                    <w:top w:val="single" w:color="000000" w:sz="6" w:space="0"/>
                  </w:tcBorders>
                  <w:vAlign w:val="center"/>
                </w:tcPr>
                <w:p>
                  <w:pPr>
                    <w:adjustRightInd w:val="0"/>
                    <w:snapToGrid w:val="0"/>
                    <w:jc w:val="center"/>
                    <w:rPr>
                      <w:szCs w:val="21"/>
                      <w:highlight w:val="yellow"/>
                    </w:rPr>
                  </w:pPr>
                  <w:r>
                    <w:rPr>
                      <w:rFonts w:hint="eastAsia"/>
                      <w:szCs w:val="21"/>
                    </w:rPr>
                    <w:t>蓄水池</w:t>
                  </w:r>
                </w:p>
              </w:tc>
              <w:tc>
                <w:tcPr>
                  <w:tcW w:w="2819" w:type="pct"/>
                  <w:tcBorders>
                    <w:top w:val="single" w:color="000000" w:sz="6" w:space="0"/>
                  </w:tcBorders>
                  <w:vAlign w:val="center"/>
                </w:tcPr>
                <w:p>
                  <w:pPr>
                    <w:adjustRightInd w:val="0"/>
                    <w:snapToGrid w:val="0"/>
                    <w:jc w:val="center"/>
                    <w:rPr>
                      <w:bCs/>
                      <w:szCs w:val="21"/>
                      <w:highlight w:val="yellow"/>
                    </w:rPr>
                  </w:pPr>
                  <w:r>
                    <w:rPr>
                      <w:rFonts w:hint="eastAsia"/>
                      <w:bCs/>
                      <w:szCs w:val="21"/>
                    </w:rPr>
                    <w:t>容积100m</w:t>
                  </w:r>
                  <w:r>
                    <w:rPr>
                      <w:rFonts w:hint="eastAsia"/>
                      <w:bCs/>
                      <w:szCs w:val="21"/>
                      <w:vertAlign w:val="superscript"/>
                    </w:rPr>
                    <w:t>3</w:t>
                  </w:r>
                  <w:r>
                    <w:rPr>
                      <w:rFonts w:hint="eastAsia"/>
                      <w:bCs/>
                      <w:szCs w:val="21"/>
                    </w:rPr>
                    <w:t>，用于储存清水</w:t>
                  </w:r>
                </w:p>
              </w:tc>
              <w:tc>
                <w:tcPr>
                  <w:tcW w:w="727" w:type="pct"/>
                  <w:vAlign w:val="center"/>
                </w:tcPr>
                <w:p>
                  <w:pPr>
                    <w:adjustRightInd w:val="0"/>
                    <w:snapToGrid w:val="0"/>
                    <w:jc w:val="center"/>
                    <w:rPr>
                      <w:bCs/>
                      <w:szCs w:val="21"/>
                      <w:highlight w:val="yellow"/>
                    </w:rPr>
                  </w:pPr>
                  <w:r>
                    <w:rPr>
                      <w:rFonts w:hint="eastAsia"/>
                      <w:bCs/>
                      <w:szCs w:val="21"/>
                    </w:rPr>
                    <w:t>新建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jc w:val="center"/>
              </w:trPr>
              <w:tc>
                <w:tcPr>
                  <w:tcW w:w="473" w:type="pct"/>
                  <w:vMerge w:val="continue"/>
                  <w:vAlign w:val="center"/>
                </w:tcPr>
                <w:p>
                  <w:pPr>
                    <w:adjustRightInd w:val="0"/>
                    <w:snapToGrid w:val="0"/>
                    <w:jc w:val="center"/>
                    <w:rPr>
                      <w:szCs w:val="21"/>
                    </w:rPr>
                  </w:pPr>
                </w:p>
              </w:tc>
              <w:tc>
                <w:tcPr>
                  <w:tcW w:w="979" w:type="pct"/>
                  <w:gridSpan w:val="2"/>
                  <w:tcBorders>
                    <w:top w:val="single" w:color="000000" w:sz="6" w:space="0"/>
                  </w:tcBorders>
                  <w:vAlign w:val="center"/>
                </w:tcPr>
                <w:p>
                  <w:pPr>
                    <w:adjustRightInd w:val="0"/>
                    <w:snapToGrid w:val="0"/>
                    <w:jc w:val="center"/>
                    <w:rPr>
                      <w:szCs w:val="21"/>
                    </w:rPr>
                  </w:pPr>
                  <w:r>
                    <w:rPr>
                      <w:rFonts w:hint="eastAsia"/>
                      <w:szCs w:val="21"/>
                    </w:rPr>
                    <w:t>机耕道</w:t>
                  </w:r>
                </w:p>
              </w:tc>
              <w:tc>
                <w:tcPr>
                  <w:tcW w:w="2819" w:type="pct"/>
                  <w:tcBorders>
                    <w:top w:val="single" w:color="000000" w:sz="6" w:space="0"/>
                  </w:tcBorders>
                  <w:vAlign w:val="center"/>
                </w:tcPr>
                <w:p>
                  <w:pPr>
                    <w:adjustRightInd w:val="0"/>
                    <w:snapToGrid w:val="0"/>
                    <w:jc w:val="center"/>
                    <w:rPr>
                      <w:szCs w:val="21"/>
                    </w:rPr>
                  </w:pPr>
                  <w:r>
                    <w:rPr>
                      <w:rFonts w:hint="eastAsia"/>
                      <w:szCs w:val="21"/>
                    </w:rPr>
                    <w:t>宽4m，长500m，占地面积约2000m</w:t>
                  </w:r>
                  <w:r>
                    <w:rPr>
                      <w:rFonts w:hint="eastAsia"/>
                      <w:szCs w:val="21"/>
                      <w:vertAlign w:val="superscript"/>
                    </w:rPr>
                    <w:t>2</w:t>
                  </w:r>
                  <w:r>
                    <w:rPr>
                      <w:rFonts w:hint="eastAsia"/>
                      <w:szCs w:val="21"/>
                    </w:rPr>
                    <w:t>，用于产品及原料运输</w:t>
                  </w:r>
                </w:p>
              </w:tc>
              <w:tc>
                <w:tcPr>
                  <w:tcW w:w="727" w:type="pct"/>
                  <w:vAlign w:val="center"/>
                </w:tcPr>
                <w:p>
                  <w:pPr>
                    <w:adjustRightInd w:val="0"/>
                    <w:snapToGrid w:val="0"/>
                    <w:jc w:val="center"/>
                    <w:rPr>
                      <w:bCs/>
                      <w:szCs w:val="21"/>
                    </w:rPr>
                  </w:pPr>
                  <w:r>
                    <w:rPr>
                      <w:rFonts w:hint="eastAsia"/>
                      <w:bCs/>
                      <w:szCs w:val="21"/>
                    </w:rPr>
                    <w:t>新建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jc w:val="center"/>
              </w:trPr>
              <w:tc>
                <w:tcPr>
                  <w:tcW w:w="473" w:type="pct"/>
                  <w:vMerge w:val="continue"/>
                  <w:vAlign w:val="center"/>
                </w:tcPr>
                <w:p>
                  <w:pPr>
                    <w:adjustRightInd w:val="0"/>
                    <w:snapToGrid w:val="0"/>
                    <w:jc w:val="center"/>
                    <w:rPr>
                      <w:szCs w:val="21"/>
                    </w:rPr>
                  </w:pPr>
                </w:p>
              </w:tc>
              <w:tc>
                <w:tcPr>
                  <w:tcW w:w="979" w:type="pct"/>
                  <w:gridSpan w:val="2"/>
                  <w:tcBorders>
                    <w:top w:val="single" w:color="000000" w:sz="6" w:space="0"/>
                  </w:tcBorders>
                  <w:vAlign w:val="center"/>
                </w:tcPr>
                <w:p>
                  <w:pPr>
                    <w:adjustRightInd w:val="0"/>
                    <w:snapToGrid w:val="0"/>
                    <w:jc w:val="center"/>
                    <w:rPr>
                      <w:szCs w:val="21"/>
                    </w:rPr>
                  </w:pPr>
                  <w:r>
                    <w:rPr>
                      <w:rFonts w:hint="eastAsia"/>
                      <w:szCs w:val="21"/>
                    </w:rPr>
                    <w:t>污水处理系统</w:t>
                  </w:r>
                </w:p>
              </w:tc>
              <w:tc>
                <w:tcPr>
                  <w:tcW w:w="2819" w:type="pct"/>
                  <w:tcBorders>
                    <w:top w:val="single" w:color="000000" w:sz="6" w:space="0"/>
                  </w:tcBorders>
                  <w:vAlign w:val="center"/>
                </w:tcPr>
                <w:p>
                  <w:pPr>
                    <w:adjustRightInd w:val="0"/>
                    <w:snapToGrid w:val="0"/>
                    <w:jc w:val="center"/>
                    <w:rPr>
                      <w:szCs w:val="21"/>
                    </w:rPr>
                  </w:pPr>
                  <w:r>
                    <w:rPr>
                      <w:rFonts w:hint="eastAsia"/>
                      <w:szCs w:val="21"/>
                    </w:rPr>
                    <w:t>污水处理设备工艺为格栅＋厌氧＋好氧</w:t>
                  </w:r>
                </w:p>
              </w:tc>
              <w:tc>
                <w:tcPr>
                  <w:tcW w:w="727" w:type="pct"/>
                  <w:vAlign w:val="center"/>
                </w:tcPr>
                <w:p>
                  <w:pPr>
                    <w:adjustRightInd w:val="0"/>
                    <w:snapToGrid w:val="0"/>
                    <w:jc w:val="center"/>
                    <w:rPr>
                      <w:bCs/>
                      <w:szCs w:val="21"/>
                    </w:rPr>
                  </w:pPr>
                  <w:r>
                    <w:rPr>
                      <w:rFonts w:hint="eastAsia"/>
                      <w:bCs/>
                      <w:szCs w:val="21"/>
                    </w:rPr>
                    <w:t>新建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jc w:val="center"/>
              </w:trPr>
              <w:tc>
                <w:tcPr>
                  <w:tcW w:w="473" w:type="pct"/>
                  <w:vMerge w:val="restart"/>
                  <w:vAlign w:val="center"/>
                </w:tcPr>
                <w:p>
                  <w:pPr>
                    <w:adjustRightInd w:val="0"/>
                    <w:snapToGrid w:val="0"/>
                    <w:jc w:val="center"/>
                    <w:rPr>
                      <w:szCs w:val="21"/>
                    </w:rPr>
                  </w:pPr>
                  <w:r>
                    <w:rPr>
                      <w:szCs w:val="21"/>
                    </w:rPr>
                    <w:t>公用</w:t>
                  </w:r>
                </w:p>
                <w:p>
                  <w:pPr>
                    <w:adjustRightInd w:val="0"/>
                    <w:snapToGrid w:val="0"/>
                    <w:jc w:val="center"/>
                    <w:rPr>
                      <w:szCs w:val="21"/>
                    </w:rPr>
                  </w:pPr>
                  <w:r>
                    <w:rPr>
                      <w:szCs w:val="21"/>
                    </w:rPr>
                    <w:t>工程</w:t>
                  </w:r>
                </w:p>
              </w:tc>
              <w:tc>
                <w:tcPr>
                  <w:tcW w:w="979" w:type="pct"/>
                  <w:gridSpan w:val="2"/>
                  <w:vAlign w:val="center"/>
                </w:tcPr>
                <w:p>
                  <w:pPr>
                    <w:adjustRightInd w:val="0"/>
                    <w:snapToGrid w:val="0"/>
                    <w:jc w:val="center"/>
                    <w:rPr>
                      <w:szCs w:val="21"/>
                    </w:rPr>
                  </w:pPr>
                  <w:r>
                    <w:rPr>
                      <w:szCs w:val="21"/>
                    </w:rPr>
                    <w:t>给水系统</w:t>
                  </w:r>
                </w:p>
              </w:tc>
              <w:tc>
                <w:tcPr>
                  <w:tcW w:w="2819" w:type="pct"/>
                  <w:vAlign w:val="center"/>
                </w:tcPr>
                <w:p>
                  <w:pPr>
                    <w:adjustRightInd w:val="0"/>
                    <w:snapToGrid w:val="0"/>
                    <w:jc w:val="center"/>
                    <w:rPr>
                      <w:szCs w:val="21"/>
                    </w:rPr>
                  </w:pPr>
                  <w:r>
                    <w:rPr>
                      <w:rFonts w:hint="eastAsia"/>
                      <w:szCs w:val="21"/>
                    </w:rPr>
                    <w:t>生活用水来自市政供水、养殖用水来自日东河</w:t>
                  </w:r>
                </w:p>
              </w:tc>
              <w:tc>
                <w:tcPr>
                  <w:tcW w:w="727" w:type="pct"/>
                  <w:vAlign w:val="center"/>
                </w:tcPr>
                <w:p>
                  <w:pPr>
                    <w:adjustRightInd w:val="0"/>
                    <w:snapToGrid w:val="0"/>
                    <w:jc w:val="center"/>
                    <w:rPr>
                      <w:bCs/>
                      <w:szCs w:val="21"/>
                    </w:rPr>
                  </w:pPr>
                  <w:r>
                    <w:rPr>
                      <w:bCs/>
                      <w:szCs w:val="21"/>
                    </w:rPr>
                    <w:t>新建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jc w:val="center"/>
              </w:trPr>
              <w:tc>
                <w:tcPr>
                  <w:tcW w:w="473" w:type="pct"/>
                  <w:vMerge w:val="continue"/>
                  <w:vAlign w:val="center"/>
                </w:tcPr>
                <w:p>
                  <w:pPr>
                    <w:adjustRightInd w:val="0"/>
                    <w:snapToGrid w:val="0"/>
                    <w:jc w:val="center"/>
                    <w:rPr>
                      <w:szCs w:val="21"/>
                    </w:rPr>
                  </w:pPr>
                </w:p>
              </w:tc>
              <w:tc>
                <w:tcPr>
                  <w:tcW w:w="979" w:type="pct"/>
                  <w:gridSpan w:val="2"/>
                  <w:vAlign w:val="center"/>
                </w:tcPr>
                <w:p>
                  <w:pPr>
                    <w:adjustRightInd w:val="0"/>
                    <w:snapToGrid w:val="0"/>
                    <w:jc w:val="center"/>
                    <w:rPr>
                      <w:szCs w:val="21"/>
                    </w:rPr>
                  </w:pPr>
                  <w:r>
                    <w:rPr>
                      <w:szCs w:val="21"/>
                    </w:rPr>
                    <w:t>排水系统</w:t>
                  </w:r>
                </w:p>
              </w:tc>
              <w:tc>
                <w:tcPr>
                  <w:tcW w:w="2819" w:type="pct"/>
                  <w:vAlign w:val="center"/>
                </w:tcPr>
                <w:p>
                  <w:pPr>
                    <w:adjustRightInd w:val="0"/>
                    <w:snapToGrid w:val="0"/>
                    <w:jc w:val="center"/>
                    <w:rPr>
                      <w:szCs w:val="21"/>
                    </w:rPr>
                  </w:pPr>
                  <w:r>
                    <w:rPr>
                      <w:szCs w:val="21"/>
                    </w:rPr>
                    <w:t>生活污水经</w:t>
                  </w:r>
                  <w:r>
                    <w:rPr>
                      <w:rFonts w:hint="eastAsia"/>
                      <w:szCs w:val="21"/>
                    </w:rPr>
                    <w:t>三格化粪池</w:t>
                  </w:r>
                  <w:r>
                    <w:rPr>
                      <w:szCs w:val="21"/>
                    </w:rPr>
                    <w:t>处理后，</w:t>
                  </w:r>
                  <w:r>
                    <w:rPr>
                      <w:rFonts w:hint="eastAsia"/>
                      <w:szCs w:val="21"/>
                    </w:rPr>
                    <w:t>用于周边农田施肥；</w:t>
                  </w:r>
                  <w:r>
                    <w:rPr>
                      <w:szCs w:val="21"/>
                    </w:rPr>
                    <w:t>养殖废水</w:t>
                  </w:r>
                  <w:r>
                    <w:rPr>
                      <w:rFonts w:hint="eastAsia"/>
                      <w:szCs w:val="21"/>
                    </w:rPr>
                    <w:t>经污水处理设备处理达标后外排至日东河</w:t>
                  </w:r>
                </w:p>
              </w:tc>
              <w:tc>
                <w:tcPr>
                  <w:tcW w:w="727" w:type="pct"/>
                  <w:vAlign w:val="center"/>
                </w:tcPr>
                <w:p>
                  <w:pPr>
                    <w:adjustRightInd w:val="0"/>
                    <w:snapToGrid w:val="0"/>
                    <w:jc w:val="center"/>
                    <w:rPr>
                      <w:bCs/>
                      <w:szCs w:val="21"/>
                    </w:rPr>
                  </w:pPr>
                  <w:r>
                    <w:rPr>
                      <w:rFonts w:hint="eastAsia"/>
                      <w:bCs/>
                      <w:szCs w:val="21"/>
                    </w:rPr>
                    <w:t>新建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jc w:val="center"/>
              </w:trPr>
              <w:tc>
                <w:tcPr>
                  <w:tcW w:w="473" w:type="pct"/>
                  <w:vMerge w:val="continue"/>
                  <w:vAlign w:val="center"/>
                </w:tcPr>
                <w:p>
                  <w:pPr>
                    <w:adjustRightInd w:val="0"/>
                    <w:snapToGrid w:val="0"/>
                    <w:jc w:val="center"/>
                    <w:rPr>
                      <w:szCs w:val="21"/>
                    </w:rPr>
                  </w:pPr>
                </w:p>
              </w:tc>
              <w:tc>
                <w:tcPr>
                  <w:tcW w:w="979" w:type="pct"/>
                  <w:gridSpan w:val="2"/>
                  <w:vAlign w:val="center"/>
                </w:tcPr>
                <w:p>
                  <w:pPr>
                    <w:adjustRightInd w:val="0"/>
                    <w:snapToGrid w:val="0"/>
                    <w:jc w:val="center"/>
                    <w:rPr>
                      <w:szCs w:val="21"/>
                    </w:rPr>
                  </w:pPr>
                  <w:r>
                    <w:rPr>
                      <w:szCs w:val="21"/>
                    </w:rPr>
                    <w:t>供电</w:t>
                  </w:r>
                </w:p>
              </w:tc>
              <w:tc>
                <w:tcPr>
                  <w:tcW w:w="2819" w:type="pct"/>
                  <w:vAlign w:val="center"/>
                </w:tcPr>
                <w:p>
                  <w:pPr>
                    <w:adjustRightInd w:val="0"/>
                    <w:snapToGrid w:val="0"/>
                    <w:jc w:val="center"/>
                    <w:rPr>
                      <w:szCs w:val="21"/>
                    </w:rPr>
                  </w:pPr>
                  <w:r>
                    <w:rPr>
                      <w:szCs w:val="21"/>
                    </w:rPr>
                    <w:t>市政供电</w:t>
                  </w:r>
                </w:p>
              </w:tc>
              <w:tc>
                <w:tcPr>
                  <w:tcW w:w="727" w:type="pct"/>
                  <w:vAlign w:val="center"/>
                </w:tcPr>
                <w:p>
                  <w:pPr>
                    <w:adjustRightInd w:val="0"/>
                    <w:snapToGrid w:val="0"/>
                    <w:jc w:val="center"/>
                    <w:rPr>
                      <w:bCs/>
                      <w:szCs w:val="21"/>
                    </w:rPr>
                  </w:pPr>
                  <w:r>
                    <w:rPr>
                      <w:bCs/>
                      <w:szCs w:val="21"/>
                    </w:rPr>
                    <w:t>新建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jc w:val="center"/>
              </w:trPr>
              <w:tc>
                <w:tcPr>
                  <w:tcW w:w="473" w:type="pct"/>
                  <w:vMerge w:val="restart"/>
                  <w:vAlign w:val="center"/>
                </w:tcPr>
                <w:p>
                  <w:pPr>
                    <w:adjustRightInd w:val="0"/>
                    <w:snapToGrid w:val="0"/>
                    <w:jc w:val="center"/>
                    <w:rPr>
                      <w:szCs w:val="21"/>
                    </w:rPr>
                  </w:pPr>
                  <w:r>
                    <w:rPr>
                      <w:szCs w:val="21"/>
                    </w:rPr>
                    <w:t>环保</w:t>
                  </w:r>
                </w:p>
                <w:p>
                  <w:pPr>
                    <w:adjustRightInd w:val="0"/>
                    <w:snapToGrid w:val="0"/>
                    <w:jc w:val="center"/>
                    <w:rPr>
                      <w:szCs w:val="21"/>
                    </w:rPr>
                  </w:pPr>
                  <w:r>
                    <w:rPr>
                      <w:szCs w:val="21"/>
                    </w:rPr>
                    <w:t>工程</w:t>
                  </w:r>
                </w:p>
              </w:tc>
              <w:tc>
                <w:tcPr>
                  <w:tcW w:w="979" w:type="pct"/>
                  <w:gridSpan w:val="2"/>
                  <w:vAlign w:val="center"/>
                </w:tcPr>
                <w:p>
                  <w:pPr>
                    <w:adjustRightInd w:val="0"/>
                    <w:snapToGrid w:val="0"/>
                    <w:jc w:val="center"/>
                    <w:rPr>
                      <w:szCs w:val="21"/>
                    </w:rPr>
                  </w:pPr>
                  <w:r>
                    <w:rPr>
                      <w:szCs w:val="21"/>
                    </w:rPr>
                    <w:t>废水</w:t>
                  </w:r>
                  <w:r>
                    <w:rPr>
                      <w:rFonts w:hint="eastAsia"/>
                      <w:szCs w:val="21"/>
                    </w:rPr>
                    <w:t>处理措施</w:t>
                  </w:r>
                </w:p>
              </w:tc>
              <w:tc>
                <w:tcPr>
                  <w:tcW w:w="2819" w:type="pct"/>
                  <w:vAlign w:val="center"/>
                </w:tcPr>
                <w:p>
                  <w:pPr>
                    <w:adjustRightInd w:val="0"/>
                    <w:snapToGrid w:val="0"/>
                    <w:jc w:val="center"/>
                    <w:rPr>
                      <w:szCs w:val="21"/>
                    </w:rPr>
                  </w:pPr>
                  <w:r>
                    <w:rPr>
                      <w:rFonts w:hint="eastAsia"/>
                      <w:szCs w:val="21"/>
                    </w:rPr>
                    <w:t>生活污水经三格化粪池处理后，用于周边农田施肥；养殖废水经污水处理系统处理达标后外排至日东河</w:t>
                  </w:r>
                </w:p>
              </w:tc>
              <w:tc>
                <w:tcPr>
                  <w:tcW w:w="727" w:type="pct"/>
                  <w:tcBorders>
                    <w:bottom w:val="single" w:color="000000" w:sz="6" w:space="0"/>
                  </w:tcBorders>
                  <w:vAlign w:val="center"/>
                </w:tcPr>
                <w:p>
                  <w:pPr>
                    <w:adjustRightInd w:val="0"/>
                    <w:snapToGrid w:val="0"/>
                    <w:jc w:val="center"/>
                    <w:rPr>
                      <w:bCs/>
                      <w:szCs w:val="21"/>
                    </w:rPr>
                  </w:pPr>
                  <w:r>
                    <w:rPr>
                      <w:bCs/>
                      <w:szCs w:val="21"/>
                    </w:rPr>
                    <w:t>新建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jc w:val="center"/>
              </w:trPr>
              <w:tc>
                <w:tcPr>
                  <w:tcW w:w="473" w:type="pct"/>
                  <w:vMerge w:val="continue"/>
                  <w:vAlign w:val="center"/>
                </w:tcPr>
                <w:p>
                  <w:pPr>
                    <w:adjustRightInd w:val="0"/>
                    <w:snapToGrid w:val="0"/>
                    <w:jc w:val="center"/>
                    <w:rPr>
                      <w:szCs w:val="21"/>
                    </w:rPr>
                  </w:pPr>
                </w:p>
              </w:tc>
              <w:tc>
                <w:tcPr>
                  <w:tcW w:w="979" w:type="pct"/>
                  <w:gridSpan w:val="2"/>
                  <w:tcBorders>
                    <w:top w:val="single" w:color="auto" w:sz="4" w:space="0"/>
                  </w:tcBorders>
                  <w:vAlign w:val="center"/>
                </w:tcPr>
                <w:p>
                  <w:pPr>
                    <w:adjustRightInd w:val="0"/>
                    <w:snapToGrid w:val="0"/>
                    <w:jc w:val="center"/>
                    <w:rPr>
                      <w:szCs w:val="21"/>
                    </w:rPr>
                  </w:pPr>
                  <w:r>
                    <w:rPr>
                      <w:rFonts w:hint="eastAsia"/>
                      <w:szCs w:val="21"/>
                    </w:rPr>
                    <w:t>废气处理措施</w:t>
                  </w:r>
                </w:p>
              </w:tc>
              <w:tc>
                <w:tcPr>
                  <w:tcW w:w="2819" w:type="pct"/>
                  <w:tcBorders>
                    <w:top w:val="single" w:color="auto" w:sz="4" w:space="0"/>
                  </w:tcBorders>
                  <w:vAlign w:val="center"/>
                </w:tcPr>
                <w:p>
                  <w:pPr>
                    <w:adjustRightInd w:val="0"/>
                    <w:snapToGrid w:val="0"/>
                    <w:jc w:val="center"/>
                    <w:rPr>
                      <w:szCs w:val="21"/>
                    </w:rPr>
                  </w:pPr>
                  <w:r>
                    <w:rPr>
                      <w:rFonts w:hint="eastAsia"/>
                      <w:szCs w:val="21"/>
                    </w:rPr>
                    <w:t>蛙池养殖臭气使用喷洒除臭剂进行处理</w:t>
                  </w:r>
                </w:p>
              </w:tc>
              <w:tc>
                <w:tcPr>
                  <w:tcW w:w="727" w:type="pct"/>
                  <w:tcBorders>
                    <w:top w:val="single" w:color="auto" w:sz="4" w:space="0"/>
                  </w:tcBorders>
                  <w:vAlign w:val="center"/>
                </w:tcPr>
                <w:p>
                  <w:pPr>
                    <w:adjustRightInd w:val="0"/>
                    <w:snapToGrid w:val="0"/>
                    <w:jc w:val="center"/>
                    <w:rPr>
                      <w:bCs/>
                      <w:szCs w:val="21"/>
                    </w:rPr>
                  </w:pPr>
                  <w:r>
                    <w:rPr>
                      <w:rFonts w:hint="eastAsia"/>
                      <w:bCs/>
                      <w:szCs w:val="21"/>
                    </w:rPr>
                    <w:t>新建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jc w:val="center"/>
              </w:trPr>
              <w:tc>
                <w:tcPr>
                  <w:tcW w:w="473" w:type="pct"/>
                  <w:vMerge w:val="continue"/>
                  <w:vAlign w:val="center"/>
                </w:tcPr>
                <w:p>
                  <w:pPr>
                    <w:adjustRightInd w:val="0"/>
                    <w:snapToGrid w:val="0"/>
                    <w:jc w:val="center"/>
                    <w:rPr>
                      <w:szCs w:val="21"/>
                    </w:rPr>
                  </w:pPr>
                </w:p>
              </w:tc>
              <w:tc>
                <w:tcPr>
                  <w:tcW w:w="979" w:type="pct"/>
                  <w:gridSpan w:val="2"/>
                  <w:tcBorders>
                    <w:top w:val="single" w:color="auto" w:sz="4" w:space="0"/>
                  </w:tcBorders>
                  <w:vAlign w:val="center"/>
                </w:tcPr>
                <w:p>
                  <w:pPr>
                    <w:adjustRightInd w:val="0"/>
                    <w:snapToGrid w:val="0"/>
                    <w:jc w:val="center"/>
                    <w:rPr>
                      <w:szCs w:val="21"/>
                    </w:rPr>
                  </w:pPr>
                  <w:r>
                    <w:rPr>
                      <w:szCs w:val="21"/>
                    </w:rPr>
                    <w:t>噪声</w:t>
                  </w:r>
                  <w:r>
                    <w:rPr>
                      <w:rFonts w:hint="eastAsia"/>
                      <w:szCs w:val="21"/>
                    </w:rPr>
                    <w:t>防治措施</w:t>
                  </w:r>
                </w:p>
              </w:tc>
              <w:tc>
                <w:tcPr>
                  <w:tcW w:w="2819" w:type="pct"/>
                  <w:tcBorders>
                    <w:top w:val="single" w:color="auto" w:sz="4" w:space="0"/>
                  </w:tcBorders>
                  <w:vAlign w:val="center"/>
                </w:tcPr>
                <w:p>
                  <w:pPr>
                    <w:adjustRightInd w:val="0"/>
                    <w:snapToGrid w:val="0"/>
                    <w:jc w:val="center"/>
                    <w:rPr>
                      <w:szCs w:val="21"/>
                    </w:rPr>
                  </w:pPr>
                  <w:r>
                    <w:rPr>
                      <w:szCs w:val="21"/>
                    </w:rPr>
                    <w:t>各设备采取基础减振、在靠近居民一侧厂界种植绿化及加装围墙等降噪措施</w:t>
                  </w:r>
                </w:p>
              </w:tc>
              <w:tc>
                <w:tcPr>
                  <w:tcW w:w="727" w:type="pct"/>
                  <w:tcBorders>
                    <w:top w:val="single" w:color="auto" w:sz="4" w:space="0"/>
                  </w:tcBorders>
                  <w:vAlign w:val="center"/>
                </w:tcPr>
                <w:p>
                  <w:pPr>
                    <w:adjustRightInd w:val="0"/>
                    <w:snapToGrid w:val="0"/>
                    <w:jc w:val="center"/>
                    <w:rPr>
                      <w:bCs/>
                      <w:szCs w:val="21"/>
                    </w:rPr>
                  </w:pPr>
                  <w:r>
                    <w:rPr>
                      <w:bCs/>
                      <w:szCs w:val="21"/>
                    </w:rPr>
                    <w:t>新建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jc w:val="center"/>
              </w:trPr>
              <w:tc>
                <w:tcPr>
                  <w:tcW w:w="473" w:type="pct"/>
                  <w:vMerge w:val="continue"/>
                  <w:vAlign w:val="center"/>
                </w:tcPr>
                <w:p>
                  <w:pPr>
                    <w:adjustRightInd w:val="0"/>
                    <w:snapToGrid w:val="0"/>
                    <w:jc w:val="center"/>
                    <w:rPr>
                      <w:szCs w:val="21"/>
                    </w:rPr>
                  </w:pPr>
                </w:p>
              </w:tc>
              <w:tc>
                <w:tcPr>
                  <w:tcW w:w="252" w:type="pct"/>
                  <w:vMerge w:val="restart"/>
                  <w:vAlign w:val="center"/>
                </w:tcPr>
                <w:p>
                  <w:pPr>
                    <w:adjustRightInd w:val="0"/>
                    <w:snapToGrid w:val="0"/>
                    <w:jc w:val="center"/>
                    <w:rPr>
                      <w:szCs w:val="21"/>
                    </w:rPr>
                  </w:pPr>
                  <w:r>
                    <w:rPr>
                      <w:szCs w:val="21"/>
                    </w:rPr>
                    <w:t>固废</w:t>
                  </w:r>
                </w:p>
              </w:tc>
              <w:tc>
                <w:tcPr>
                  <w:tcW w:w="726" w:type="pct"/>
                  <w:vAlign w:val="center"/>
                </w:tcPr>
                <w:p>
                  <w:pPr>
                    <w:adjustRightInd w:val="0"/>
                    <w:snapToGrid w:val="0"/>
                    <w:jc w:val="center"/>
                    <w:rPr>
                      <w:szCs w:val="21"/>
                    </w:rPr>
                  </w:pPr>
                  <w:r>
                    <w:rPr>
                      <w:szCs w:val="21"/>
                    </w:rPr>
                    <w:t>生活垃圾</w:t>
                  </w:r>
                </w:p>
              </w:tc>
              <w:tc>
                <w:tcPr>
                  <w:tcW w:w="2819" w:type="pct"/>
                  <w:vAlign w:val="center"/>
                </w:tcPr>
                <w:p>
                  <w:pPr>
                    <w:adjustRightInd w:val="0"/>
                    <w:snapToGrid w:val="0"/>
                    <w:jc w:val="center"/>
                    <w:rPr>
                      <w:szCs w:val="21"/>
                    </w:rPr>
                  </w:pPr>
                  <w:r>
                    <w:rPr>
                      <w:szCs w:val="21"/>
                    </w:rPr>
                    <w:t>交由环卫部门处置</w:t>
                  </w:r>
                </w:p>
              </w:tc>
              <w:tc>
                <w:tcPr>
                  <w:tcW w:w="727" w:type="pct"/>
                  <w:vAlign w:val="center"/>
                </w:tcPr>
                <w:p>
                  <w:pPr>
                    <w:adjustRightInd w:val="0"/>
                    <w:snapToGrid w:val="0"/>
                    <w:jc w:val="center"/>
                    <w:rPr>
                      <w:bCs/>
                      <w:szCs w:val="21"/>
                    </w:rPr>
                  </w:pPr>
                  <w:r>
                    <w:rPr>
                      <w:bCs/>
                      <w:szCs w:val="21"/>
                    </w:rPr>
                    <w:t>新建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jc w:val="center"/>
              </w:trPr>
              <w:tc>
                <w:tcPr>
                  <w:tcW w:w="473" w:type="pct"/>
                  <w:vMerge w:val="continue"/>
                  <w:vAlign w:val="center"/>
                </w:tcPr>
                <w:p>
                  <w:pPr>
                    <w:adjustRightInd w:val="0"/>
                    <w:snapToGrid w:val="0"/>
                    <w:jc w:val="center"/>
                    <w:rPr>
                      <w:szCs w:val="21"/>
                    </w:rPr>
                  </w:pPr>
                </w:p>
              </w:tc>
              <w:tc>
                <w:tcPr>
                  <w:tcW w:w="252" w:type="pct"/>
                  <w:vMerge w:val="continue"/>
                  <w:vAlign w:val="center"/>
                </w:tcPr>
                <w:p>
                  <w:pPr>
                    <w:adjustRightInd w:val="0"/>
                    <w:snapToGrid w:val="0"/>
                    <w:jc w:val="center"/>
                    <w:rPr>
                      <w:szCs w:val="21"/>
                    </w:rPr>
                  </w:pPr>
                </w:p>
              </w:tc>
              <w:tc>
                <w:tcPr>
                  <w:tcW w:w="726" w:type="pct"/>
                  <w:vAlign w:val="center"/>
                </w:tcPr>
                <w:p>
                  <w:pPr>
                    <w:adjustRightInd w:val="0"/>
                    <w:snapToGrid w:val="0"/>
                    <w:jc w:val="center"/>
                    <w:rPr>
                      <w:szCs w:val="21"/>
                    </w:rPr>
                  </w:pPr>
                  <w:r>
                    <w:rPr>
                      <w:rFonts w:hint="eastAsia"/>
                      <w:szCs w:val="21"/>
                    </w:rPr>
                    <w:t>废饲料包装袋</w:t>
                  </w:r>
                </w:p>
              </w:tc>
              <w:tc>
                <w:tcPr>
                  <w:tcW w:w="2819" w:type="pct"/>
                  <w:vAlign w:val="center"/>
                </w:tcPr>
                <w:p>
                  <w:pPr>
                    <w:adjustRightInd w:val="0"/>
                    <w:snapToGrid w:val="0"/>
                    <w:jc w:val="center"/>
                    <w:rPr>
                      <w:szCs w:val="21"/>
                    </w:rPr>
                  </w:pPr>
                  <w:r>
                    <w:rPr>
                      <w:rFonts w:hint="eastAsia"/>
                      <w:szCs w:val="21"/>
                    </w:rPr>
                    <w:t>外售至废品收购站</w:t>
                  </w:r>
                </w:p>
              </w:tc>
              <w:tc>
                <w:tcPr>
                  <w:tcW w:w="727" w:type="pct"/>
                  <w:vAlign w:val="center"/>
                </w:tcPr>
                <w:p>
                  <w:pPr>
                    <w:adjustRightInd w:val="0"/>
                    <w:snapToGrid w:val="0"/>
                    <w:jc w:val="center"/>
                    <w:rPr>
                      <w:bCs/>
                      <w:szCs w:val="21"/>
                    </w:rPr>
                  </w:pPr>
                  <w:r>
                    <w:rPr>
                      <w:bCs/>
                      <w:szCs w:val="21"/>
                    </w:rPr>
                    <w:t>新建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jc w:val="center"/>
              </w:trPr>
              <w:tc>
                <w:tcPr>
                  <w:tcW w:w="473" w:type="pct"/>
                  <w:vMerge w:val="continue"/>
                  <w:vAlign w:val="center"/>
                </w:tcPr>
                <w:p>
                  <w:pPr>
                    <w:adjustRightInd w:val="0"/>
                    <w:snapToGrid w:val="0"/>
                    <w:jc w:val="center"/>
                    <w:rPr>
                      <w:szCs w:val="21"/>
                    </w:rPr>
                  </w:pPr>
                </w:p>
              </w:tc>
              <w:tc>
                <w:tcPr>
                  <w:tcW w:w="252" w:type="pct"/>
                  <w:vMerge w:val="continue"/>
                  <w:vAlign w:val="center"/>
                </w:tcPr>
                <w:p>
                  <w:pPr>
                    <w:adjustRightInd w:val="0"/>
                    <w:snapToGrid w:val="0"/>
                    <w:jc w:val="center"/>
                    <w:rPr>
                      <w:szCs w:val="21"/>
                    </w:rPr>
                  </w:pPr>
                </w:p>
              </w:tc>
              <w:tc>
                <w:tcPr>
                  <w:tcW w:w="726" w:type="pct"/>
                  <w:vAlign w:val="center"/>
                </w:tcPr>
                <w:p>
                  <w:pPr>
                    <w:adjustRightInd w:val="0"/>
                    <w:snapToGrid w:val="0"/>
                    <w:jc w:val="center"/>
                    <w:rPr>
                      <w:szCs w:val="21"/>
                    </w:rPr>
                  </w:pPr>
                  <w:r>
                    <w:rPr>
                      <w:rFonts w:hint="eastAsia"/>
                      <w:szCs w:val="21"/>
                    </w:rPr>
                    <w:t>病死蛙</w:t>
                  </w:r>
                </w:p>
              </w:tc>
              <w:tc>
                <w:tcPr>
                  <w:tcW w:w="2819" w:type="pct"/>
                  <w:vAlign w:val="center"/>
                </w:tcPr>
                <w:p>
                  <w:pPr>
                    <w:adjustRightInd w:val="0"/>
                    <w:snapToGrid w:val="0"/>
                    <w:jc w:val="center"/>
                    <w:rPr>
                      <w:szCs w:val="21"/>
                    </w:rPr>
                  </w:pPr>
                  <w:r>
                    <w:rPr>
                      <w:rFonts w:hint="eastAsia"/>
                      <w:szCs w:val="21"/>
                    </w:rPr>
                    <w:t>少量用于喂鱼，剩余部分进行安全填埋</w:t>
                  </w:r>
                </w:p>
              </w:tc>
              <w:tc>
                <w:tcPr>
                  <w:tcW w:w="727" w:type="pct"/>
                  <w:vAlign w:val="center"/>
                </w:tcPr>
                <w:p>
                  <w:pPr>
                    <w:adjustRightInd w:val="0"/>
                    <w:snapToGrid w:val="0"/>
                    <w:jc w:val="center"/>
                    <w:rPr>
                      <w:bCs/>
                      <w:szCs w:val="21"/>
                    </w:rPr>
                  </w:pPr>
                  <w:r>
                    <w:rPr>
                      <w:bCs/>
                      <w:szCs w:val="21"/>
                    </w:rPr>
                    <w:t>新建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jc w:val="center"/>
              </w:trPr>
              <w:tc>
                <w:tcPr>
                  <w:tcW w:w="473" w:type="pct"/>
                  <w:vMerge w:val="continue"/>
                  <w:vAlign w:val="center"/>
                </w:tcPr>
                <w:p>
                  <w:pPr>
                    <w:adjustRightInd w:val="0"/>
                    <w:snapToGrid w:val="0"/>
                    <w:jc w:val="center"/>
                    <w:rPr>
                      <w:szCs w:val="21"/>
                    </w:rPr>
                  </w:pPr>
                </w:p>
              </w:tc>
              <w:tc>
                <w:tcPr>
                  <w:tcW w:w="252" w:type="pct"/>
                  <w:vMerge w:val="continue"/>
                  <w:vAlign w:val="center"/>
                </w:tcPr>
                <w:p>
                  <w:pPr>
                    <w:adjustRightInd w:val="0"/>
                    <w:snapToGrid w:val="0"/>
                    <w:jc w:val="center"/>
                    <w:rPr>
                      <w:szCs w:val="21"/>
                    </w:rPr>
                  </w:pPr>
                </w:p>
              </w:tc>
              <w:tc>
                <w:tcPr>
                  <w:tcW w:w="726" w:type="pct"/>
                  <w:vAlign w:val="center"/>
                </w:tcPr>
                <w:p>
                  <w:pPr>
                    <w:adjustRightInd w:val="0"/>
                    <w:snapToGrid w:val="0"/>
                    <w:jc w:val="center"/>
                    <w:rPr>
                      <w:szCs w:val="21"/>
                    </w:rPr>
                  </w:pPr>
                  <w:r>
                    <w:rPr>
                      <w:rFonts w:hint="eastAsia"/>
                      <w:szCs w:val="21"/>
                    </w:rPr>
                    <w:t>废弃网</w:t>
                  </w:r>
                </w:p>
              </w:tc>
              <w:tc>
                <w:tcPr>
                  <w:tcW w:w="2819" w:type="pct"/>
                  <w:vAlign w:val="center"/>
                </w:tcPr>
                <w:p>
                  <w:pPr>
                    <w:adjustRightInd w:val="0"/>
                    <w:snapToGrid w:val="0"/>
                    <w:jc w:val="center"/>
                    <w:rPr>
                      <w:szCs w:val="21"/>
                    </w:rPr>
                  </w:pPr>
                  <w:r>
                    <w:rPr>
                      <w:rFonts w:hint="eastAsia"/>
                      <w:szCs w:val="21"/>
                    </w:rPr>
                    <w:t>外售至废品收购站</w:t>
                  </w:r>
                </w:p>
              </w:tc>
              <w:tc>
                <w:tcPr>
                  <w:tcW w:w="727" w:type="pct"/>
                  <w:vAlign w:val="center"/>
                </w:tcPr>
                <w:p>
                  <w:pPr>
                    <w:adjustRightInd w:val="0"/>
                    <w:snapToGrid w:val="0"/>
                    <w:jc w:val="center"/>
                    <w:rPr>
                      <w:bCs/>
                      <w:szCs w:val="21"/>
                    </w:rPr>
                  </w:pPr>
                  <w:r>
                    <w:rPr>
                      <w:rFonts w:hint="eastAsia"/>
                      <w:bCs/>
                      <w:szCs w:val="21"/>
                    </w:rPr>
                    <w:t>新建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jc w:val="center"/>
              </w:trPr>
              <w:tc>
                <w:tcPr>
                  <w:tcW w:w="473" w:type="pct"/>
                  <w:vMerge w:val="continue"/>
                  <w:vAlign w:val="center"/>
                </w:tcPr>
                <w:p>
                  <w:pPr>
                    <w:adjustRightInd w:val="0"/>
                    <w:snapToGrid w:val="0"/>
                    <w:jc w:val="center"/>
                    <w:rPr>
                      <w:szCs w:val="21"/>
                    </w:rPr>
                  </w:pPr>
                </w:p>
              </w:tc>
              <w:tc>
                <w:tcPr>
                  <w:tcW w:w="252" w:type="pct"/>
                  <w:vMerge w:val="continue"/>
                  <w:vAlign w:val="center"/>
                </w:tcPr>
                <w:p>
                  <w:pPr>
                    <w:adjustRightInd w:val="0"/>
                    <w:snapToGrid w:val="0"/>
                    <w:jc w:val="center"/>
                    <w:rPr>
                      <w:szCs w:val="21"/>
                      <w:highlight w:val="yellow"/>
                    </w:rPr>
                  </w:pPr>
                </w:p>
              </w:tc>
              <w:tc>
                <w:tcPr>
                  <w:tcW w:w="726" w:type="pct"/>
                  <w:vAlign w:val="center"/>
                </w:tcPr>
                <w:p>
                  <w:pPr>
                    <w:adjustRightInd w:val="0"/>
                    <w:snapToGrid w:val="0"/>
                    <w:jc w:val="center"/>
                    <w:rPr>
                      <w:szCs w:val="21"/>
                    </w:rPr>
                  </w:pPr>
                  <w:r>
                    <w:rPr>
                      <w:rFonts w:hint="eastAsia"/>
                      <w:szCs w:val="21"/>
                    </w:rPr>
                    <w:t>沉淀池淤泥</w:t>
                  </w:r>
                </w:p>
              </w:tc>
              <w:tc>
                <w:tcPr>
                  <w:tcW w:w="2819" w:type="pct"/>
                  <w:vAlign w:val="center"/>
                </w:tcPr>
                <w:p>
                  <w:pPr>
                    <w:adjustRightInd w:val="0"/>
                    <w:snapToGrid w:val="0"/>
                    <w:jc w:val="center"/>
                    <w:rPr>
                      <w:szCs w:val="21"/>
                    </w:rPr>
                  </w:pPr>
                  <w:r>
                    <w:rPr>
                      <w:rFonts w:hint="eastAsia"/>
                      <w:szCs w:val="21"/>
                    </w:rPr>
                    <w:t>自然干化后由当地农民清运至果林种树</w:t>
                  </w:r>
                </w:p>
              </w:tc>
              <w:tc>
                <w:tcPr>
                  <w:tcW w:w="727" w:type="pct"/>
                  <w:vAlign w:val="center"/>
                </w:tcPr>
                <w:p>
                  <w:pPr>
                    <w:adjustRightInd w:val="0"/>
                    <w:snapToGrid w:val="0"/>
                    <w:jc w:val="center"/>
                    <w:rPr>
                      <w:bCs/>
                      <w:szCs w:val="21"/>
                    </w:rPr>
                  </w:pPr>
                  <w:r>
                    <w:rPr>
                      <w:rFonts w:hint="eastAsia"/>
                      <w:bCs/>
                      <w:szCs w:val="21"/>
                    </w:rPr>
                    <w:t>新建</w:t>
                  </w:r>
                </w:p>
              </w:tc>
            </w:tr>
          </w:tbl>
          <w:p>
            <w:pPr>
              <w:adjustRightInd w:val="0"/>
              <w:snapToGrid w:val="0"/>
              <w:spacing w:line="360" w:lineRule="auto"/>
              <w:ind w:firstLine="482" w:firstLineChars="200"/>
              <w:rPr>
                <w:b/>
                <w:kern w:val="0"/>
                <w:szCs w:val="21"/>
                <w:u w:val="single"/>
              </w:rPr>
            </w:pPr>
            <w:r>
              <w:rPr>
                <w:rFonts w:hint="eastAsia"/>
                <w:b/>
                <w:bCs/>
                <w:color w:val="000000"/>
                <w:sz w:val="24"/>
                <w:szCs w:val="22"/>
              </w:rPr>
              <w:t>3、</w:t>
            </w:r>
            <w:r>
              <w:rPr>
                <w:b/>
                <w:bCs/>
                <w:sz w:val="24"/>
                <w:u w:val="single"/>
              </w:rPr>
              <w:t>主要产品方案</w:t>
            </w:r>
          </w:p>
          <w:p>
            <w:pPr>
              <w:adjustRightInd w:val="0"/>
              <w:snapToGrid w:val="0"/>
              <w:spacing w:line="360" w:lineRule="auto"/>
              <w:ind w:firstLine="480" w:firstLineChars="200"/>
              <w:rPr>
                <w:b/>
                <w:bCs/>
                <w:color w:val="000000"/>
                <w:sz w:val="24"/>
                <w:szCs w:val="21"/>
                <w:u w:val="single"/>
              </w:rPr>
            </w:pPr>
            <w:r>
              <w:rPr>
                <w:color w:val="000000"/>
                <w:sz w:val="24"/>
                <w:szCs w:val="21"/>
                <w:u w:val="single"/>
              </w:rPr>
              <w:t>项目</w:t>
            </w:r>
            <w:r>
              <w:rPr>
                <w:rFonts w:hint="eastAsia"/>
                <w:color w:val="000000"/>
                <w:sz w:val="24"/>
                <w:szCs w:val="21"/>
                <w:u w:val="single"/>
              </w:rPr>
              <w:t>采取的养殖方式为稻蛙共作生态养殖，</w:t>
            </w:r>
            <w:r>
              <w:rPr>
                <w:color w:val="000000"/>
                <w:sz w:val="24"/>
                <w:szCs w:val="21"/>
                <w:u w:val="single"/>
              </w:rPr>
              <w:t>主要养殖的品种是2020年3月农业农村部公布推广蛙类中的牛蛙、</w:t>
            </w:r>
            <w:r>
              <w:rPr>
                <w:rFonts w:hint="eastAsia"/>
                <w:color w:val="000000"/>
                <w:sz w:val="24"/>
                <w:szCs w:val="21"/>
                <w:u w:val="single"/>
              </w:rPr>
              <w:t>青蛙</w:t>
            </w:r>
            <w:r>
              <w:rPr>
                <w:color w:val="000000"/>
                <w:sz w:val="24"/>
                <w:szCs w:val="21"/>
                <w:u w:val="single"/>
              </w:rPr>
              <w:t>等品种，具体产品方案见表2-</w:t>
            </w:r>
            <w:r>
              <w:rPr>
                <w:rFonts w:hint="eastAsia"/>
                <w:color w:val="000000"/>
                <w:sz w:val="24"/>
                <w:szCs w:val="21"/>
                <w:u w:val="single"/>
              </w:rPr>
              <w:t>2</w:t>
            </w:r>
            <w:r>
              <w:rPr>
                <w:color w:val="000000"/>
                <w:sz w:val="24"/>
                <w:szCs w:val="21"/>
                <w:u w:val="single"/>
              </w:rPr>
              <w:t>。</w:t>
            </w:r>
          </w:p>
          <w:p>
            <w:pPr>
              <w:adjustRightInd w:val="0"/>
              <w:snapToGrid w:val="0"/>
              <w:jc w:val="center"/>
              <w:rPr>
                <w:b/>
                <w:color w:val="000000"/>
                <w:kern w:val="0"/>
                <w:szCs w:val="21"/>
                <w:u w:val="single"/>
              </w:rPr>
            </w:pPr>
            <w:r>
              <w:rPr>
                <w:b/>
                <w:color w:val="000000"/>
                <w:kern w:val="0"/>
                <w:szCs w:val="21"/>
                <w:u w:val="single"/>
              </w:rPr>
              <w:t>表2-</w:t>
            </w:r>
            <w:r>
              <w:rPr>
                <w:rFonts w:hint="eastAsia"/>
                <w:b/>
                <w:color w:val="000000"/>
                <w:kern w:val="0"/>
                <w:szCs w:val="21"/>
                <w:u w:val="single"/>
              </w:rPr>
              <w:t>2</w:t>
            </w:r>
            <w:r>
              <w:rPr>
                <w:b/>
                <w:color w:val="000000"/>
                <w:kern w:val="0"/>
                <w:szCs w:val="21"/>
                <w:u w:val="single"/>
              </w:rPr>
              <w:t xml:space="preserve"> 项目主要产品及产量</w:t>
            </w:r>
            <w:r>
              <w:rPr>
                <w:rFonts w:hint="eastAsia"/>
                <w:b/>
                <w:color w:val="000000"/>
                <w:kern w:val="0"/>
                <w:szCs w:val="21"/>
                <w:u w:val="single"/>
              </w:rPr>
              <w:t>一览表</w:t>
            </w:r>
          </w:p>
          <w:tbl>
            <w:tblPr>
              <w:tblStyle w:val="24"/>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9"/>
              <w:gridCol w:w="1689"/>
              <w:gridCol w:w="1749"/>
              <w:gridCol w:w="1917"/>
              <w:gridCol w:w="19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23" w:type="pct"/>
                  <w:vAlign w:val="center"/>
                </w:tcPr>
                <w:p>
                  <w:pPr>
                    <w:adjustRightInd w:val="0"/>
                    <w:snapToGrid w:val="0"/>
                    <w:jc w:val="center"/>
                    <w:rPr>
                      <w:szCs w:val="21"/>
                      <w:u w:val="single"/>
                    </w:rPr>
                  </w:pPr>
                  <w:r>
                    <w:rPr>
                      <w:szCs w:val="21"/>
                      <w:u w:val="single"/>
                    </w:rPr>
                    <w:t>序号</w:t>
                  </w:r>
                </w:p>
              </w:tc>
              <w:tc>
                <w:tcPr>
                  <w:tcW w:w="1039" w:type="pct"/>
                  <w:vAlign w:val="center"/>
                </w:tcPr>
                <w:p>
                  <w:pPr>
                    <w:adjustRightInd w:val="0"/>
                    <w:snapToGrid w:val="0"/>
                    <w:jc w:val="center"/>
                    <w:rPr>
                      <w:szCs w:val="21"/>
                      <w:u w:val="single"/>
                    </w:rPr>
                  </w:pPr>
                  <w:r>
                    <w:rPr>
                      <w:szCs w:val="21"/>
                      <w:u w:val="single"/>
                    </w:rPr>
                    <w:t>产品种类</w:t>
                  </w:r>
                </w:p>
              </w:tc>
              <w:tc>
                <w:tcPr>
                  <w:tcW w:w="1076" w:type="pct"/>
                  <w:vAlign w:val="center"/>
                </w:tcPr>
                <w:p>
                  <w:pPr>
                    <w:adjustRightInd w:val="0"/>
                    <w:snapToGrid w:val="0"/>
                    <w:jc w:val="center"/>
                    <w:rPr>
                      <w:szCs w:val="21"/>
                      <w:u w:val="single"/>
                    </w:rPr>
                  </w:pPr>
                  <w:r>
                    <w:rPr>
                      <w:rFonts w:hint="eastAsia"/>
                      <w:szCs w:val="21"/>
                      <w:u w:val="single"/>
                    </w:rPr>
                    <w:t>单位</w:t>
                  </w:r>
                </w:p>
              </w:tc>
              <w:tc>
                <w:tcPr>
                  <w:tcW w:w="1179" w:type="pct"/>
                  <w:vAlign w:val="center"/>
                </w:tcPr>
                <w:p>
                  <w:pPr>
                    <w:adjustRightInd w:val="0"/>
                    <w:snapToGrid w:val="0"/>
                    <w:jc w:val="center"/>
                    <w:rPr>
                      <w:szCs w:val="21"/>
                      <w:u w:val="single"/>
                    </w:rPr>
                  </w:pPr>
                  <w:r>
                    <w:rPr>
                      <w:rFonts w:hint="eastAsia"/>
                      <w:szCs w:val="21"/>
                      <w:u w:val="single"/>
                    </w:rPr>
                    <w:t>数量</w:t>
                  </w:r>
                </w:p>
              </w:tc>
              <w:tc>
                <w:tcPr>
                  <w:tcW w:w="1179" w:type="pct"/>
                  <w:vAlign w:val="center"/>
                </w:tcPr>
                <w:p>
                  <w:pPr>
                    <w:adjustRightInd w:val="0"/>
                    <w:snapToGrid w:val="0"/>
                    <w:jc w:val="center"/>
                    <w:rPr>
                      <w:szCs w:val="21"/>
                      <w:u w:val="single"/>
                    </w:rPr>
                  </w:pPr>
                  <w:r>
                    <w:rPr>
                      <w:rFonts w:hint="eastAsia"/>
                      <w:szCs w:val="21"/>
                      <w:u w:val="singl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523" w:type="pct"/>
                  <w:vAlign w:val="center"/>
                </w:tcPr>
                <w:p>
                  <w:pPr>
                    <w:adjustRightInd w:val="0"/>
                    <w:snapToGrid w:val="0"/>
                    <w:jc w:val="center"/>
                    <w:rPr>
                      <w:szCs w:val="21"/>
                      <w:u w:val="single"/>
                    </w:rPr>
                  </w:pPr>
                  <w:r>
                    <w:rPr>
                      <w:szCs w:val="21"/>
                      <w:u w:val="single"/>
                    </w:rPr>
                    <w:t>1</w:t>
                  </w:r>
                </w:p>
              </w:tc>
              <w:tc>
                <w:tcPr>
                  <w:tcW w:w="1039" w:type="pct"/>
                  <w:vAlign w:val="center"/>
                </w:tcPr>
                <w:p>
                  <w:pPr>
                    <w:adjustRightInd w:val="0"/>
                    <w:snapToGrid w:val="0"/>
                    <w:jc w:val="center"/>
                    <w:rPr>
                      <w:szCs w:val="21"/>
                      <w:u w:val="single"/>
                    </w:rPr>
                  </w:pPr>
                  <w:r>
                    <w:rPr>
                      <w:rFonts w:hint="eastAsia"/>
                      <w:szCs w:val="21"/>
                      <w:u w:val="single"/>
                    </w:rPr>
                    <w:t>稻蛙</w:t>
                  </w:r>
                </w:p>
              </w:tc>
              <w:tc>
                <w:tcPr>
                  <w:tcW w:w="1076" w:type="pct"/>
                  <w:vAlign w:val="center"/>
                </w:tcPr>
                <w:p>
                  <w:pPr>
                    <w:adjustRightInd w:val="0"/>
                    <w:snapToGrid w:val="0"/>
                    <w:jc w:val="center"/>
                    <w:rPr>
                      <w:szCs w:val="21"/>
                      <w:u w:val="single"/>
                    </w:rPr>
                  </w:pPr>
                  <w:r>
                    <w:rPr>
                      <w:rFonts w:hint="eastAsia"/>
                      <w:szCs w:val="21"/>
                      <w:u w:val="single"/>
                    </w:rPr>
                    <w:t>t/a</w:t>
                  </w:r>
                </w:p>
              </w:tc>
              <w:tc>
                <w:tcPr>
                  <w:tcW w:w="1179" w:type="pct"/>
                  <w:vAlign w:val="center"/>
                </w:tcPr>
                <w:p>
                  <w:pPr>
                    <w:adjustRightInd w:val="0"/>
                    <w:snapToGrid w:val="0"/>
                    <w:jc w:val="center"/>
                    <w:rPr>
                      <w:szCs w:val="21"/>
                      <w:u w:val="single"/>
                    </w:rPr>
                  </w:pPr>
                  <w:r>
                    <w:rPr>
                      <w:rFonts w:hint="eastAsia"/>
                      <w:szCs w:val="21"/>
                      <w:u w:val="single"/>
                    </w:rPr>
                    <w:t>162.4</w:t>
                  </w:r>
                </w:p>
              </w:tc>
              <w:tc>
                <w:tcPr>
                  <w:tcW w:w="1179" w:type="pct"/>
                  <w:vAlign w:val="center"/>
                </w:tcPr>
                <w:p>
                  <w:pPr>
                    <w:adjustRightInd w:val="0"/>
                    <w:snapToGrid w:val="0"/>
                    <w:jc w:val="center"/>
                    <w:rPr>
                      <w:szCs w:val="21"/>
                      <w:u w:val="single"/>
                    </w:rPr>
                  </w:pPr>
                  <w:r>
                    <w:rPr>
                      <w:rFonts w:hint="eastAsia"/>
                      <w:szCs w:val="21"/>
                      <w:u w:val="single"/>
                    </w:rPr>
                    <w:t>年产量2800斤/亩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23" w:type="pct"/>
                  <w:vAlign w:val="center"/>
                </w:tcPr>
                <w:p>
                  <w:pPr>
                    <w:adjustRightInd w:val="0"/>
                    <w:snapToGrid w:val="0"/>
                    <w:jc w:val="center"/>
                    <w:rPr>
                      <w:szCs w:val="21"/>
                      <w:u w:val="single"/>
                    </w:rPr>
                  </w:pPr>
                  <w:r>
                    <w:rPr>
                      <w:rFonts w:hint="eastAsia"/>
                      <w:szCs w:val="21"/>
                      <w:u w:val="single"/>
                    </w:rPr>
                    <w:t>2</w:t>
                  </w:r>
                </w:p>
              </w:tc>
              <w:tc>
                <w:tcPr>
                  <w:tcW w:w="1039" w:type="pct"/>
                  <w:vAlign w:val="center"/>
                </w:tcPr>
                <w:p>
                  <w:pPr>
                    <w:adjustRightInd w:val="0"/>
                    <w:snapToGrid w:val="0"/>
                    <w:jc w:val="center"/>
                    <w:rPr>
                      <w:szCs w:val="21"/>
                      <w:u w:val="single"/>
                    </w:rPr>
                  </w:pPr>
                  <w:r>
                    <w:rPr>
                      <w:rFonts w:hint="eastAsia"/>
                      <w:szCs w:val="21"/>
                      <w:u w:val="single"/>
                    </w:rPr>
                    <w:t>稻谷</w:t>
                  </w:r>
                </w:p>
              </w:tc>
              <w:tc>
                <w:tcPr>
                  <w:tcW w:w="1076" w:type="pct"/>
                  <w:vAlign w:val="center"/>
                </w:tcPr>
                <w:p>
                  <w:pPr>
                    <w:adjustRightInd w:val="0"/>
                    <w:snapToGrid w:val="0"/>
                    <w:jc w:val="center"/>
                    <w:rPr>
                      <w:szCs w:val="21"/>
                      <w:u w:val="single"/>
                    </w:rPr>
                  </w:pPr>
                  <w:r>
                    <w:rPr>
                      <w:rFonts w:hint="eastAsia"/>
                      <w:szCs w:val="21"/>
                      <w:u w:val="single"/>
                    </w:rPr>
                    <w:t>t/a</w:t>
                  </w:r>
                </w:p>
              </w:tc>
              <w:tc>
                <w:tcPr>
                  <w:tcW w:w="1179" w:type="pct"/>
                  <w:vAlign w:val="center"/>
                </w:tcPr>
                <w:p>
                  <w:pPr>
                    <w:adjustRightInd w:val="0"/>
                    <w:snapToGrid w:val="0"/>
                    <w:jc w:val="center"/>
                    <w:rPr>
                      <w:szCs w:val="21"/>
                      <w:u w:val="single"/>
                    </w:rPr>
                  </w:pPr>
                  <w:r>
                    <w:rPr>
                      <w:rFonts w:hint="eastAsia"/>
                      <w:szCs w:val="21"/>
                      <w:u w:val="single"/>
                    </w:rPr>
                    <w:t>58</w:t>
                  </w:r>
                </w:p>
              </w:tc>
              <w:tc>
                <w:tcPr>
                  <w:tcW w:w="1179" w:type="pct"/>
                  <w:vAlign w:val="center"/>
                </w:tcPr>
                <w:p>
                  <w:pPr>
                    <w:adjustRightInd w:val="0"/>
                    <w:snapToGrid w:val="0"/>
                    <w:jc w:val="center"/>
                    <w:rPr>
                      <w:szCs w:val="21"/>
                      <w:u w:val="single"/>
                    </w:rPr>
                  </w:pPr>
                  <w:r>
                    <w:rPr>
                      <w:rFonts w:hint="eastAsia"/>
                      <w:szCs w:val="21"/>
                      <w:u w:val="single"/>
                    </w:rPr>
                    <w:t>年产量1000斤/亩，水稻加工不在厂内进行</w:t>
                  </w:r>
                </w:p>
              </w:tc>
            </w:tr>
          </w:tbl>
          <w:p>
            <w:pPr>
              <w:adjustRightInd w:val="0"/>
              <w:snapToGrid w:val="0"/>
              <w:spacing w:line="360" w:lineRule="auto"/>
              <w:ind w:firstLine="482" w:firstLineChars="200"/>
              <w:rPr>
                <w:b/>
                <w:bCs/>
                <w:color w:val="000000"/>
                <w:sz w:val="24"/>
                <w:szCs w:val="22"/>
              </w:rPr>
            </w:pPr>
            <w:r>
              <w:rPr>
                <w:rFonts w:hint="eastAsia"/>
                <w:b/>
                <w:bCs/>
                <w:color w:val="000000"/>
                <w:sz w:val="24"/>
                <w:szCs w:val="22"/>
              </w:rPr>
              <w:t>4、主要原辅材料及能源动力</w:t>
            </w:r>
          </w:p>
          <w:p>
            <w:pPr>
              <w:pStyle w:val="30"/>
              <w:spacing w:line="360" w:lineRule="auto"/>
              <w:ind w:firstLine="480" w:firstLineChars="200"/>
              <w:rPr>
                <w:rFonts w:hint="default" w:ascii="Times New Roman"/>
              </w:rPr>
            </w:pPr>
            <w:r>
              <w:rPr>
                <w:rFonts w:hint="default" w:ascii="Times New Roman"/>
                <w:u w:val="single"/>
              </w:rPr>
              <w:t>项目主要原辅材料及能源消耗见表2-3。</w:t>
            </w:r>
          </w:p>
          <w:p>
            <w:pPr>
              <w:adjustRightInd w:val="0"/>
              <w:snapToGrid w:val="0"/>
              <w:ind w:firstLine="422" w:firstLineChars="200"/>
              <w:jc w:val="center"/>
              <w:rPr>
                <w:b/>
                <w:bCs/>
                <w:color w:val="000000"/>
                <w:szCs w:val="21"/>
                <w:u w:val="single"/>
              </w:rPr>
            </w:pPr>
            <w:r>
              <w:rPr>
                <w:b/>
                <w:bCs/>
                <w:color w:val="000000"/>
                <w:szCs w:val="21"/>
                <w:u w:val="single"/>
              </w:rPr>
              <w:t>表2-</w:t>
            </w:r>
            <w:r>
              <w:rPr>
                <w:rFonts w:hint="eastAsia"/>
                <w:b/>
                <w:bCs/>
                <w:color w:val="000000"/>
                <w:szCs w:val="21"/>
                <w:u w:val="single"/>
              </w:rPr>
              <w:t>3 项目</w:t>
            </w:r>
            <w:r>
              <w:rPr>
                <w:b/>
                <w:bCs/>
                <w:color w:val="000000"/>
                <w:szCs w:val="21"/>
                <w:u w:val="single"/>
              </w:rPr>
              <w:t>主要原辅材料及能源消耗一览表</w:t>
            </w:r>
          </w:p>
          <w:tbl>
            <w:tblPr>
              <w:tblStyle w:val="24"/>
              <w:tblW w:w="4995" w:type="pct"/>
              <w:tblInd w:w="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9"/>
              <w:gridCol w:w="922"/>
              <w:gridCol w:w="891"/>
              <w:gridCol w:w="34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0" w:hRule="atLeast"/>
              </w:trPr>
              <w:tc>
                <w:tcPr>
                  <w:tcW w:w="1730" w:type="pct"/>
                  <w:vAlign w:val="center"/>
                </w:tcPr>
                <w:p>
                  <w:pPr>
                    <w:adjustRightInd w:val="0"/>
                    <w:snapToGrid w:val="0"/>
                    <w:jc w:val="center"/>
                    <w:rPr>
                      <w:szCs w:val="21"/>
                      <w:u w:val="single"/>
                    </w:rPr>
                  </w:pPr>
                  <w:r>
                    <w:rPr>
                      <w:rFonts w:hint="eastAsia"/>
                      <w:szCs w:val="21"/>
                      <w:u w:val="single"/>
                    </w:rPr>
                    <w:t>名称</w:t>
                  </w:r>
                </w:p>
              </w:tc>
              <w:tc>
                <w:tcPr>
                  <w:tcW w:w="568" w:type="pct"/>
                  <w:vAlign w:val="center"/>
                </w:tcPr>
                <w:p>
                  <w:pPr>
                    <w:adjustRightInd w:val="0"/>
                    <w:snapToGrid w:val="0"/>
                    <w:jc w:val="center"/>
                    <w:rPr>
                      <w:szCs w:val="21"/>
                      <w:u w:val="single"/>
                    </w:rPr>
                  </w:pPr>
                  <w:r>
                    <w:rPr>
                      <w:rFonts w:hint="eastAsia"/>
                      <w:szCs w:val="21"/>
                      <w:u w:val="single"/>
                    </w:rPr>
                    <w:t>用量</w:t>
                  </w:r>
                </w:p>
              </w:tc>
              <w:tc>
                <w:tcPr>
                  <w:tcW w:w="549" w:type="pct"/>
                  <w:vAlign w:val="center"/>
                </w:tcPr>
                <w:p>
                  <w:pPr>
                    <w:adjustRightInd w:val="0"/>
                    <w:snapToGrid w:val="0"/>
                    <w:jc w:val="center"/>
                    <w:rPr>
                      <w:szCs w:val="21"/>
                      <w:u w:val="single"/>
                    </w:rPr>
                  </w:pPr>
                  <w:r>
                    <w:rPr>
                      <w:rFonts w:hint="eastAsia"/>
                      <w:szCs w:val="21"/>
                      <w:u w:val="single"/>
                    </w:rPr>
                    <w:t>单位</w:t>
                  </w:r>
                </w:p>
              </w:tc>
              <w:tc>
                <w:tcPr>
                  <w:tcW w:w="2151" w:type="pct"/>
                  <w:vAlign w:val="center"/>
                </w:tcPr>
                <w:p>
                  <w:pPr>
                    <w:adjustRightInd w:val="0"/>
                    <w:snapToGrid w:val="0"/>
                    <w:jc w:val="center"/>
                    <w:rPr>
                      <w:szCs w:val="21"/>
                      <w:u w:val="single"/>
                    </w:rPr>
                  </w:pPr>
                  <w:r>
                    <w:rPr>
                      <w:rFonts w:hint="eastAsia"/>
                      <w:szCs w:val="21"/>
                      <w:u w:val="singl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5000" w:type="pct"/>
                  <w:gridSpan w:val="4"/>
                  <w:vAlign w:val="center"/>
                </w:tcPr>
                <w:p>
                  <w:pPr>
                    <w:adjustRightInd w:val="0"/>
                    <w:snapToGrid w:val="0"/>
                    <w:rPr>
                      <w:szCs w:val="21"/>
                      <w:highlight w:val="yellow"/>
                      <w:u w:val="single"/>
                    </w:rPr>
                  </w:pPr>
                  <w:r>
                    <w:rPr>
                      <w:rFonts w:hint="eastAsia"/>
                      <w:szCs w:val="21"/>
                      <w:u w:val="single"/>
                    </w:rPr>
                    <w:t>一、主要原辅材料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1730" w:type="pct"/>
                  <w:vAlign w:val="center"/>
                </w:tcPr>
                <w:p>
                  <w:pPr>
                    <w:adjustRightInd w:val="0"/>
                    <w:snapToGrid w:val="0"/>
                    <w:jc w:val="center"/>
                    <w:rPr>
                      <w:szCs w:val="21"/>
                      <w:u w:val="single"/>
                    </w:rPr>
                  </w:pPr>
                  <w:r>
                    <w:rPr>
                      <w:rFonts w:hint="eastAsia"/>
                      <w:szCs w:val="21"/>
                      <w:u w:val="single"/>
                    </w:rPr>
                    <w:t>蝌蚪苗</w:t>
                  </w:r>
                </w:p>
              </w:tc>
              <w:tc>
                <w:tcPr>
                  <w:tcW w:w="568" w:type="pct"/>
                  <w:vAlign w:val="center"/>
                </w:tcPr>
                <w:p>
                  <w:pPr>
                    <w:adjustRightInd w:val="0"/>
                    <w:snapToGrid w:val="0"/>
                    <w:jc w:val="center"/>
                    <w:rPr>
                      <w:szCs w:val="21"/>
                      <w:u w:val="single"/>
                    </w:rPr>
                  </w:pPr>
                  <w:r>
                    <w:rPr>
                      <w:rFonts w:hint="eastAsia"/>
                      <w:szCs w:val="21"/>
                      <w:u w:val="single"/>
                    </w:rPr>
                    <w:t>109350</w:t>
                  </w:r>
                </w:p>
              </w:tc>
              <w:tc>
                <w:tcPr>
                  <w:tcW w:w="549" w:type="pct"/>
                  <w:vAlign w:val="center"/>
                </w:tcPr>
                <w:p>
                  <w:pPr>
                    <w:adjustRightInd w:val="0"/>
                    <w:snapToGrid w:val="0"/>
                    <w:jc w:val="center"/>
                    <w:rPr>
                      <w:szCs w:val="21"/>
                      <w:u w:val="single"/>
                    </w:rPr>
                  </w:pPr>
                  <w:r>
                    <w:rPr>
                      <w:rFonts w:hint="eastAsia"/>
                      <w:szCs w:val="21"/>
                      <w:u w:val="single"/>
                    </w:rPr>
                    <w:t>尾/a</w:t>
                  </w:r>
                </w:p>
              </w:tc>
              <w:tc>
                <w:tcPr>
                  <w:tcW w:w="2151" w:type="pct"/>
                  <w:vAlign w:val="center"/>
                </w:tcPr>
                <w:p>
                  <w:pPr>
                    <w:adjustRightInd w:val="0"/>
                    <w:snapToGrid w:val="0"/>
                    <w:jc w:val="center"/>
                    <w:rPr>
                      <w:szCs w:val="21"/>
                      <w:u w:val="single"/>
                    </w:rPr>
                  </w:pPr>
                  <w:r>
                    <w:rPr>
                      <w:rFonts w:hint="eastAsia"/>
                      <w:szCs w:val="21"/>
                      <w:u w:val="single"/>
                    </w:rPr>
                    <w:t>外购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1730" w:type="pct"/>
                  <w:vAlign w:val="center"/>
                </w:tcPr>
                <w:p>
                  <w:pPr>
                    <w:adjustRightInd w:val="0"/>
                    <w:snapToGrid w:val="0"/>
                    <w:jc w:val="center"/>
                    <w:rPr>
                      <w:szCs w:val="21"/>
                      <w:u w:val="single"/>
                    </w:rPr>
                  </w:pPr>
                  <w:r>
                    <w:rPr>
                      <w:rFonts w:hint="eastAsia"/>
                      <w:szCs w:val="21"/>
                      <w:u w:val="single"/>
                    </w:rPr>
                    <w:t>水稻种子</w:t>
                  </w:r>
                </w:p>
              </w:tc>
              <w:tc>
                <w:tcPr>
                  <w:tcW w:w="568" w:type="pct"/>
                  <w:vAlign w:val="center"/>
                </w:tcPr>
                <w:p>
                  <w:pPr>
                    <w:adjustRightInd w:val="0"/>
                    <w:snapToGrid w:val="0"/>
                    <w:jc w:val="center"/>
                    <w:rPr>
                      <w:szCs w:val="21"/>
                      <w:u w:val="single"/>
                    </w:rPr>
                  </w:pPr>
                  <w:r>
                    <w:rPr>
                      <w:rFonts w:hint="eastAsia"/>
                      <w:szCs w:val="21"/>
                      <w:u w:val="single"/>
                    </w:rPr>
                    <w:t>348</w:t>
                  </w:r>
                </w:p>
              </w:tc>
              <w:tc>
                <w:tcPr>
                  <w:tcW w:w="549" w:type="pct"/>
                  <w:vAlign w:val="center"/>
                </w:tcPr>
                <w:p>
                  <w:pPr>
                    <w:adjustRightInd w:val="0"/>
                    <w:snapToGrid w:val="0"/>
                    <w:jc w:val="center"/>
                    <w:rPr>
                      <w:szCs w:val="21"/>
                      <w:u w:val="single"/>
                    </w:rPr>
                  </w:pPr>
                  <w:r>
                    <w:rPr>
                      <w:rFonts w:hint="eastAsia"/>
                      <w:szCs w:val="21"/>
                      <w:u w:val="single"/>
                    </w:rPr>
                    <w:t>kg/a</w:t>
                  </w:r>
                </w:p>
              </w:tc>
              <w:tc>
                <w:tcPr>
                  <w:tcW w:w="2151" w:type="pct"/>
                  <w:vAlign w:val="center"/>
                </w:tcPr>
                <w:p>
                  <w:pPr>
                    <w:adjustRightInd w:val="0"/>
                    <w:snapToGrid w:val="0"/>
                    <w:jc w:val="center"/>
                    <w:rPr>
                      <w:szCs w:val="21"/>
                      <w:u w:val="single"/>
                    </w:rPr>
                  </w:pPr>
                  <w:r>
                    <w:rPr>
                      <w:rFonts w:hint="eastAsia"/>
                      <w:szCs w:val="21"/>
                      <w:u w:val="single"/>
                    </w:rPr>
                    <w:t>外购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3" w:hRule="atLeast"/>
              </w:trPr>
              <w:tc>
                <w:tcPr>
                  <w:tcW w:w="1730" w:type="pct"/>
                  <w:vAlign w:val="center"/>
                </w:tcPr>
                <w:p>
                  <w:pPr>
                    <w:adjustRightInd w:val="0"/>
                    <w:snapToGrid w:val="0"/>
                    <w:jc w:val="center"/>
                    <w:rPr>
                      <w:szCs w:val="21"/>
                      <w:u w:val="single"/>
                    </w:rPr>
                  </w:pPr>
                  <w:r>
                    <w:rPr>
                      <w:rFonts w:hint="eastAsia"/>
                      <w:szCs w:val="21"/>
                      <w:u w:val="single"/>
                    </w:rPr>
                    <w:t>饲料</w:t>
                  </w:r>
                </w:p>
              </w:tc>
              <w:tc>
                <w:tcPr>
                  <w:tcW w:w="568" w:type="pct"/>
                  <w:vAlign w:val="center"/>
                </w:tcPr>
                <w:p>
                  <w:pPr>
                    <w:adjustRightInd w:val="0"/>
                    <w:snapToGrid w:val="0"/>
                    <w:jc w:val="center"/>
                    <w:rPr>
                      <w:szCs w:val="21"/>
                      <w:u w:val="single"/>
                    </w:rPr>
                  </w:pPr>
                  <w:r>
                    <w:rPr>
                      <w:rFonts w:hint="eastAsia"/>
                      <w:szCs w:val="21"/>
                      <w:u w:val="single"/>
                    </w:rPr>
                    <w:t>8.12</w:t>
                  </w:r>
                </w:p>
              </w:tc>
              <w:tc>
                <w:tcPr>
                  <w:tcW w:w="549" w:type="pct"/>
                  <w:vAlign w:val="center"/>
                </w:tcPr>
                <w:p>
                  <w:pPr>
                    <w:adjustRightInd w:val="0"/>
                    <w:snapToGrid w:val="0"/>
                    <w:jc w:val="center"/>
                    <w:rPr>
                      <w:szCs w:val="21"/>
                      <w:u w:val="single"/>
                    </w:rPr>
                  </w:pPr>
                  <w:r>
                    <w:rPr>
                      <w:rFonts w:hint="eastAsia"/>
                      <w:szCs w:val="21"/>
                      <w:u w:val="single"/>
                    </w:rPr>
                    <w:t>t/a</w:t>
                  </w:r>
                </w:p>
              </w:tc>
              <w:tc>
                <w:tcPr>
                  <w:tcW w:w="2151" w:type="pct"/>
                  <w:vAlign w:val="center"/>
                </w:tcPr>
                <w:p>
                  <w:pPr>
                    <w:adjustRightInd w:val="0"/>
                    <w:snapToGrid w:val="0"/>
                    <w:jc w:val="center"/>
                    <w:rPr>
                      <w:szCs w:val="21"/>
                      <w:u w:val="single"/>
                    </w:rPr>
                  </w:pPr>
                  <w:r>
                    <w:rPr>
                      <w:rFonts w:hint="eastAsia"/>
                      <w:szCs w:val="21"/>
                      <w:u w:val="single"/>
                    </w:rPr>
                    <w:t>外购，用于饲养，主要成分为鱼粉、豆粕、花生粕、面粉、鱼油、豆油、维生素、矿物元素、抗氧化剂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3" w:hRule="atLeast"/>
              </w:trPr>
              <w:tc>
                <w:tcPr>
                  <w:tcW w:w="1730" w:type="pct"/>
                  <w:vAlign w:val="center"/>
                </w:tcPr>
                <w:p>
                  <w:pPr>
                    <w:adjustRightInd w:val="0"/>
                    <w:snapToGrid w:val="0"/>
                    <w:jc w:val="center"/>
                    <w:rPr>
                      <w:szCs w:val="21"/>
                      <w:u w:val="single"/>
                    </w:rPr>
                  </w:pPr>
                  <w:r>
                    <w:rPr>
                      <w:rFonts w:hint="eastAsia"/>
                      <w:szCs w:val="21"/>
                      <w:u w:val="single"/>
                    </w:rPr>
                    <w:t>遮阴网</w:t>
                  </w:r>
                </w:p>
              </w:tc>
              <w:tc>
                <w:tcPr>
                  <w:tcW w:w="568" w:type="pct"/>
                  <w:vAlign w:val="center"/>
                </w:tcPr>
                <w:p>
                  <w:pPr>
                    <w:adjustRightInd w:val="0"/>
                    <w:snapToGrid w:val="0"/>
                    <w:jc w:val="center"/>
                    <w:rPr>
                      <w:szCs w:val="21"/>
                      <w:u w:val="single"/>
                    </w:rPr>
                  </w:pPr>
                  <w:r>
                    <w:rPr>
                      <w:rFonts w:hint="eastAsia"/>
                      <w:szCs w:val="21"/>
                      <w:u w:val="single"/>
                    </w:rPr>
                    <w:t>10000</w:t>
                  </w:r>
                </w:p>
              </w:tc>
              <w:tc>
                <w:tcPr>
                  <w:tcW w:w="549" w:type="pct"/>
                  <w:vAlign w:val="center"/>
                </w:tcPr>
                <w:p>
                  <w:pPr>
                    <w:adjustRightInd w:val="0"/>
                    <w:snapToGrid w:val="0"/>
                    <w:jc w:val="center"/>
                    <w:rPr>
                      <w:szCs w:val="21"/>
                      <w:u w:val="single"/>
                    </w:rPr>
                  </w:pPr>
                  <w:r>
                    <w:rPr>
                      <w:rFonts w:hint="eastAsia"/>
                      <w:szCs w:val="21"/>
                      <w:u w:val="single"/>
                    </w:rPr>
                    <w:t>m</w:t>
                  </w:r>
                  <w:r>
                    <w:rPr>
                      <w:rFonts w:hint="eastAsia"/>
                      <w:szCs w:val="21"/>
                      <w:u w:val="single"/>
                      <w:vertAlign w:val="superscript"/>
                    </w:rPr>
                    <w:t>2</w:t>
                  </w:r>
                </w:p>
              </w:tc>
              <w:tc>
                <w:tcPr>
                  <w:tcW w:w="2151" w:type="pct"/>
                  <w:vAlign w:val="center"/>
                </w:tcPr>
                <w:p>
                  <w:pPr>
                    <w:adjustRightInd w:val="0"/>
                    <w:snapToGrid w:val="0"/>
                    <w:jc w:val="center"/>
                    <w:rPr>
                      <w:szCs w:val="21"/>
                      <w:highlight w:val="yellow"/>
                      <w:u w:val="single"/>
                    </w:rPr>
                  </w:pPr>
                  <w:r>
                    <w:rPr>
                      <w:rFonts w:hint="eastAsia"/>
                      <w:szCs w:val="21"/>
                      <w:u w:val="single"/>
                    </w:rPr>
                    <w:t>2~3年一换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3" w:hRule="atLeast"/>
              </w:trPr>
              <w:tc>
                <w:tcPr>
                  <w:tcW w:w="1730" w:type="pct"/>
                  <w:vAlign w:val="center"/>
                </w:tcPr>
                <w:p>
                  <w:pPr>
                    <w:adjustRightInd w:val="0"/>
                    <w:snapToGrid w:val="0"/>
                    <w:jc w:val="center"/>
                    <w:rPr>
                      <w:szCs w:val="21"/>
                      <w:u w:val="single"/>
                    </w:rPr>
                  </w:pPr>
                  <w:r>
                    <w:rPr>
                      <w:rFonts w:hint="eastAsia"/>
                      <w:szCs w:val="21"/>
                      <w:u w:val="single"/>
                    </w:rPr>
                    <w:t>阿莫西林</w:t>
                  </w:r>
                </w:p>
              </w:tc>
              <w:tc>
                <w:tcPr>
                  <w:tcW w:w="568" w:type="pct"/>
                  <w:vAlign w:val="center"/>
                </w:tcPr>
                <w:p>
                  <w:pPr>
                    <w:adjustRightInd w:val="0"/>
                    <w:snapToGrid w:val="0"/>
                    <w:jc w:val="center"/>
                    <w:rPr>
                      <w:szCs w:val="21"/>
                      <w:u w:val="single"/>
                    </w:rPr>
                  </w:pPr>
                  <w:r>
                    <w:rPr>
                      <w:rFonts w:hint="eastAsia"/>
                      <w:szCs w:val="21"/>
                      <w:u w:val="single"/>
                    </w:rPr>
                    <w:t>52</w:t>
                  </w:r>
                </w:p>
              </w:tc>
              <w:tc>
                <w:tcPr>
                  <w:tcW w:w="549" w:type="pct"/>
                  <w:vAlign w:val="center"/>
                </w:tcPr>
                <w:p>
                  <w:pPr>
                    <w:adjustRightInd w:val="0"/>
                    <w:snapToGrid w:val="0"/>
                    <w:jc w:val="center"/>
                    <w:rPr>
                      <w:szCs w:val="21"/>
                      <w:u w:val="single"/>
                    </w:rPr>
                  </w:pPr>
                  <w:r>
                    <w:rPr>
                      <w:rFonts w:hint="eastAsia"/>
                      <w:szCs w:val="21"/>
                      <w:u w:val="single"/>
                    </w:rPr>
                    <w:t>kg/a</w:t>
                  </w:r>
                </w:p>
              </w:tc>
              <w:tc>
                <w:tcPr>
                  <w:tcW w:w="2151" w:type="pct"/>
                  <w:vAlign w:val="center"/>
                </w:tcPr>
                <w:p>
                  <w:pPr>
                    <w:adjustRightInd w:val="0"/>
                    <w:snapToGrid w:val="0"/>
                    <w:jc w:val="center"/>
                    <w:rPr>
                      <w:szCs w:val="21"/>
                      <w:u w:val="single"/>
                    </w:rPr>
                  </w:pPr>
                  <w:r>
                    <w:rPr>
                      <w:rFonts w:hint="eastAsia"/>
                      <w:szCs w:val="21"/>
                      <w:u w:val="single"/>
                    </w:rPr>
                    <w:t>外购，用于蛙类肠胃预防</w:t>
                  </w:r>
                </w:p>
                <w:p>
                  <w:pPr>
                    <w:adjustRightInd w:val="0"/>
                    <w:snapToGrid w:val="0"/>
                    <w:jc w:val="center"/>
                    <w:rPr>
                      <w:szCs w:val="21"/>
                      <w:u w:val="single"/>
                    </w:rPr>
                  </w:pPr>
                  <w:r>
                    <w:rPr>
                      <w:rFonts w:hint="eastAsia"/>
                      <w:szCs w:val="21"/>
                      <w:u w:val="single"/>
                    </w:rPr>
                    <w:t>（周期为20天/1次）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1730" w:type="pct"/>
                  <w:vAlign w:val="center"/>
                </w:tcPr>
                <w:p>
                  <w:pPr>
                    <w:adjustRightInd w:val="0"/>
                    <w:snapToGrid w:val="0"/>
                    <w:jc w:val="center"/>
                    <w:rPr>
                      <w:szCs w:val="21"/>
                      <w:u w:val="single"/>
                    </w:rPr>
                  </w:pPr>
                  <w:r>
                    <w:rPr>
                      <w:rFonts w:hint="eastAsia"/>
                      <w:szCs w:val="21"/>
                      <w:u w:val="single"/>
                    </w:rPr>
                    <w:t>纤虫菌杀（南京福斯特生物科技有限公司）</w:t>
                  </w:r>
                </w:p>
              </w:tc>
              <w:tc>
                <w:tcPr>
                  <w:tcW w:w="568" w:type="pct"/>
                  <w:vAlign w:val="center"/>
                </w:tcPr>
                <w:p>
                  <w:pPr>
                    <w:adjustRightInd w:val="0"/>
                    <w:snapToGrid w:val="0"/>
                    <w:jc w:val="center"/>
                    <w:rPr>
                      <w:szCs w:val="21"/>
                      <w:u w:val="single"/>
                    </w:rPr>
                  </w:pPr>
                  <w:r>
                    <w:rPr>
                      <w:rFonts w:hint="eastAsia"/>
                      <w:szCs w:val="21"/>
                      <w:u w:val="single"/>
                    </w:rPr>
                    <w:t>78</w:t>
                  </w:r>
                </w:p>
              </w:tc>
              <w:tc>
                <w:tcPr>
                  <w:tcW w:w="549" w:type="pct"/>
                  <w:vAlign w:val="center"/>
                </w:tcPr>
                <w:p>
                  <w:pPr>
                    <w:adjustRightInd w:val="0"/>
                    <w:snapToGrid w:val="0"/>
                    <w:jc w:val="center"/>
                    <w:rPr>
                      <w:szCs w:val="21"/>
                      <w:u w:val="single"/>
                    </w:rPr>
                  </w:pPr>
                  <w:r>
                    <w:rPr>
                      <w:rFonts w:hint="eastAsia"/>
                      <w:szCs w:val="21"/>
                      <w:u w:val="single"/>
                    </w:rPr>
                    <w:t>kg/a</w:t>
                  </w:r>
                </w:p>
              </w:tc>
              <w:tc>
                <w:tcPr>
                  <w:tcW w:w="2151" w:type="pct"/>
                  <w:vMerge w:val="restart"/>
                  <w:vAlign w:val="center"/>
                </w:tcPr>
                <w:p>
                  <w:pPr>
                    <w:adjustRightInd w:val="0"/>
                    <w:snapToGrid w:val="0"/>
                    <w:jc w:val="center"/>
                    <w:rPr>
                      <w:szCs w:val="21"/>
                      <w:u w:val="single"/>
                    </w:rPr>
                  </w:pPr>
                  <w:r>
                    <w:rPr>
                      <w:rFonts w:hint="eastAsia"/>
                      <w:szCs w:val="21"/>
                      <w:u w:val="single"/>
                    </w:rPr>
                    <w:t>外购，池地杀虫杀菌（周期为10天/1次）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3" w:hRule="atLeast"/>
              </w:trPr>
              <w:tc>
                <w:tcPr>
                  <w:tcW w:w="1730" w:type="pct"/>
                  <w:vAlign w:val="center"/>
                </w:tcPr>
                <w:p>
                  <w:pPr>
                    <w:adjustRightInd w:val="0"/>
                    <w:snapToGrid w:val="0"/>
                    <w:jc w:val="center"/>
                    <w:rPr>
                      <w:szCs w:val="21"/>
                      <w:u w:val="single"/>
                    </w:rPr>
                  </w:pPr>
                  <w:r>
                    <w:rPr>
                      <w:rFonts w:hint="eastAsia"/>
                      <w:szCs w:val="21"/>
                      <w:u w:val="single"/>
                    </w:rPr>
                    <w:t>混杀灵（南京福斯特生物科技有限公司）</w:t>
                  </w:r>
                </w:p>
              </w:tc>
              <w:tc>
                <w:tcPr>
                  <w:tcW w:w="568" w:type="pct"/>
                  <w:vAlign w:val="center"/>
                </w:tcPr>
                <w:p>
                  <w:pPr>
                    <w:adjustRightInd w:val="0"/>
                    <w:snapToGrid w:val="0"/>
                    <w:jc w:val="center"/>
                    <w:rPr>
                      <w:szCs w:val="21"/>
                      <w:u w:val="single"/>
                    </w:rPr>
                  </w:pPr>
                  <w:r>
                    <w:rPr>
                      <w:rFonts w:hint="eastAsia"/>
                      <w:szCs w:val="21"/>
                      <w:u w:val="single"/>
                    </w:rPr>
                    <w:t>78</w:t>
                  </w:r>
                </w:p>
              </w:tc>
              <w:tc>
                <w:tcPr>
                  <w:tcW w:w="549" w:type="pct"/>
                  <w:vAlign w:val="center"/>
                </w:tcPr>
                <w:p>
                  <w:pPr>
                    <w:adjustRightInd w:val="0"/>
                    <w:snapToGrid w:val="0"/>
                    <w:jc w:val="center"/>
                    <w:rPr>
                      <w:szCs w:val="21"/>
                      <w:u w:val="single"/>
                    </w:rPr>
                  </w:pPr>
                  <w:r>
                    <w:rPr>
                      <w:rFonts w:hint="eastAsia"/>
                      <w:szCs w:val="21"/>
                      <w:u w:val="single"/>
                    </w:rPr>
                    <w:t>kg</w:t>
                  </w:r>
                  <w:r>
                    <w:rPr>
                      <w:rFonts w:hint="eastAsia"/>
                      <w:szCs w:val="21"/>
                      <w:u w:val="single"/>
                    </w:rPr>
                    <w:cr/>
                  </w:r>
                </w:p>
              </w:tc>
              <w:tc>
                <w:tcPr>
                  <w:tcW w:w="2151" w:type="pct"/>
                  <w:vMerge w:val="continue"/>
                  <w:vAlign w:val="center"/>
                </w:tcPr>
                <w:p>
                  <w:pPr>
                    <w:adjustRightInd w:val="0"/>
                    <w:snapToGrid w:val="0"/>
                    <w:jc w:val="center"/>
                    <w:rPr>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3" w:hRule="atLeast"/>
              </w:trPr>
              <w:tc>
                <w:tcPr>
                  <w:tcW w:w="1730" w:type="pct"/>
                  <w:vAlign w:val="center"/>
                </w:tcPr>
                <w:p>
                  <w:pPr>
                    <w:adjustRightInd w:val="0"/>
                    <w:snapToGrid w:val="0"/>
                    <w:jc w:val="center"/>
                    <w:rPr>
                      <w:szCs w:val="21"/>
                      <w:u w:val="single"/>
                    </w:rPr>
                  </w:pPr>
                  <w:r>
                    <w:rPr>
                      <w:rFonts w:hint="eastAsia"/>
                      <w:szCs w:val="21"/>
                      <w:u w:val="single"/>
                    </w:rPr>
                    <w:t>漂白粉</w:t>
                  </w:r>
                </w:p>
              </w:tc>
              <w:tc>
                <w:tcPr>
                  <w:tcW w:w="568" w:type="pct"/>
                  <w:vAlign w:val="center"/>
                </w:tcPr>
                <w:p>
                  <w:pPr>
                    <w:adjustRightInd w:val="0"/>
                    <w:snapToGrid w:val="0"/>
                    <w:jc w:val="center"/>
                    <w:rPr>
                      <w:szCs w:val="21"/>
                      <w:u w:val="single"/>
                    </w:rPr>
                  </w:pPr>
                  <w:r>
                    <w:rPr>
                      <w:rFonts w:hint="eastAsia"/>
                      <w:szCs w:val="21"/>
                      <w:u w:val="single"/>
                    </w:rPr>
                    <w:t>1.0</w:t>
                  </w:r>
                </w:p>
              </w:tc>
              <w:tc>
                <w:tcPr>
                  <w:tcW w:w="549" w:type="pct"/>
                  <w:vAlign w:val="center"/>
                </w:tcPr>
                <w:p>
                  <w:pPr>
                    <w:adjustRightInd w:val="0"/>
                    <w:snapToGrid w:val="0"/>
                    <w:jc w:val="center"/>
                    <w:rPr>
                      <w:szCs w:val="21"/>
                      <w:u w:val="single"/>
                    </w:rPr>
                  </w:pPr>
                  <w:r>
                    <w:rPr>
                      <w:rFonts w:hint="eastAsia"/>
                      <w:szCs w:val="21"/>
                      <w:u w:val="single"/>
                    </w:rPr>
                    <w:t>t/a</w:t>
                  </w:r>
                </w:p>
              </w:tc>
              <w:tc>
                <w:tcPr>
                  <w:tcW w:w="2151" w:type="pct"/>
                  <w:vAlign w:val="center"/>
                </w:tcPr>
                <w:p>
                  <w:pPr>
                    <w:adjustRightInd w:val="0"/>
                    <w:snapToGrid w:val="0"/>
                    <w:jc w:val="center"/>
                    <w:rPr>
                      <w:szCs w:val="21"/>
                      <w:u w:val="single"/>
                    </w:rPr>
                  </w:pPr>
                  <w:r>
                    <w:rPr>
                      <w:rFonts w:hint="eastAsia"/>
                      <w:szCs w:val="21"/>
                      <w:u w:val="single"/>
                    </w:rPr>
                    <w:t>外购，周边环境消毒（周期为10天/1次）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3" w:hRule="atLeast"/>
              </w:trPr>
              <w:tc>
                <w:tcPr>
                  <w:tcW w:w="1730" w:type="pct"/>
                  <w:vAlign w:val="center"/>
                </w:tcPr>
                <w:p>
                  <w:pPr>
                    <w:adjustRightInd w:val="0"/>
                    <w:snapToGrid w:val="0"/>
                    <w:jc w:val="center"/>
                    <w:rPr>
                      <w:szCs w:val="21"/>
                      <w:u w:val="single"/>
                    </w:rPr>
                  </w:pPr>
                  <w:r>
                    <w:rPr>
                      <w:rFonts w:hint="eastAsia"/>
                      <w:szCs w:val="21"/>
                      <w:u w:val="single"/>
                    </w:rPr>
                    <w:t>生石灰</w:t>
                  </w:r>
                </w:p>
              </w:tc>
              <w:tc>
                <w:tcPr>
                  <w:tcW w:w="568" w:type="pct"/>
                  <w:vAlign w:val="center"/>
                </w:tcPr>
                <w:p>
                  <w:pPr>
                    <w:adjustRightInd w:val="0"/>
                    <w:snapToGrid w:val="0"/>
                    <w:jc w:val="center"/>
                    <w:rPr>
                      <w:szCs w:val="21"/>
                      <w:u w:val="single"/>
                    </w:rPr>
                  </w:pPr>
                  <w:r>
                    <w:rPr>
                      <w:rFonts w:hint="eastAsia"/>
                      <w:szCs w:val="21"/>
                      <w:u w:val="single"/>
                    </w:rPr>
                    <w:t>1.0</w:t>
                  </w:r>
                </w:p>
              </w:tc>
              <w:tc>
                <w:tcPr>
                  <w:tcW w:w="549" w:type="pct"/>
                  <w:vAlign w:val="center"/>
                </w:tcPr>
                <w:p>
                  <w:pPr>
                    <w:adjustRightInd w:val="0"/>
                    <w:snapToGrid w:val="0"/>
                    <w:jc w:val="center"/>
                    <w:rPr>
                      <w:szCs w:val="21"/>
                      <w:u w:val="single"/>
                    </w:rPr>
                  </w:pPr>
                  <w:r>
                    <w:rPr>
                      <w:rFonts w:hint="eastAsia"/>
                      <w:szCs w:val="21"/>
                      <w:u w:val="single"/>
                    </w:rPr>
                    <w:t>t/a</w:t>
                  </w:r>
                </w:p>
              </w:tc>
              <w:tc>
                <w:tcPr>
                  <w:tcW w:w="2151" w:type="pct"/>
                  <w:vAlign w:val="center"/>
                </w:tcPr>
                <w:p>
                  <w:pPr>
                    <w:adjustRightInd w:val="0"/>
                    <w:snapToGrid w:val="0"/>
                    <w:jc w:val="center"/>
                    <w:rPr>
                      <w:szCs w:val="21"/>
                      <w:u w:val="single"/>
                    </w:rPr>
                  </w:pPr>
                  <w:r>
                    <w:rPr>
                      <w:rFonts w:hint="eastAsia"/>
                      <w:szCs w:val="21"/>
                      <w:u w:val="single"/>
                    </w:rPr>
                    <w:t>外购，用于蛙池</w:t>
                  </w:r>
                  <w:r>
                    <w:rPr>
                      <w:rFonts w:hint="eastAsia"/>
                      <w:szCs w:val="21"/>
                      <w:u w:val="single"/>
                    </w:rPr>
                    <w:cr/>
                  </w:r>
                  <w:r>
                    <w:rPr>
                      <w:rFonts w:hint="eastAsia"/>
                      <w:szCs w:val="21"/>
                      <w:u w:val="single"/>
                    </w:rPr>
                    <w:t>消毒（周期为1年/1次）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3" w:hRule="atLeast"/>
              </w:trPr>
              <w:tc>
                <w:tcPr>
                  <w:tcW w:w="5000" w:type="pct"/>
                  <w:gridSpan w:val="4"/>
                  <w:vAlign w:val="center"/>
                </w:tcPr>
                <w:p>
                  <w:pPr>
                    <w:adjustRightInd w:val="0"/>
                    <w:snapToGrid w:val="0"/>
                    <w:jc w:val="left"/>
                    <w:rPr>
                      <w:szCs w:val="21"/>
                      <w:u w:val="single"/>
                    </w:rPr>
                  </w:pPr>
                  <w:r>
                    <w:rPr>
                      <w:rFonts w:hint="eastAsia"/>
                      <w:szCs w:val="21"/>
                      <w:u w:val="single"/>
                    </w:rPr>
                    <w:t>二、主要能源消耗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1730" w:type="pct"/>
                  <w:vAlign w:val="center"/>
                </w:tcPr>
                <w:p>
                  <w:pPr>
                    <w:adjustRightInd w:val="0"/>
                    <w:snapToGrid w:val="0"/>
                    <w:jc w:val="center"/>
                    <w:rPr>
                      <w:szCs w:val="21"/>
                      <w:u w:val="single"/>
                    </w:rPr>
                  </w:pPr>
                  <w:r>
                    <w:rPr>
                      <w:rFonts w:hint="eastAsia"/>
                      <w:szCs w:val="21"/>
                      <w:u w:val="single"/>
                    </w:rPr>
                    <w:t>水</w:t>
                  </w:r>
                </w:p>
              </w:tc>
              <w:tc>
                <w:tcPr>
                  <w:tcW w:w="568" w:type="pct"/>
                  <w:vAlign w:val="center"/>
                </w:tcPr>
                <w:p>
                  <w:pPr>
                    <w:adjustRightInd w:val="0"/>
                    <w:snapToGrid w:val="0"/>
                    <w:jc w:val="center"/>
                    <w:rPr>
                      <w:szCs w:val="21"/>
                      <w:u w:val="single"/>
                    </w:rPr>
                  </w:pPr>
                  <w:r>
                    <w:rPr>
                      <w:rFonts w:hint="eastAsia"/>
                      <w:szCs w:val="21"/>
                      <w:u w:val="single"/>
                    </w:rPr>
                    <w:t>7906.5</w:t>
                  </w:r>
                </w:p>
              </w:tc>
              <w:tc>
                <w:tcPr>
                  <w:tcW w:w="549" w:type="pct"/>
                  <w:vAlign w:val="center"/>
                </w:tcPr>
                <w:p>
                  <w:pPr>
                    <w:adjustRightInd w:val="0"/>
                    <w:snapToGrid w:val="0"/>
                    <w:jc w:val="center"/>
                    <w:rPr>
                      <w:szCs w:val="21"/>
                      <w:u w:val="single"/>
                    </w:rPr>
                  </w:pPr>
                  <w:r>
                    <w:rPr>
                      <w:rFonts w:hint="eastAsia"/>
                      <w:szCs w:val="21"/>
                      <w:u w:val="single"/>
                    </w:rPr>
                    <w:t>m³/a</w:t>
                  </w:r>
                </w:p>
              </w:tc>
              <w:tc>
                <w:tcPr>
                  <w:tcW w:w="2151" w:type="pct"/>
                  <w:vAlign w:val="center"/>
                </w:tcPr>
                <w:p>
                  <w:pPr>
                    <w:adjustRightInd w:val="0"/>
                    <w:snapToGrid w:val="0"/>
                    <w:jc w:val="center"/>
                    <w:rPr>
                      <w:szCs w:val="21"/>
                      <w:u w:val="single"/>
                    </w:rPr>
                  </w:pPr>
                  <w:r>
                    <w:rPr>
                      <w:rFonts w:hint="eastAsia"/>
                      <w:szCs w:val="21"/>
                      <w:u w:val="single"/>
                    </w:rPr>
                    <w:t>养殖用水来源于日东河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1730" w:type="pct"/>
                  <w:vAlign w:val="center"/>
                </w:tcPr>
                <w:p>
                  <w:pPr>
                    <w:adjustRightInd w:val="0"/>
                    <w:snapToGrid w:val="0"/>
                    <w:jc w:val="center"/>
                    <w:rPr>
                      <w:szCs w:val="21"/>
                      <w:u w:val="single"/>
                    </w:rPr>
                  </w:pPr>
                  <w:r>
                    <w:rPr>
                      <w:rFonts w:hint="eastAsia"/>
                      <w:szCs w:val="21"/>
                      <w:u w:val="single"/>
                    </w:rPr>
                    <w:t>电</w:t>
                  </w:r>
                </w:p>
              </w:tc>
              <w:tc>
                <w:tcPr>
                  <w:tcW w:w="568" w:type="pct"/>
                  <w:vAlign w:val="center"/>
                </w:tcPr>
                <w:p>
                  <w:pPr>
                    <w:adjustRightInd w:val="0"/>
                    <w:snapToGrid w:val="0"/>
                    <w:jc w:val="center"/>
                    <w:rPr>
                      <w:szCs w:val="21"/>
                      <w:u w:val="single"/>
                    </w:rPr>
                  </w:pPr>
                  <w:r>
                    <w:rPr>
                      <w:rFonts w:hint="eastAsia"/>
                      <w:szCs w:val="21"/>
                      <w:u w:val="single"/>
                    </w:rPr>
                    <w:t>2000</w:t>
                  </w:r>
                </w:p>
              </w:tc>
              <w:tc>
                <w:tcPr>
                  <w:tcW w:w="549" w:type="pct"/>
                  <w:vAlign w:val="center"/>
                </w:tcPr>
                <w:p>
                  <w:pPr>
                    <w:adjustRightInd w:val="0"/>
                    <w:snapToGrid w:val="0"/>
                    <w:jc w:val="center"/>
                    <w:rPr>
                      <w:szCs w:val="21"/>
                      <w:u w:val="single"/>
                    </w:rPr>
                  </w:pPr>
                  <w:r>
                    <w:rPr>
                      <w:rFonts w:hint="eastAsia"/>
                      <w:szCs w:val="21"/>
                      <w:u w:val="single"/>
                    </w:rPr>
                    <w:t>度/a</w:t>
                  </w:r>
                </w:p>
              </w:tc>
              <w:tc>
                <w:tcPr>
                  <w:tcW w:w="2151" w:type="pct"/>
                  <w:vAlign w:val="center"/>
                </w:tcPr>
                <w:p>
                  <w:pPr>
                    <w:adjustRightInd w:val="0"/>
                    <w:snapToGrid w:val="0"/>
                    <w:jc w:val="center"/>
                    <w:rPr>
                      <w:szCs w:val="21"/>
                      <w:u w:val="single"/>
                    </w:rPr>
                  </w:pPr>
                  <w:r>
                    <w:rPr>
                      <w:rFonts w:hint="eastAsia"/>
                      <w:szCs w:val="21"/>
                      <w:u w:val="single"/>
                    </w:rPr>
                    <w:t>市政供电</w:t>
                  </w:r>
                </w:p>
              </w:tc>
            </w:tr>
          </w:tbl>
          <w:p>
            <w:pPr>
              <w:adjustRightInd w:val="0"/>
              <w:snapToGrid w:val="0"/>
              <w:spacing w:line="360" w:lineRule="auto"/>
              <w:ind w:firstLine="482" w:firstLineChars="200"/>
              <w:rPr>
                <w:sz w:val="24"/>
              </w:rPr>
            </w:pPr>
            <w:r>
              <w:rPr>
                <w:b/>
                <w:bCs/>
                <w:sz w:val="24"/>
              </w:rPr>
              <w:t>主要原料理化性质如下：</w:t>
            </w:r>
          </w:p>
          <w:p>
            <w:pPr>
              <w:tabs>
                <w:tab w:val="left" w:pos="780"/>
              </w:tabs>
              <w:adjustRightInd w:val="0"/>
              <w:snapToGrid w:val="0"/>
              <w:spacing w:line="360" w:lineRule="auto"/>
              <w:ind w:firstLine="482" w:firstLineChars="200"/>
              <w:rPr>
                <w:sz w:val="24"/>
                <w:szCs w:val="21"/>
              </w:rPr>
            </w:pPr>
            <w:r>
              <w:rPr>
                <w:rFonts w:hint="eastAsia"/>
                <w:b/>
                <w:bCs/>
                <w:sz w:val="24"/>
                <w:szCs w:val="21"/>
              </w:rPr>
              <w:t>漂白粉：</w:t>
            </w:r>
            <w:r>
              <w:rPr>
                <w:rFonts w:hint="eastAsia"/>
                <w:sz w:val="24"/>
                <w:szCs w:val="21"/>
              </w:rPr>
              <w:t>漂白粉为白色颗粒状粉末，主要成分是次氯酸钙，有氯臭，含有效氯25%～32%，能溶于水，溶液浑浊，有大量沉渣。稳定性较差，遇日光、热、潮湿等分解加快。【作用与用途】漂白粉是目前水产养殖使用较为广泛的消毒剂和水质改良剂，在水产养殖中主要用于清塘、水体消毒和工具的消毒等。漂白粉溶于水后产生次氯酸和次氯酸根，次氯酸又可放出活性氯和初生态氧。从而对细菌、病毒、真菌孢子及细菌芽孢有不同程度的杀灭作用。此外，因漂白粉中含有大约15%的氢氧化钙，可适当调节池水的pH，同时氢氧化钙在水中形成絮状沉淀，可以吸附部分有机物和胶质，使池水得到改良。</w:t>
            </w:r>
          </w:p>
          <w:p>
            <w:pPr>
              <w:adjustRightInd w:val="0"/>
              <w:snapToGrid w:val="0"/>
              <w:spacing w:line="360" w:lineRule="auto"/>
              <w:ind w:firstLine="482" w:firstLineChars="200"/>
              <w:rPr>
                <w:color w:val="000000"/>
                <w:sz w:val="24"/>
              </w:rPr>
            </w:pPr>
            <w:r>
              <w:rPr>
                <w:rFonts w:hint="eastAsia"/>
                <w:b/>
                <w:bCs/>
                <w:sz w:val="24"/>
                <w:szCs w:val="21"/>
              </w:rPr>
              <w:t>生石灰：</w:t>
            </w:r>
            <w:r>
              <w:rPr>
                <w:rFonts w:hint="eastAsia"/>
                <w:sz w:val="24"/>
                <w:szCs w:val="21"/>
              </w:rPr>
              <w:t>氧化钙，别名：生石灰、石灰。外形为白色（或灰色、棕白），无定形，在空气中吸收水和二氧化碳。氧化钙与水作用生成氢氧化钙，并放出热量。溶于酸水，不溶于醇。系属无机碱性蚀物品，国家危规编号95006。</w:t>
            </w:r>
          </w:p>
          <w:p>
            <w:pPr>
              <w:keepNext/>
              <w:keepLines/>
              <w:adjustRightInd w:val="0"/>
              <w:snapToGrid w:val="0"/>
              <w:spacing w:line="360" w:lineRule="auto"/>
              <w:ind w:firstLine="482" w:firstLineChars="200"/>
              <w:outlineLvl w:val="2"/>
              <w:rPr>
                <w:b/>
                <w:bCs/>
                <w:color w:val="000000"/>
                <w:sz w:val="24"/>
                <w:szCs w:val="22"/>
              </w:rPr>
            </w:pPr>
            <w:r>
              <w:rPr>
                <w:rFonts w:hint="eastAsia"/>
                <w:b/>
                <w:bCs/>
                <w:color w:val="000000"/>
                <w:sz w:val="24"/>
                <w:szCs w:val="22"/>
              </w:rPr>
              <w:t>5、</w:t>
            </w:r>
            <w:r>
              <w:rPr>
                <w:b/>
                <w:bCs/>
                <w:color w:val="000000"/>
                <w:sz w:val="24"/>
                <w:szCs w:val="22"/>
              </w:rPr>
              <w:t>生产设备</w:t>
            </w:r>
          </w:p>
          <w:p>
            <w:pPr>
              <w:adjustRightInd w:val="0"/>
              <w:snapToGrid w:val="0"/>
              <w:spacing w:line="360" w:lineRule="auto"/>
              <w:ind w:firstLine="480" w:firstLineChars="200"/>
              <w:rPr>
                <w:color w:val="000000"/>
                <w:sz w:val="24"/>
                <w:szCs w:val="22"/>
              </w:rPr>
            </w:pPr>
            <w:r>
              <w:rPr>
                <w:color w:val="000000"/>
                <w:sz w:val="24"/>
                <w:szCs w:val="22"/>
              </w:rPr>
              <w:t>项目主要生产设备详见下表。</w:t>
            </w:r>
          </w:p>
          <w:p>
            <w:pPr>
              <w:jc w:val="center"/>
              <w:rPr>
                <w:b/>
                <w:bCs/>
                <w:color w:val="000000"/>
                <w:szCs w:val="21"/>
              </w:rPr>
            </w:pPr>
            <w:r>
              <w:rPr>
                <w:b/>
                <w:bCs/>
                <w:color w:val="000000"/>
                <w:szCs w:val="21"/>
              </w:rPr>
              <w:t>表</w:t>
            </w:r>
            <w:r>
              <w:rPr>
                <w:rFonts w:hint="eastAsia"/>
                <w:b/>
                <w:bCs/>
                <w:color w:val="000000"/>
                <w:szCs w:val="21"/>
              </w:rPr>
              <w:t>2</w:t>
            </w:r>
            <w:r>
              <w:rPr>
                <w:b/>
                <w:bCs/>
                <w:color w:val="000000"/>
                <w:szCs w:val="21"/>
              </w:rPr>
              <w:t>-</w:t>
            </w:r>
            <w:r>
              <w:rPr>
                <w:rFonts w:hint="eastAsia"/>
                <w:b/>
                <w:bCs/>
                <w:color w:val="000000"/>
                <w:szCs w:val="21"/>
              </w:rPr>
              <w:t xml:space="preserve">4 </w:t>
            </w:r>
            <w:r>
              <w:rPr>
                <w:b/>
                <w:bCs/>
                <w:color w:val="000000"/>
                <w:szCs w:val="21"/>
              </w:rPr>
              <w:t xml:space="preserve"> 生产设备一览表</w:t>
            </w:r>
          </w:p>
          <w:tbl>
            <w:tblPr>
              <w:tblStyle w:val="2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5"/>
              <w:gridCol w:w="2891"/>
              <w:gridCol w:w="2029"/>
              <w:gridCol w:w="18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98" w:hRule="atLeast"/>
              </w:trPr>
              <w:tc>
                <w:tcPr>
                  <w:tcW w:w="815" w:type="pct"/>
                  <w:vAlign w:val="center"/>
                </w:tcPr>
                <w:p>
                  <w:pPr>
                    <w:pStyle w:val="53"/>
                  </w:pPr>
                  <w:r>
                    <w:rPr>
                      <w:rFonts w:hint="eastAsia"/>
                    </w:rPr>
                    <w:t>设备分类</w:t>
                  </w:r>
                </w:p>
              </w:tc>
              <w:tc>
                <w:tcPr>
                  <w:tcW w:w="1778" w:type="pct"/>
                  <w:vAlign w:val="center"/>
                </w:tcPr>
                <w:p>
                  <w:pPr>
                    <w:pStyle w:val="53"/>
                  </w:pPr>
                  <w:r>
                    <w:rPr>
                      <w:rFonts w:hint="eastAsia"/>
                    </w:rPr>
                    <w:t>设备名称</w:t>
                  </w:r>
                </w:p>
              </w:tc>
              <w:tc>
                <w:tcPr>
                  <w:tcW w:w="1249" w:type="pct"/>
                  <w:vAlign w:val="center"/>
                </w:tcPr>
                <w:p>
                  <w:pPr>
                    <w:pStyle w:val="53"/>
                  </w:pPr>
                  <w:r>
                    <w:rPr>
                      <w:rFonts w:hint="eastAsia"/>
                    </w:rPr>
                    <w:t>数量（台）</w:t>
                  </w:r>
                </w:p>
              </w:tc>
              <w:tc>
                <w:tcPr>
                  <w:tcW w:w="1156" w:type="pct"/>
                  <w:vAlign w:val="center"/>
                </w:tcPr>
                <w:p>
                  <w:pPr>
                    <w:pStyle w:val="53"/>
                  </w:pPr>
                  <w:r>
                    <w:rPr>
                      <w:rFonts w:hint="eastAsia"/>
                    </w:rPr>
                    <w:t>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trPr>
              <w:tc>
                <w:tcPr>
                  <w:tcW w:w="815" w:type="pct"/>
                  <w:vMerge w:val="restart"/>
                  <w:vAlign w:val="center"/>
                </w:tcPr>
                <w:p>
                  <w:pPr>
                    <w:pStyle w:val="53"/>
                  </w:pPr>
                  <w:r>
                    <w:rPr>
                      <w:rFonts w:hint="eastAsia"/>
                    </w:rPr>
                    <w:t>生产设备</w:t>
                  </w:r>
                </w:p>
              </w:tc>
              <w:tc>
                <w:tcPr>
                  <w:tcW w:w="1778" w:type="pct"/>
                  <w:vAlign w:val="center"/>
                </w:tcPr>
                <w:p>
                  <w:pPr>
                    <w:pStyle w:val="53"/>
                  </w:pPr>
                  <w:r>
                    <w:rPr>
                      <w:rFonts w:hint="eastAsia"/>
                    </w:rPr>
                    <w:t>水泵（1.5kw）</w:t>
                  </w:r>
                </w:p>
              </w:tc>
              <w:tc>
                <w:tcPr>
                  <w:tcW w:w="1249" w:type="pct"/>
                  <w:vAlign w:val="center"/>
                </w:tcPr>
                <w:p>
                  <w:pPr>
                    <w:pStyle w:val="53"/>
                  </w:pPr>
                  <w:r>
                    <w:rPr>
                      <w:rFonts w:hint="eastAsia"/>
                    </w:rPr>
                    <w:t>7</w:t>
                  </w:r>
                </w:p>
              </w:tc>
              <w:tc>
                <w:tcPr>
                  <w:tcW w:w="1156" w:type="pct"/>
                  <w:vAlign w:val="center"/>
                </w:tcPr>
                <w:p>
                  <w:pPr>
                    <w:pStyle w:val="53"/>
                  </w:pPr>
                  <w:r>
                    <w:rPr>
                      <w:rFonts w:hint="eastAsia"/>
                    </w:rPr>
                    <w:t>抽水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98" w:hRule="atLeast"/>
              </w:trPr>
              <w:tc>
                <w:tcPr>
                  <w:tcW w:w="815" w:type="pct"/>
                  <w:vMerge w:val="continue"/>
                  <w:vAlign w:val="center"/>
                </w:tcPr>
                <w:p>
                  <w:pPr>
                    <w:pStyle w:val="53"/>
                  </w:pPr>
                </w:p>
              </w:tc>
              <w:tc>
                <w:tcPr>
                  <w:tcW w:w="1778" w:type="pct"/>
                  <w:vAlign w:val="center"/>
                </w:tcPr>
                <w:p>
                  <w:pPr>
                    <w:pStyle w:val="53"/>
                  </w:pPr>
                  <w:r>
                    <w:rPr>
                      <w:rFonts w:hint="eastAsia"/>
                    </w:rPr>
                    <w:t>三轮车</w:t>
                  </w:r>
                </w:p>
              </w:tc>
              <w:tc>
                <w:tcPr>
                  <w:tcW w:w="1249" w:type="pct"/>
                  <w:vAlign w:val="center"/>
                </w:tcPr>
                <w:p>
                  <w:pPr>
                    <w:pStyle w:val="53"/>
                  </w:pPr>
                  <w:r>
                    <w:rPr>
                      <w:rFonts w:hint="eastAsia"/>
                    </w:rPr>
                    <w:t>2</w:t>
                  </w:r>
                </w:p>
              </w:tc>
              <w:tc>
                <w:tcPr>
                  <w:tcW w:w="1156" w:type="pct"/>
                  <w:vAlign w:val="center"/>
                </w:tcPr>
                <w:p>
                  <w:pPr>
                    <w:pStyle w:val="53"/>
                  </w:pPr>
                  <w:r>
                    <w:rPr>
                      <w:rFonts w:hint="eastAsia"/>
                    </w:rPr>
                    <w:t>原料、产品运输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98" w:hRule="atLeast"/>
              </w:trPr>
              <w:tc>
                <w:tcPr>
                  <w:tcW w:w="815" w:type="pct"/>
                  <w:vMerge w:val="continue"/>
                  <w:vAlign w:val="center"/>
                </w:tcPr>
                <w:p>
                  <w:pPr>
                    <w:pStyle w:val="53"/>
                  </w:pPr>
                </w:p>
              </w:tc>
              <w:tc>
                <w:tcPr>
                  <w:tcW w:w="1778" w:type="pct"/>
                  <w:vAlign w:val="center"/>
                </w:tcPr>
                <w:p>
                  <w:pPr>
                    <w:pStyle w:val="53"/>
                  </w:pPr>
                  <w:r>
                    <w:rPr>
                      <w:rFonts w:hint="eastAsia"/>
                    </w:rPr>
                    <w:t>拌料机</w:t>
                  </w:r>
                </w:p>
              </w:tc>
              <w:tc>
                <w:tcPr>
                  <w:tcW w:w="1249" w:type="pct"/>
                  <w:vAlign w:val="center"/>
                </w:tcPr>
                <w:p>
                  <w:pPr>
                    <w:pStyle w:val="53"/>
                  </w:pPr>
                  <w:r>
                    <w:rPr>
                      <w:rFonts w:hint="eastAsia"/>
                    </w:rPr>
                    <w:t>2</w:t>
                  </w:r>
                </w:p>
              </w:tc>
              <w:tc>
                <w:tcPr>
                  <w:tcW w:w="1156" w:type="pct"/>
                  <w:vAlign w:val="center"/>
                </w:tcPr>
                <w:p>
                  <w:pPr>
                    <w:pStyle w:val="53"/>
                  </w:pPr>
                  <w:r>
                    <w:rPr>
                      <w:rFonts w:hint="eastAsia"/>
                    </w:rPr>
                    <w:t>饲料拌料</w:t>
                  </w:r>
                </w:p>
              </w:tc>
            </w:tr>
          </w:tbl>
          <w:p>
            <w:pPr>
              <w:keepNext/>
              <w:keepLines/>
              <w:adjustRightInd w:val="0"/>
              <w:snapToGrid w:val="0"/>
              <w:spacing w:line="360" w:lineRule="auto"/>
              <w:ind w:firstLine="482" w:firstLineChars="200"/>
              <w:outlineLvl w:val="2"/>
              <w:rPr>
                <w:b/>
                <w:bCs/>
                <w:color w:val="000000"/>
                <w:sz w:val="24"/>
                <w:szCs w:val="22"/>
              </w:rPr>
            </w:pPr>
            <w:r>
              <w:rPr>
                <w:rFonts w:hint="eastAsia"/>
                <w:b/>
                <w:bCs/>
                <w:color w:val="000000"/>
                <w:sz w:val="24"/>
                <w:szCs w:val="22"/>
              </w:rPr>
              <w:t>6、劳动定员和工作制度</w:t>
            </w:r>
          </w:p>
          <w:p>
            <w:pPr>
              <w:adjustRightInd w:val="0"/>
              <w:snapToGrid w:val="0"/>
              <w:spacing w:line="360" w:lineRule="auto"/>
              <w:ind w:firstLine="480" w:firstLineChars="200"/>
              <w:rPr>
                <w:color w:val="000000"/>
                <w:sz w:val="24"/>
                <w:szCs w:val="22"/>
              </w:rPr>
            </w:pPr>
            <w:r>
              <w:rPr>
                <w:rFonts w:hint="eastAsia"/>
                <w:bCs/>
                <w:color w:val="000000"/>
                <w:sz w:val="24"/>
                <w:szCs w:val="20"/>
              </w:rPr>
              <w:t>项目劳动定员5</w:t>
            </w:r>
            <w:r>
              <w:rPr>
                <w:bCs/>
                <w:color w:val="000000"/>
                <w:sz w:val="24"/>
                <w:szCs w:val="20"/>
              </w:rPr>
              <w:t>人</w:t>
            </w:r>
            <w:r>
              <w:rPr>
                <w:rFonts w:hint="eastAsia"/>
                <w:bCs/>
                <w:color w:val="000000"/>
                <w:sz w:val="24"/>
                <w:szCs w:val="20"/>
              </w:rPr>
              <w:t>，员工均为附近当地居民，不在</w:t>
            </w:r>
            <w:r>
              <w:rPr>
                <w:bCs/>
                <w:color w:val="000000"/>
                <w:sz w:val="24"/>
                <w:szCs w:val="20"/>
              </w:rPr>
              <w:t>厂区内食宿。</w:t>
            </w:r>
            <w:r>
              <w:rPr>
                <w:rFonts w:hint="eastAsia"/>
                <w:bCs/>
                <w:color w:val="000000"/>
                <w:sz w:val="24"/>
                <w:szCs w:val="20"/>
              </w:rPr>
              <w:t>年工作290天，实行一班八小时制。</w:t>
            </w:r>
          </w:p>
          <w:p>
            <w:pPr>
              <w:adjustRightInd w:val="0"/>
              <w:snapToGrid w:val="0"/>
              <w:spacing w:line="360" w:lineRule="auto"/>
              <w:ind w:firstLine="482" w:firstLineChars="200"/>
              <w:rPr>
                <w:b/>
                <w:color w:val="000000"/>
                <w:kern w:val="21"/>
                <w:sz w:val="24"/>
              </w:rPr>
            </w:pPr>
            <w:r>
              <w:rPr>
                <w:rFonts w:hint="eastAsia"/>
                <w:b/>
                <w:color w:val="000000"/>
                <w:kern w:val="21"/>
                <w:sz w:val="24"/>
              </w:rPr>
              <w:t>7、</w:t>
            </w:r>
            <w:r>
              <w:rPr>
                <w:b/>
                <w:color w:val="000000"/>
                <w:kern w:val="21"/>
                <w:sz w:val="24"/>
              </w:rPr>
              <w:t>公用工程</w:t>
            </w:r>
          </w:p>
          <w:p>
            <w:pPr>
              <w:adjustRightInd w:val="0"/>
              <w:snapToGrid w:val="0"/>
              <w:spacing w:line="360" w:lineRule="auto"/>
              <w:ind w:firstLine="480" w:firstLineChars="200"/>
              <w:rPr>
                <w:color w:val="000000"/>
                <w:sz w:val="24"/>
                <w:szCs w:val="22"/>
              </w:rPr>
            </w:pPr>
            <w:r>
              <w:rPr>
                <w:rFonts w:hint="eastAsia"/>
                <w:color w:val="000000"/>
                <w:sz w:val="24"/>
                <w:szCs w:val="22"/>
              </w:rPr>
              <w:t>（1）</w:t>
            </w:r>
            <w:r>
              <w:rPr>
                <w:color w:val="000000"/>
                <w:sz w:val="24"/>
                <w:szCs w:val="22"/>
              </w:rPr>
              <w:t>给、排水</w:t>
            </w:r>
          </w:p>
          <w:p>
            <w:pPr>
              <w:adjustRightInd w:val="0"/>
              <w:snapToGrid w:val="0"/>
              <w:spacing w:line="360" w:lineRule="auto"/>
              <w:ind w:firstLine="480" w:firstLineChars="200"/>
              <w:rPr>
                <w:color w:val="000000"/>
                <w:sz w:val="24"/>
                <w:szCs w:val="22"/>
              </w:rPr>
            </w:pPr>
            <w:r>
              <w:rPr>
                <w:color w:val="000000"/>
                <w:sz w:val="24"/>
              </w:rPr>
              <w:t>①给水：</w:t>
            </w:r>
            <w:r>
              <w:rPr>
                <w:rFonts w:hint="eastAsia"/>
                <w:color w:val="000000"/>
                <w:sz w:val="24"/>
              </w:rPr>
              <w:t>生活用水由自来水供水，养殖用水来自日东河。</w:t>
            </w:r>
          </w:p>
          <w:p>
            <w:pPr>
              <w:adjustRightInd w:val="0"/>
              <w:snapToGrid w:val="0"/>
              <w:spacing w:line="360" w:lineRule="auto"/>
              <w:ind w:firstLine="480" w:firstLineChars="200"/>
              <w:rPr>
                <w:bCs/>
                <w:color w:val="000000"/>
                <w:kern w:val="21"/>
                <w:sz w:val="24"/>
                <w:szCs w:val="22"/>
              </w:rPr>
            </w:pPr>
            <w:r>
              <w:rPr>
                <w:bCs/>
                <w:snapToGrid w:val="0"/>
                <w:color w:val="000000"/>
                <w:sz w:val="24"/>
                <w:szCs w:val="22"/>
              </w:rPr>
              <w:t>②</w:t>
            </w:r>
            <w:r>
              <w:rPr>
                <w:bCs/>
                <w:color w:val="000000"/>
                <w:kern w:val="21"/>
                <w:sz w:val="24"/>
                <w:szCs w:val="20"/>
              </w:rPr>
              <w:t>排水：</w:t>
            </w:r>
            <w:r>
              <w:rPr>
                <w:color w:val="000000"/>
                <w:sz w:val="24"/>
              </w:rPr>
              <w:t>生活污水经三格化粪池处理后，用于周边农田施肥；养殖废水经污水处理系统处理达标后外排至日东河</w:t>
            </w:r>
            <w:r>
              <w:rPr>
                <w:rFonts w:hint="eastAsia"/>
                <w:color w:val="000000"/>
                <w:sz w:val="24"/>
              </w:rPr>
              <w:t>。</w:t>
            </w:r>
          </w:p>
          <w:p>
            <w:pPr>
              <w:adjustRightInd w:val="0"/>
              <w:snapToGrid w:val="0"/>
              <w:spacing w:line="360" w:lineRule="auto"/>
              <w:ind w:firstLine="480" w:firstLineChars="200"/>
              <w:rPr>
                <w:color w:val="000000"/>
                <w:sz w:val="24"/>
                <w:szCs w:val="22"/>
              </w:rPr>
            </w:pPr>
            <w:r>
              <w:rPr>
                <w:rFonts w:hint="eastAsia"/>
                <w:color w:val="000000"/>
                <w:sz w:val="24"/>
                <w:szCs w:val="22"/>
              </w:rPr>
              <w:t>（2）</w:t>
            </w:r>
            <w:r>
              <w:rPr>
                <w:color w:val="000000"/>
                <w:sz w:val="24"/>
                <w:szCs w:val="22"/>
              </w:rPr>
              <w:t>供电</w:t>
            </w:r>
          </w:p>
          <w:p>
            <w:pPr>
              <w:adjustRightInd w:val="0"/>
              <w:snapToGrid w:val="0"/>
              <w:spacing w:line="360" w:lineRule="auto"/>
              <w:ind w:firstLine="480" w:firstLineChars="200"/>
              <w:rPr>
                <w:color w:val="000000"/>
                <w:sz w:val="24"/>
                <w:szCs w:val="21"/>
              </w:rPr>
            </w:pPr>
            <w:r>
              <w:rPr>
                <w:color w:val="000000"/>
                <w:sz w:val="24"/>
                <w:szCs w:val="21"/>
              </w:rPr>
              <w:t>本项目用电由市政电网接入</w:t>
            </w:r>
            <w:r>
              <w:rPr>
                <w:rFonts w:hint="eastAsia"/>
                <w:color w:val="000000"/>
                <w:sz w:val="24"/>
                <w:szCs w:val="21"/>
              </w:rPr>
              <w:t>。</w:t>
            </w:r>
          </w:p>
          <w:p>
            <w:pPr>
              <w:adjustRightInd w:val="0"/>
              <w:snapToGrid w:val="0"/>
              <w:spacing w:line="360" w:lineRule="auto"/>
              <w:ind w:firstLine="480" w:firstLineChars="200"/>
              <w:rPr>
                <w:color w:val="000000"/>
                <w:sz w:val="24"/>
              </w:rPr>
            </w:pPr>
            <w:r>
              <w:rPr>
                <w:rFonts w:hint="eastAsia"/>
                <w:color w:val="000000"/>
                <w:sz w:val="24"/>
              </w:rPr>
              <w:t>（3）</w:t>
            </w:r>
            <w:r>
              <w:rPr>
                <w:color w:val="000000"/>
                <w:sz w:val="24"/>
              </w:rPr>
              <w:t>施工进度安排</w:t>
            </w:r>
          </w:p>
          <w:p>
            <w:pPr>
              <w:adjustRightInd w:val="0"/>
              <w:snapToGrid w:val="0"/>
              <w:spacing w:line="360" w:lineRule="auto"/>
              <w:ind w:firstLine="480" w:firstLineChars="200"/>
              <w:rPr>
                <w:color w:val="000000"/>
                <w:sz w:val="24"/>
              </w:rPr>
            </w:pPr>
            <w:r>
              <w:rPr>
                <w:color w:val="000000"/>
                <w:sz w:val="24"/>
              </w:rPr>
              <w:t>预计202</w:t>
            </w:r>
            <w:r>
              <w:rPr>
                <w:rFonts w:hint="eastAsia"/>
                <w:color w:val="000000"/>
                <w:sz w:val="24"/>
              </w:rPr>
              <w:t>2</w:t>
            </w:r>
            <w:r>
              <w:rPr>
                <w:color w:val="000000"/>
                <w:sz w:val="24"/>
              </w:rPr>
              <w:t>年</w:t>
            </w:r>
            <w:r>
              <w:rPr>
                <w:rFonts w:hint="eastAsia"/>
                <w:color w:val="000000"/>
                <w:sz w:val="24"/>
              </w:rPr>
              <w:t>5</w:t>
            </w:r>
            <w:r>
              <w:rPr>
                <w:color w:val="000000"/>
                <w:sz w:val="24"/>
              </w:rPr>
              <w:t>月开始建设，建设工期约</w:t>
            </w:r>
            <w:r>
              <w:rPr>
                <w:rFonts w:hint="eastAsia"/>
                <w:color w:val="000000"/>
                <w:sz w:val="24"/>
              </w:rPr>
              <w:t>1个月</w:t>
            </w:r>
            <w:r>
              <w:rPr>
                <w:color w:val="000000"/>
                <w:sz w:val="24"/>
              </w:rPr>
              <w:t>，202</w:t>
            </w:r>
            <w:r>
              <w:rPr>
                <w:rFonts w:hint="eastAsia"/>
                <w:color w:val="000000"/>
                <w:sz w:val="24"/>
              </w:rPr>
              <w:t>2</w:t>
            </w:r>
            <w:r>
              <w:rPr>
                <w:color w:val="000000"/>
                <w:sz w:val="24"/>
              </w:rPr>
              <w:t>年</w:t>
            </w:r>
            <w:r>
              <w:rPr>
                <w:rFonts w:hint="eastAsia"/>
                <w:color w:val="000000"/>
                <w:sz w:val="24"/>
              </w:rPr>
              <w:t>6</w:t>
            </w:r>
            <w:r>
              <w:rPr>
                <w:color w:val="000000"/>
                <w:sz w:val="24"/>
              </w:rPr>
              <w:t>月投产运营。</w:t>
            </w:r>
          </w:p>
          <w:p>
            <w:pPr>
              <w:adjustRightInd w:val="0"/>
              <w:snapToGrid w:val="0"/>
              <w:spacing w:line="360" w:lineRule="auto"/>
              <w:ind w:firstLine="480" w:firstLineChars="200"/>
              <w:rPr>
                <w:color w:val="000000"/>
                <w:sz w:val="24"/>
              </w:rPr>
            </w:pPr>
            <w:r>
              <w:rPr>
                <w:rFonts w:hint="eastAsia"/>
                <w:color w:val="000000"/>
                <w:sz w:val="24"/>
              </w:rPr>
              <w:t>（4）</w:t>
            </w:r>
            <w:r>
              <w:rPr>
                <w:color w:val="000000"/>
                <w:sz w:val="24"/>
              </w:rPr>
              <w:t>劳动定员及工作制度</w:t>
            </w:r>
          </w:p>
          <w:p>
            <w:pPr>
              <w:adjustRightInd w:val="0"/>
              <w:snapToGrid w:val="0"/>
              <w:spacing w:line="360" w:lineRule="auto"/>
              <w:ind w:firstLine="480" w:firstLineChars="200"/>
              <w:rPr>
                <w:color w:val="000000"/>
                <w:sz w:val="24"/>
                <w:szCs w:val="22"/>
              </w:rPr>
            </w:pPr>
            <w:r>
              <w:rPr>
                <w:rFonts w:hint="eastAsia"/>
                <w:bCs/>
                <w:color w:val="000000"/>
                <w:sz w:val="24"/>
                <w:szCs w:val="20"/>
              </w:rPr>
              <w:t>项目劳动定员5</w:t>
            </w:r>
            <w:r>
              <w:rPr>
                <w:bCs/>
                <w:color w:val="000000"/>
                <w:sz w:val="24"/>
                <w:szCs w:val="20"/>
              </w:rPr>
              <w:t>人</w:t>
            </w:r>
            <w:r>
              <w:rPr>
                <w:rFonts w:hint="eastAsia"/>
                <w:bCs/>
                <w:color w:val="000000"/>
                <w:sz w:val="24"/>
                <w:szCs w:val="20"/>
              </w:rPr>
              <w:t>，员工均为附近当地居民，不在</w:t>
            </w:r>
            <w:r>
              <w:rPr>
                <w:bCs/>
                <w:color w:val="000000"/>
                <w:sz w:val="24"/>
                <w:szCs w:val="20"/>
              </w:rPr>
              <w:t>厂区内食宿。</w:t>
            </w:r>
            <w:r>
              <w:rPr>
                <w:rFonts w:hint="eastAsia"/>
                <w:bCs/>
                <w:color w:val="000000"/>
                <w:sz w:val="24"/>
                <w:szCs w:val="20"/>
              </w:rPr>
              <w:t>年工作290天，实行一班八小时制。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90" w:type="pct"/>
            <w:tcBorders>
              <w:tl2br w:val="nil"/>
              <w:tr2bl w:val="nil"/>
            </w:tcBorders>
            <w:vAlign w:val="center"/>
          </w:tcPr>
          <w:p>
            <w:pPr>
              <w:adjustRightInd w:val="0"/>
              <w:snapToGrid w:val="0"/>
              <w:jc w:val="center"/>
              <w:rPr>
                <w:kern w:val="0"/>
                <w:sz w:val="24"/>
                <w:u w:val="single"/>
              </w:rPr>
            </w:pPr>
            <w:r>
              <w:rPr>
                <w:kern w:val="0"/>
                <w:sz w:val="24"/>
              </w:rPr>
              <w:t>总平面及现场布置</w:t>
            </w:r>
          </w:p>
        </w:tc>
        <w:tc>
          <w:tcPr>
            <w:tcW w:w="4609" w:type="pct"/>
            <w:tcBorders>
              <w:tl2br w:val="nil"/>
              <w:tr2bl w:val="nil"/>
            </w:tcBorders>
          </w:tcPr>
          <w:p>
            <w:pPr>
              <w:adjustRightInd w:val="0"/>
              <w:snapToGrid w:val="0"/>
              <w:spacing w:line="360" w:lineRule="auto"/>
              <w:ind w:firstLine="480" w:firstLineChars="200"/>
              <w:rPr>
                <w:color w:val="000000"/>
                <w:sz w:val="24"/>
              </w:rPr>
            </w:pPr>
            <w:r>
              <w:rPr>
                <w:rFonts w:hint="eastAsia"/>
                <w:color w:val="000000"/>
                <w:sz w:val="24"/>
                <w:szCs w:val="22"/>
              </w:rPr>
              <w:t>建设单位与挂兰村村民委员会签订农村土地承包合同，租赁部分农田进行养殖，西侧为养殖区，东侧为水稻种植区，北侧为废水处理系统，东侧布设一个饲料仓库，机耕道及废水收集渠</w:t>
            </w:r>
            <w:r>
              <w:rPr>
                <w:rFonts w:hint="eastAsia"/>
                <w:color w:val="000000"/>
                <w:sz w:val="24"/>
              </w:rPr>
              <w:t>纵横分布于养殖区与稻田种植区内。项目建设远离敏感区域，尽量避免其对外环境的影响。</w:t>
            </w:r>
          </w:p>
          <w:p>
            <w:pPr>
              <w:adjustRightInd w:val="0"/>
              <w:snapToGrid w:val="0"/>
              <w:spacing w:line="360" w:lineRule="auto"/>
              <w:ind w:firstLine="480" w:firstLineChars="200"/>
              <w:rPr>
                <w:kern w:val="0"/>
                <w:sz w:val="24"/>
                <w:u w:val="single"/>
              </w:rPr>
            </w:pPr>
            <w:r>
              <w:rPr>
                <w:rFonts w:hint="eastAsia"/>
                <w:sz w:val="24"/>
              </w:rPr>
              <w:t>本项目养殖区面积约77333.3m</w:t>
            </w:r>
            <w:r>
              <w:rPr>
                <w:rFonts w:hint="eastAsia"/>
                <w:sz w:val="24"/>
                <w:vertAlign w:val="superscript"/>
              </w:rPr>
              <w:t>2</w:t>
            </w:r>
            <w:r>
              <w:rPr>
                <w:rFonts w:hint="eastAsia"/>
                <w:sz w:val="24"/>
              </w:rPr>
              <w:t>，沟坑面积约为720m</w:t>
            </w:r>
            <w:r>
              <w:rPr>
                <w:rFonts w:hint="eastAsia"/>
                <w:sz w:val="24"/>
                <w:vertAlign w:val="superscript"/>
              </w:rPr>
              <w:t>2</w:t>
            </w:r>
            <w:r>
              <w:rPr>
                <w:rFonts w:hint="eastAsia"/>
                <w:sz w:val="24"/>
              </w:rPr>
              <w:t>，占养殖区面积的0.93%，满足《稻渔综合种养技术规范通则标准》沟坑占比规定。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90" w:type="pct"/>
            <w:tcBorders>
              <w:tl2br w:val="nil"/>
              <w:tr2bl w:val="nil"/>
            </w:tcBorders>
            <w:vAlign w:val="center"/>
          </w:tcPr>
          <w:p>
            <w:pPr>
              <w:adjustRightInd w:val="0"/>
              <w:snapToGrid w:val="0"/>
              <w:jc w:val="center"/>
              <w:rPr>
                <w:kern w:val="0"/>
                <w:sz w:val="24"/>
                <w:highlight w:val="yellow"/>
              </w:rPr>
            </w:pPr>
            <w:r>
              <w:rPr>
                <w:kern w:val="0"/>
                <w:sz w:val="24"/>
              </w:rPr>
              <w:t>施工方案</w:t>
            </w:r>
          </w:p>
        </w:tc>
        <w:tc>
          <w:tcPr>
            <w:tcW w:w="4609" w:type="pct"/>
            <w:tcBorders>
              <w:tl2br w:val="nil"/>
              <w:tr2bl w:val="nil"/>
            </w:tcBorders>
          </w:tcPr>
          <w:p>
            <w:pPr>
              <w:spacing w:line="360" w:lineRule="auto"/>
              <w:ind w:firstLine="482" w:firstLineChars="200"/>
              <w:rPr>
                <w:b/>
                <w:bCs/>
                <w:snapToGrid w:val="0"/>
                <w:kern w:val="0"/>
                <w:sz w:val="24"/>
              </w:rPr>
            </w:pPr>
            <w:r>
              <w:rPr>
                <w:rFonts w:hint="eastAsia"/>
                <w:b/>
                <w:bCs/>
                <w:snapToGrid w:val="0"/>
                <w:kern w:val="0"/>
                <w:sz w:val="24"/>
              </w:rPr>
              <w:t>施工工艺：</w:t>
            </w:r>
          </w:p>
          <w:p>
            <w:pPr>
              <w:adjustRightInd w:val="0"/>
              <w:snapToGrid w:val="0"/>
              <w:spacing w:line="360" w:lineRule="auto"/>
              <w:ind w:firstLine="480" w:firstLineChars="200"/>
              <w:rPr>
                <w:b/>
                <w:snapToGrid w:val="0"/>
                <w:color w:val="000000"/>
                <w:spacing w:val="16"/>
                <w:kern w:val="0"/>
                <w:szCs w:val="21"/>
              </w:rPr>
            </w:pPr>
            <w:r>
              <w:rPr>
                <w:color w:val="000000"/>
                <w:sz w:val="24"/>
                <w:szCs w:val="22"/>
              </w:rPr>
              <w:t>本项目为</w:t>
            </w:r>
            <w:r>
              <w:rPr>
                <w:rFonts w:hint="eastAsia"/>
                <w:color w:val="000000"/>
                <w:sz w:val="24"/>
                <w:szCs w:val="22"/>
              </w:rPr>
              <w:t>新建</w:t>
            </w:r>
            <w:r>
              <w:rPr>
                <w:color w:val="000000"/>
                <w:sz w:val="24"/>
                <w:szCs w:val="22"/>
              </w:rPr>
              <w:t>项目，需</w:t>
            </w:r>
            <w:r>
              <w:rPr>
                <w:rFonts w:hint="eastAsia"/>
                <w:color w:val="000000"/>
                <w:sz w:val="24"/>
                <w:szCs w:val="22"/>
              </w:rPr>
              <w:t>新建蛙池、机耕道、仓库以及食台，其中田埂夯实加固，不渗漏水，高出稻田平面0.4m~0.5m，底部宽不少于0.8m，顶部宽不少于0.4m，食台建设位于养殖区内田埂的右侧，共建设三处喂食平台。</w:t>
            </w:r>
            <w:r>
              <w:rPr>
                <w:color w:val="000000"/>
                <w:sz w:val="24"/>
                <w:szCs w:val="22"/>
              </w:rPr>
              <w:t>主要污染工序为：构筑物建设过程中产生的废气、噪声、废水、固废等。施工工艺具体详见图2-1</w:t>
            </w:r>
            <w:r>
              <w:rPr>
                <w:rFonts w:hint="eastAsia"/>
                <w:color w:val="000000"/>
                <w:sz w:val="24"/>
                <w:szCs w:val="22"/>
              </w:rPr>
              <w:t>。</w:t>
            </w:r>
          </w:p>
          <w:p>
            <w:pPr>
              <w:adjustRightInd w:val="0"/>
              <w:snapToGrid w:val="0"/>
              <w:spacing w:line="360" w:lineRule="auto"/>
              <w:jc w:val="center"/>
              <w:rPr>
                <w:b/>
                <w:snapToGrid w:val="0"/>
                <w:color w:val="000000"/>
                <w:spacing w:val="16"/>
                <w:kern w:val="0"/>
                <w:szCs w:val="21"/>
              </w:rPr>
            </w:pPr>
            <w:r>
              <w:rPr>
                <w:b/>
                <w:snapToGrid w:val="0"/>
                <w:color w:val="000000"/>
                <w:spacing w:val="16"/>
                <w:kern w:val="0"/>
                <w:szCs w:val="21"/>
              </w:rPr>
              <w:object>
                <v:shape id="_x0000_i1025" o:spt="75" type="#_x0000_t75" style="height:148.1pt;width:381.75pt;" o:ole="t" filled="f" o:preferrelative="t" stroked="f" coordsize="21600,21600">
                  <v:path/>
                  <v:fill on="f" focussize="0,0"/>
                  <v:stroke on="f" joinstyle="miter"/>
                  <v:imagedata r:id="rId9" o:title=""/>
                  <o:lock v:ext="edit" aspectratio="f"/>
                  <w10:wrap type="none"/>
                  <w10:anchorlock/>
                </v:shape>
                <o:OLEObject Type="Embed" ProgID="Visio.Drawing.11" ShapeID="_x0000_i1025" DrawAspect="Content" ObjectID="_1468075725" r:id="rId8">
                  <o:LockedField>false</o:LockedField>
                </o:OLEObject>
              </w:object>
            </w:r>
          </w:p>
          <w:p>
            <w:pPr>
              <w:spacing w:line="360" w:lineRule="auto"/>
              <w:jc w:val="center"/>
              <w:rPr>
                <w:snapToGrid w:val="0"/>
                <w:kern w:val="0"/>
                <w:sz w:val="24"/>
              </w:rPr>
            </w:pPr>
            <w:r>
              <w:rPr>
                <w:b/>
                <w:bCs/>
                <w:color w:val="000000"/>
                <w:szCs w:val="21"/>
              </w:rPr>
              <w:t>图2-1</w:t>
            </w:r>
            <w:r>
              <w:rPr>
                <w:rFonts w:hint="eastAsia"/>
                <w:b/>
                <w:bCs/>
                <w:color w:val="000000"/>
                <w:szCs w:val="21"/>
              </w:rPr>
              <w:t xml:space="preserve"> </w:t>
            </w:r>
            <w:r>
              <w:rPr>
                <w:b/>
                <w:bCs/>
                <w:color w:val="000000"/>
                <w:szCs w:val="21"/>
              </w:rPr>
              <w:t>施工期工艺流程及产污工序图</w:t>
            </w:r>
          </w:p>
          <w:p>
            <w:pPr>
              <w:spacing w:line="360" w:lineRule="auto"/>
              <w:ind w:firstLine="482" w:firstLineChars="200"/>
              <w:rPr>
                <w:b/>
                <w:bCs/>
                <w:snapToGrid w:val="0"/>
                <w:kern w:val="0"/>
                <w:sz w:val="24"/>
              </w:rPr>
            </w:pPr>
            <w:r>
              <w:rPr>
                <w:rFonts w:hint="eastAsia"/>
                <w:b/>
                <w:bCs/>
                <w:snapToGrid w:val="0"/>
                <w:kern w:val="0"/>
                <w:sz w:val="24"/>
              </w:rPr>
              <w:t>施工时序：</w:t>
            </w:r>
          </w:p>
          <w:p>
            <w:pPr>
              <w:spacing w:line="360" w:lineRule="auto"/>
              <w:ind w:firstLine="480" w:firstLineChars="200"/>
              <w:rPr>
                <w:snapToGrid w:val="0"/>
                <w:kern w:val="0"/>
                <w:sz w:val="24"/>
              </w:rPr>
            </w:pPr>
            <w:r>
              <w:rPr>
                <w:rFonts w:hint="eastAsia"/>
                <w:snapToGrid w:val="0"/>
                <w:kern w:val="0"/>
                <w:sz w:val="24"/>
              </w:rPr>
              <w:t>项目预计2022年5月进入施工建设阶段，2022年6月总体工程投入试运营。</w:t>
            </w:r>
          </w:p>
          <w:p>
            <w:pPr>
              <w:spacing w:line="360" w:lineRule="auto"/>
              <w:ind w:firstLine="482" w:firstLineChars="200"/>
              <w:rPr>
                <w:b/>
                <w:bCs/>
                <w:snapToGrid w:val="0"/>
                <w:kern w:val="0"/>
                <w:sz w:val="24"/>
              </w:rPr>
            </w:pPr>
            <w:r>
              <w:rPr>
                <w:rFonts w:hint="eastAsia"/>
                <w:b/>
                <w:bCs/>
                <w:snapToGrid w:val="0"/>
                <w:kern w:val="0"/>
                <w:sz w:val="24"/>
              </w:rPr>
              <w:t>建设周期：</w:t>
            </w:r>
          </w:p>
          <w:p>
            <w:pPr>
              <w:spacing w:line="360" w:lineRule="auto"/>
              <w:ind w:firstLine="480" w:firstLineChars="200"/>
              <w:rPr>
                <w:snapToGrid w:val="0"/>
                <w:kern w:val="0"/>
                <w:sz w:val="24"/>
              </w:rPr>
            </w:pPr>
            <w:r>
              <w:rPr>
                <w:rFonts w:hint="eastAsia"/>
                <w:snapToGrid w:val="0"/>
                <w:kern w:val="0"/>
                <w:sz w:val="24"/>
              </w:rPr>
              <w:t>2022年5月——2022年6月，建设周期约1个月。</w:t>
            </w:r>
          </w:p>
          <w:p>
            <w:pPr>
              <w:spacing w:line="360" w:lineRule="auto"/>
              <w:ind w:firstLine="482" w:firstLineChars="200"/>
              <w:rPr>
                <w:b/>
                <w:bCs/>
                <w:snapToGrid w:val="0"/>
                <w:kern w:val="0"/>
                <w:sz w:val="24"/>
              </w:rPr>
            </w:pPr>
            <w:r>
              <w:rPr>
                <w:rFonts w:hint="eastAsia"/>
                <w:b/>
                <w:bCs/>
                <w:snapToGrid w:val="0"/>
                <w:kern w:val="0"/>
                <w:sz w:val="24"/>
              </w:rPr>
              <w:t>工艺流程：</w:t>
            </w:r>
          </w:p>
          <w:p>
            <w:pPr>
              <w:pStyle w:val="13"/>
              <w:numPr>
                <w:ilvl w:val="0"/>
                <w:numId w:val="0"/>
              </w:numPr>
              <w:jc w:val="center"/>
              <w:rPr>
                <w:b/>
                <w:bCs/>
                <w:color w:val="000000"/>
                <w:szCs w:val="21"/>
              </w:rPr>
            </w:pPr>
            <w:r>
              <w:rPr>
                <w:b/>
                <w:bCs/>
                <w:color w:val="000000"/>
                <w:szCs w:val="21"/>
              </w:rPr>
              <w:drawing>
                <wp:inline distT="0" distB="0" distL="114300" distR="114300">
                  <wp:extent cx="5204460" cy="1700530"/>
                  <wp:effectExtent l="0" t="0" r="0" b="0"/>
                  <wp:docPr id="2" name="ECB019B1-382A-4266-B25C-5B523AA43C14-1" descr="C:/Users/hp/AppData/Local/Temp/wps.jBdvZHw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CB019B1-382A-4266-B25C-5B523AA43C14-1" descr="C:/Users/hp/AppData/Local/Temp/wps.jBdvZHwps"/>
                          <pic:cNvPicPr>
                            <a:picLocks noChangeAspect="1"/>
                          </pic:cNvPicPr>
                        </pic:nvPicPr>
                        <pic:blipFill>
                          <a:blip r:embed="rId10"/>
                          <a:srcRect l="4395" t="10232" r="4348" b="8207"/>
                          <a:stretch>
                            <a:fillRect/>
                          </a:stretch>
                        </pic:blipFill>
                        <pic:spPr>
                          <a:xfrm>
                            <a:off x="0" y="0"/>
                            <a:ext cx="5204460" cy="1700530"/>
                          </a:xfrm>
                          <a:prstGeom prst="rect">
                            <a:avLst/>
                          </a:prstGeom>
                        </pic:spPr>
                      </pic:pic>
                    </a:graphicData>
                  </a:graphic>
                </wp:inline>
              </w:drawing>
            </w:r>
          </w:p>
          <w:p>
            <w:pPr>
              <w:pStyle w:val="13"/>
              <w:numPr>
                <w:ilvl w:val="0"/>
                <w:numId w:val="0"/>
              </w:numPr>
              <w:jc w:val="center"/>
              <w:rPr>
                <w:b/>
                <w:bCs/>
                <w:color w:val="FF0000"/>
                <w:sz w:val="24"/>
              </w:rPr>
            </w:pPr>
            <w:r>
              <w:rPr>
                <w:b/>
                <w:bCs/>
                <w:color w:val="FF0000"/>
                <w:szCs w:val="21"/>
              </w:rPr>
              <w:t>图2-</w:t>
            </w:r>
            <w:r>
              <w:rPr>
                <w:rFonts w:hint="eastAsia"/>
                <w:b/>
                <w:bCs/>
                <w:color w:val="FF0000"/>
                <w:szCs w:val="21"/>
              </w:rPr>
              <w:t xml:space="preserve">3 </w:t>
            </w:r>
            <w:r>
              <w:rPr>
                <w:b/>
                <w:bCs/>
                <w:color w:val="FF0000"/>
                <w:szCs w:val="21"/>
              </w:rPr>
              <w:t>工艺流程及产污环节图</w:t>
            </w:r>
          </w:p>
          <w:p>
            <w:pPr>
              <w:adjustRightInd w:val="0"/>
              <w:snapToGrid w:val="0"/>
              <w:spacing w:line="360" w:lineRule="auto"/>
              <w:ind w:firstLine="482" w:firstLineChars="200"/>
              <w:rPr>
                <w:b/>
                <w:bCs/>
                <w:sz w:val="24"/>
              </w:rPr>
            </w:pPr>
            <w:r>
              <w:rPr>
                <w:b/>
                <w:bCs/>
                <w:sz w:val="24"/>
              </w:rPr>
              <w:t>养殖技术流程说明：</w:t>
            </w:r>
          </w:p>
          <w:p>
            <w:pPr>
              <w:adjustRightInd w:val="0"/>
              <w:snapToGrid w:val="0"/>
              <w:spacing w:line="360" w:lineRule="auto"/>
              <w:ind w:firstLine="480" w:firstLineChars="200"/>
              <w:rPr>
                <w:sz w:val="24"/>
              </w:rPr>
            </w:pPr>
            <w:r>
              <w:rPr>
                <w:sz w:val="24"/>
              </w:rPr>
              <w:fldChar w:fldCharType="begin"/>
            </w:r>
            <w:r>
              <w:rPr>
                <w:sz w:val="24"/>
              </w:rPr>
              <w:instrText xml:space="preserve"> = 1 \* GB3 \* MERGEFORMAT </w:instrText>
            </w:r>
            <w:r>
              <w:rPr>
                <w:sz w:val="24"/>
              </w:rPr>
              <w:fldChar w:fldCharType="separate"/>
            </w:r>
            <w:r>
              <w:rPr>
                <w:sz w:val="24"/>
              </w:rPr>
              <w:t>①</w:t>
            </w:r>
            <w:r>
              <w:rPr>
                <w:sz w:val="24"/>
              </w:rPr>
              <w:fldChar w:fldCharType="end"/>
            </w:r>
            <w:r>
              <w:rPr>
                <w:sz w:val="24"/>
              </w:rPr>
              <w:t>幼苗放养：放苗前，干池每亩用生石灰50～75kg进行消毒，一般清池消毒10天即可放苗。</w:t>
            </w:r>
            <w:r>
              <w:rPr>
                <w:rFonts w:hint="eastAsia"/>
                <w:sz w:val="24"/>
              </w:rPr>
              <w:t>根据《稻蛙综合种养技术规程》（DB43/T 1821-2020）中内容“应发挥稻渔互惠互促效应，科学设定水稻种植密度与水产养殖动物放养密度的配比，保持稻田土壤肥力的稳定性。”，本项目放养密度为每平方米8~10只，对于牛蛙按照实际情况科学确定养殖密度，牛蛙养殖度确定为小于等于1.4吨/亩</w:t>
            </w:r>
            <w:r>
              <w:rPr>
                <w:sz w:val="24"/>
              </w:rPr>
              <w:t>。</w:t>
            </w:r>
            <w:r>
              <w:rPr>
                <w:rFonts w:hint="eastAsia"/>
                <w:sz w:val="24"/>
              </w:rPr>
              <w:t>养殖期间保持</w:t>
            </w:r>
            <w:r>
              <w:rPr>
                <w:sz w:val="24"/>
              </w:rPr>
              <w:t>水流</w:t>
            </w:r>
            <w:r>
              <w:rPr>
                <w:rFonts w:hint="eastAsia"/>
                <w:sz w:val="24"/>
              </w:rPr>
              <w:t>微流动</w:t>
            </w:r>
            <w:r>
              <w:rPr>
                <w:sz w:val="24"/>
              </w:rPr>
              <w:t>，每天</w:t>
            </w:r>
            <w:r>
              <w:rPr>
                <w:rFonts w:hint="eastAsia"/>
                <w:sz w:val="24"/>
              </w:rPr>
              <w:t>沟坑中的水</w:t>
            </w:r>
            <w:r>
              <w:rPr>
                <w:sz w:val="24"/>
              </w:rPr>
              <w:t>平均达到20~30%的换水率</w:t>
            </w:r>
            <w:r>
              <w:rPr>
                <w:rFonts w:hint="eastAsia"/>
                <w:sz w:val="24"/>
              </w:rPr>
              <w:t>，养殖区拟做防渗处理。</w:t>
            </w:r>
          </w:p>
          <w:p>
            <w:pPr>
              <w:adjustRightInd w:val="0"/>
              <w:snapToGrid w:val="0"/>
              <w:spacing w:line="360" w:lineRule="auto"/>
              <w:ind w:firstLine="480" w:firstLineChars="200"/>
              <w:rPr>
                <w:sz w:val="24"/>
              </w:rPr>
            </w:pPr>
            <w:r>
              <w:rPr>
                <w:sz w:val="24"/>
              </w:rPr>
              <w:fldChar w:fldCharType="begin"/>
            </w:r>
            <w:r>
              <w:rPr>
                <w:sz w:val="24"/>
              </w:rPr>
              <w:instrText xml:space="preserve"> = 2 \* GB3 \* MERGEFORMAT </w:instrText>
            </w:r>
            <w:r>
              <w:rPr>
                <w:sz w:val="24"/>
              </w:rPr>
              <w:fldChar w:fldCharType="separate"/>
            </w:r>
            <w:r>
              <w:rPr>
                <w:sz w:val="24"/>
              </w:rPr>
              <w:t>②</w:t>
            </w:r>
            <w:r>
              <w:rPr>
                <w:sz w:val="24"/>
              </w:rPr>
              <w:fldChar w:fldCharType="end"/>
            </w:r>
            <w:r>
              <w:rPr>
                <w:sz w:val="24"/>
              </w:rPr>
              <w:t>巡池查看：每天早、中晚各巡池一次，检查筛绢网是否出现破洞，如果有破损必须马上修复，防止</w:t>
            </w:r>
            <w:r>
              <w:rPr>
                <w:rFonts w:hint="eastAsia"/>
                <w:sz w:val="24"/>
              </w:rPr>
              <w:t>蛙</w:t>
            </w:r>
            <w:r>
              <w:rPr>
                <w:sz w:val="24"/>
              </w:rPr>
              <w:t>外逃，保证</w:t>
            </w:r>
            <w:r>
              <w:rPr>
                <w:rFonts w:eastAsia="Calibri"/>
                <w:sz w:val="24"/>
              </w:rPr>
              <w:t>24</w:t>
            </w:r>
            <w:r>
              <w:rPr>
                <w:sz w:val="24"/>
              </w:rPr>
              <w:t>小时不间断地流水，每天平均达到</w:t>
            </w:r>
            <w:r>
              <w:rPr>
                <w:rFonts w:hint="eastAsia"/>
                <w:sz w:val="24"/>
              </w:rPr>
              <w:t>20~30%</w:t>
            </w:r>
            <w:r>
              <w:rPr>
                <w:sz w:val="24"/>
              </w:rPr>
              <w:t>的换水率。溢水口处</w:t>
            </w:r>
            <w:r>
              <w:rPr>
                <w:rFonts w:hint="eastAsia"/>
                <w:sz w:val="24"/>
              </w:rPr>
              <w:t>采</w:t>
            </w:r>
            <w:r>
              <w:rPr>
                <w:sz w:val="24"/>
              </w:rPr>
              <w:t>用塑料插管的升降来控制水位的高低</w:t>
            </w:r>
            <w:r>
              <w:rPr>
                <w:rFonts w:hint="eastAsia"/>
                <w:sz w:val="24"/>
              </w:rPr>
              <w:t>，进排水口管道直径为大口径尺寸，设计成梯度式出水口，方便排污，可保持良好的水质促进蛙生长。</w:t>
            </w:r>
            <w:r>
              <w:rPr>
                <w:sz w:val="24"/>
              </w:rPr>
              <w:t>一般</w:t>
            </w:r>
            <w:r>
              <w:rPr>
                <w:rFonts w:hint="eastAsia"/>
                <w:sz w:val="24"/>
              </w:rPr>
              <w:t>沟坑</w:t>
            </w:r>
            <w:r>
              <w:rPr>
                <w:sz w:val="24"/>
              </w:rPr>
              <w:t>水深保持在</w:t>
            </w:r>
            <w:r>
              <w:rPr>
                <w:rFonts w:hint="eastAsia"/>
                <w:sz w:val="24"/>
              </w:rPr>
              <w:t>4</w:t>
            </w:r>
            <w:r>
              <w:rPr>
                <w:rFonts w:eastAsia="Calibri"/>
                <w:sz w:val="24"/>
              </w:rPr>
              <w:t>0</w:t>
            </w:r>
            <w:r>
              <w:rPr>
                <w:sz w:val="24"/>
              </w:rPr>
              <w:t>厘米，且保持水质清新。还应注意观察，若蛙摄食与活动情况有异常现象，应及时采取相应的治疗措施。</w:t>
            </w:r>
          </w:p>
          <w:p>
            <w:pPr>
              <w:adjustRightInd w:val="0"/>
              <w:snapToGrid w:val="0"/>
              <w:spacing w:line="360" w:lineRule="auto"/>
              <w:ind w:firstLine="480" w:firstLineChars="200"/>
              <w:rPr>
                <w:sz w:val="24"/>
              </w:rPr>
            </w:pPr>
            <w:r>
              <w:rPr>
                <w:sz w:val="24"/>
              </w:rPr>
              <w:fldChar w:fldCharType="begin"/>
            </w:r>
            <w:r>
              <w:rPr>
                <w:sz w:val="24"/>
              </w:rPr>
              <w:instrText xml:space="preserve"> = 3 \* GB3 \* MERGEFORMAT </w:instrText>
            </w:r>
            <w:r>
              <w:rPr>
                <w:sz w:val="24"/>
              </w:rPr>
              <w:fldChar w:fldCharType="separate"/>
            </w:r>
            <w:r>
              <w:rPr>
                <w:sz w:val="24"/>
              </w:rPr>
              <w:t>③</w:t>
            </w:r>
            <w:r>
              <w:rPr>
                <w:sz w:val="24"/>
              </w:rPr>
              <w:fldChar w:fldCharType="end"/>
            </w:r>
            <w:r>
              <w:rPr>
                <w:sz w:val="24"/>
              </w:rPr>
              <w:t>饲料投喂：主要以成品蛙饲料为主，饵料的投喂应做到</w:t>
            </w:r>
            <w:r>
              <w:rPr>
                <w:rFonts w:eastAsia="Calibri"/>
                <w:sz w:val="24"/>
              </w:rPr>
              <w:t>“</w:t>
            </w:r>
            <w:r>
              <w:rPr>
                <w:sz w:val="24"/>
              </w:rPr>
              <w:t>四定</w:t>
            </w:r>
            <w:r>
              <w:rPr>
                <w:rFonts w:eastAsia="Calibri"/>
                <w:sz w:val="24"/>
              </w:rPr>
              <w:t>”</w:t>
            </w:r>
            <w:r>
              <w:rPr>
                <w:sz w:val="24"/>
              </w:rPr>
              <w:t>，即定点、定时、定量、定质。日投饵量保持在蛙体重的</w:t>
            </w:r>
            <w:r>
              <w:rPr>
                <w:rFonts w:hint="eastAsia"/>
                <w:sz w:val="24"/>
              </w:rPr>
              <w:t>5%</w:t>
            </w:r>
            <w:r>
              <w:rPr>
                <w:sz w:val="24"/>
              </w:rPr>
              <w:t>，投饵量除按蛙体重计算外，还应根据气候、水质及残饵等情况酌量调整，做到少量多次，投喂量以半小时内吃完为宜。</w:t>
            </w:r>
          </w:p>
          <w:p>
            <w:pPr>
              <w:adjustRightInd w:val="0"/>
              <w:snapToGrid w:val="0"/>
              <w:spacing w:line="360" w:lineRule="auto"/>
              <w:ind w:firstLine="480" w:firstLineChars="200"/>
              <w:rPr>
                <w:sz w:val="24"/>
              </w:rPr>
            </w:pPr>
            <w:r>
              <w:rPr>
                <w:sz w:val="24"/>
              </w:rPr>
              <w:fldChar w:fldCharType="begin"/>
            </w:r>
            <w:r>
              <w:rPr>
                <w:sz w:val="24"/>
              </w:rPr>
              <w:instrText xml:space="preserve"> = 4 \* GB3 \* MERGEFORMAT </w:instrText>
            </w:r>
            <w:r>
              <w:rPr>
                <w:sz w:val="24"/>
              </w:rPr>
              <w:fldChar w:fldCharType="separate"/>
            </w:r>
            <w:r>
              <w:rPr>
                <w:sz w:val="24"/>
              </w:rPr>
              <w:t>④</w:t>
            </w:r>
            <w:r>
              <w:rPr>
                <w:sz w:val="24"/>
              </w:rPr>
              <w:fldChar w:fldCharType="end"/>
            </w:r>
            <w:r>
              <w:rPr>
                <w:sz w:val="24"/>
              </w:rPr>
              <w:t>疾病防治：在蛙养殖过程中要做到</w:t>
            </w:r>
            <w:r>
              <w:rPr>
                <w:rFonts w:eastAsia="Calibri"/>
                <w:sz w:val="24"/>
              </w:rPr>
              <w:t>“</w:t>
            </w:r>
            <w:r>
              <w:rPr>
                <w:sz w:val="24"/>
              </w:rPr>
              <w:t>以防为主，防治结合</w:t>
            </w:r>
            <w:r>
              <w:rPr>
                <w:rFonts w:eastAsia="Calibri"/>
                <w:sz w:val="24"/>
              </w:rPr>
              <w:t>”</w:t>
            </w:r>
            <w:r>
              <w:rPr>
                <w:sz w:val="24"/>
              </w:rPr>
              <w:t>。放养前进行清塘消毒，用贝壳粉进行消毒，杀灭敌害生物和病原体。发现病蛙、</w:t>
            </w:r>
            <w:r>
              <w:rPr>
                <w:rFonts w:hint="eastAsia"/>
                <w:sz w:val="24"/>
              </w:rPr>
              <w:t>病死蛙</w:t>
            </w:r>
            <w:r>
              <w:rPr>
                <w:sz w:val="24"/>
              </w:rPr>
              <w:t>及时找出隔离，除此之外，还要定时对工具进行消毒，且控制合理的养殖密度。当养至成蛙时，如出现个别歪头和红腿现象，应及时把歪头的蛙挑出隔离开。产生的</w:t>
            </w:r>
            <w:r>
              <w:rPr>
                <w:rFonts w:hint="eastAsia"/>
                <w:sz w:val="24"/>
              </w:rPr>
              <w:t>病死蛙少量用于喂鱼，剩余部分</w:t>
            </w:r>
            <w:r>
              <w:rPr>
                <w:sz w:val="24"/>
              </w:rPr>
              <w:t>进行安全填埋。最后将合格的成蛙出售。</w:t>
            </w:r>
          </w:p>
          <w:p>
            <w:pPr>
              <w:adjustRightInd w:val="0"/>
              <w:snapToGrid w:val="0"/>
              <w:spacing w:line="360" w:lineRule="auto"/>
              <w:ind w:firstLine="480" w:firstLineChars="200"/>
              <w:rPr>
                <w:sz w:val="24"/>
              </w:rPr>
            </w:pPr>
            <w:r>
              <w:rPr>
                <w:sz w:val="24"/>
              </w:rPr>
              <w:fldChar w:fldCharType="begin"/>
            </w:r>
            <w:r>
              <w:rPr>
                <w:sz w:val="24"/>
              </w:rPr>
              <w:instrText xml:space="preserve"> = 6 \* GB3 \* MERGEFORMAT </w:instrText>
            </w:r>
            <w:r>
              <w:rPr>
                <w:sz w:val="24"/>
              </w:rPr>
              <w:fldChar w:fldCharType="separate"/>
            </w:r>
            <w:r>
              <w:rPr>
                <w:sz w:val="24"/>
              </w:rPr>
              <w:t>⑥</w:t>
            </w:r>
            <w:r>
              <w:rPr>
                <w:sz w:val="24"/>
              </w:rPr>
              <w:fldChar w:fldCharType="end"/>
            </w:r>
            <w:r>
              <w:rPr>
                <w:sz w:val="24"/>
              </w:rPr>
              <w:t>蛙的出栏周期共约</w:t>
            </w:r>
            <w:r>
              <w:rPr>
                <w:rFonts w:hint="eastAsia"/>
                <w:sz w:val="24"/>
              </w:rPr>
              <w:t>250</w:t>
            </w:r>
            <w:r>
              <w:rPr>
                <w:sz w:val="24"/>
              </w:rPr>
              <w:t>天，其中从蝌蚪幼苗进入变态期小蛙为期</w:t>
            </w:r>
            <w:r>
              <w:rPr>
                <w:rFonts w:eastAsia="Calibri"/>
                <w:sz w:val="24"/>
              </w:rPr>
              <w:t>130</w:t>
            </w:r>
            <w:r>
              <w:rPr>
                <w:sz w:val="24"/>
              </w:rPr>
              <w:t>天左右，从小蛙至成品蛙为期约</w:t>
            </w:r>
            <w:r>
              <w:rPr>
                <w:rFonts w:eastAsia="Calibri"/>
                <w:sz w:val="24"/>
              </w:rPr>
              <w:t>1</w:t>
            </w:r>
            <w:r>
              <w:rPr>
                <w:rFonts w:hint="eastAsia"/>
                <w:sz w:val="24"/>
              </w:rPr>
              <w:t>20</w:t>
            </w:r>
            <w:r>
              <w:rPr>
                <w:sz w:val="24"/>
              </w:rPr>
              <w:t>天。</w:t>
            </w:r>
          </w:p>
          <w:p>
            <w:pPr>
              <w:adjustRightInd w:val="0"/>
              <w:snapToGrid w:val="0"/>
              <w:spacing w:line="360" w:lineRule="auto"/>
              <w:ind w:firstLine="480" w:firstLineChars="200"/>
              <w:rPr>
                <w:sz w:val="24"/>
              </w:rPr>
            </w:pPr>
            <w:r>
              <w:rPr>
                <w:sz w:val="24"/>
              </w:rPr>
              <w:t>蛙生长期无大差异，主要分为：每年11月至次年3月份为蝌蚪期（分幼期60天，中苗期30~40天，大苗期30天）</w:t>
            </w:r>
            <w:r>
              <w:rPr>
                <w:rFonts w:hint="eastAsia"/>
                <w:sz w:val="24"/>
              </w:rPr>
              <w:t>，在蝌蚪期时基本无污染</w:t>
            </w:r>
            <w:r>
              <w:rPr>
                <w:sz w:val="24"/>
              </w:rPr>
              <w:t>。每年4~7月份为蛙成长期（幼蛙期30天，中蛙期</w:t>
            </w:r>
            <w:r>
              <w:rPr>
                <w:rFonts w:hint="eastAsia"/>
                <w:sz w:val="24"/>
              </w:rPr>
              <w:t>4</w:t>
            </w:r>
            <w:r>
              <w:rPr>
                <w:sz w:val="24"/>
              </w:rPr>
              <w:t>0天，大蛙期30-</w:t>
            </w:r>
            <w:r>
              <w:rPr>
                <w:rFonts w:hint="eastAsia"/>
                <w:sz w:val="24"/>
              </w:rPr>
              <w:t>5</w:t>
            </w:r>
            <w:r>
              <w:rPr>
                <w:sz w:val="24"/>
              </w:rPr>
              <w:t>0天），蛙出售完毕后每年的8~10月份则蛙池处于空置状态</w:t>
            </w:r>
            <w:r>
              <w:rPr>
                <w:rFonts w:hint="eastAsia"/>
                <w:sz w:val="24"/>
              </w:rPr>
              <w:t>，为来年的养殖做准备，因此稻蛙实际养殖时间为3个月</w:t>
            </w:r>
            <w:r>
              <w:rPr>
                <w:sz w:val="24"/>
              </w:rPr>
              <w:t>。</w:t>
            </w:r>
          </w:p>
          <w:p>
            <w:pPr>
              <w:spacing w:line="360" w:lineRule="auto"/>
              <w:ind w:firstLine="480" w:firstLineChars="200"/>
              <w:rPr>
                <w:kern w:val="0"/>
                <w:sz w:val="24"/>
                <w:highlight w:val="yellow"/>
              </w:rPr>
            </w:pPr>
            <w:r>
              <w:rPr>
                <w:rFonts w:hint="eastAsia"/>
                <w:sz w:val="24"/>
              </w:rPr>
              <w:t>在蛙成长时期，企业同时种植水稻，水稻生长周期为每年3月~7月，各养殖区域使用筛绢网进行分隔，相邻养殖区沟坑中的水流为流通状态，保持水流微流动，产生的废水进入污水处理设备处理达到《水产养殖尾水污染物排放标准》（DB43/1752-2020）表1中的一级标准、《淡水池塘养殖水排放要求》（SC/T9101-2007）表1中的二级标准后外排至日东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81" w:hRule="atLeast"/>
          <w:jc w:val="center"/>
        </w:trPr>
        <w:tc>
          <w:tcPr>
            <w:tcW w:w="390" w:type="pct"/>
            <w:tcBorders>
              <w:tl2br w:val="nil"/>
              <w:tr2bl w:val="nil"/>
            </w:tcBorders>
            <w:vAlign w:val="center"/>
          </w:tcPr>
          <w:p>
            <w:pPr>
              <w:adjustRightInd w:val="0"/>
              <w:snapToGrid w:val="0"/>
              <w:jc w:val="center"/>
              <w:rPr>
                <w:kern w:val="0"/>
                <w:sz w:val="24"/>
              </w:rPr>
            </w:pPr>
            <w:r>
              <w:rPr>
                <w:kern w:val="0"/>
                <w:sz w:val="24"/>
              </w:rPr>
              <w:t>其他</w:t>
            </w:r>
          </w:p>
        </w:tc>
        <w:tc>
          <w:tcPr>
            <w:tcW w:w="4609" w:type="pct"/>
            <w:tcBorders>
              <w:tl2br w:val="nil"/>
              <w:tr2bl w:val="nil"/>
            </w:tcBorders>
            <w:vAlign w:val="center"/>
          </w:tcPr>
          <w:p>
            <w:pPr>
              <w:adjustRightInd w:val="0"/>
              <w:snapToGrid w:val="0"/>
              <w:jc w:val="center"/>
              <w:rPr>
                <w:kern w:val="0"/>
                <w:sz w:val="24"/>
              </w:rPr>
            </w:pPr>
            <w:r>
              <w:rPr>
                <w:rFonts w:hint="eastAsia"/>
                <w:kern w:val="0"/>
                <w:sz w:val="24"/>
              </w:rPr>
              <w:t>无</w:t>
            </w:r>
          </w:p>
        </w:tc>
      </w:tr>
    </w:tbl>
    <w:p>
      <w:pPr>
        <w:pStyle w:val="22"/>
        <w:adjustRightInd w:val="0"/>
        <w:snapToGrid w:val="0"/>
        <w:spacing w:before="0" w:beforeAutospacing="0" w:after="0" w:afterAutospacing="0"/>
        <w:jc w:val="center"/>
        <w:outlineLvl w:val="0"/>
        <w:rPr>
          <w:rFonts w:ascii="Times New Roman" w:hAnsi="Times New Roman"/>
          <w:snapToGrid w:val="0"/>
          <w:sz w:val="30"/>
          <w:szCs w:val="30"/>
        </w:rPr>
      </w:pPr>
      <w:r>
        <w:rPr>
          <w:rFonts w:ascii="Times New Roman" w:hAnsi="Times New Roman"/>
          <w:b/>
          <w:bCs/>
        </w:rPr>
        <w:br w:type="page"/>
      </w:r>
      <w:bookmarkStart w:id="6" w:name="_Toc28992"/>
      <w:r>
        <w:rPr>
          <w:rFonts w:ascii="Times New Roman" w:hAnsi="Times New Roman"/>
          <w:b/>
          <w:bCs/>
          <w:snapToGrid w:val="0"/>
          <w:sz w:val="30"/>
          <w:szCs w:val="30"/>
        </w:rPr>
        <w:t>三、生态环境现状、保护目标及评价标准</w:t>
      </w:r>
      <w:bookmarkEnd w:id="6"/>
    </w:p>
    <w:tbl>
      <w:tblPr>
        <w:tblStyle w:val="24"/>
        <w:tblW w:w="4997"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77"/>
        <w:gridCol w:w="817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84" w:type="pct"/>
            <w:tcBorders>
              <w:tl2br w:val="nil"/>
              <w:tr2bl w:val="nil"/>
            </w:tcBorders>
            <w:vAlign w:val="center"/>
          </w:tcPr>
          <w:p>
            <w:pPr>
              <w:adjustRightInd w:val="0"/>
              <w:snapToGrid w:val="0"/>
              <w:jc w:val="center"/>
              <w:rPr>
                <w:kern w:val="0"/>
                <w:sz w:val="24"/>
              </w:rPr>
            </w:pPr>
            <w:r>
              <w:rPr>
                <w:kern w:val="0"/>
                <w:sz w:val="24"/>
              </w:rPr>
              <w:t>生态环境现状</w:t>
            </w:r>
          </w:p>
        </w:tc>
        <w:tc>
          <w:tcPr>
            <w:tcW w:w="4515" w:type="pct"/>
            <w:tcBorders>
              <w:tl2br w:val="nil"/>
              <w:tr2bl w:val="nil"/>
            </w:tcBorders>
            <w:vAlign w:val="center"/>
          </w:tcPr>
          <w:p>
            <w:pPr>
              <w:keepNext/>
              <w:keepLines/>
              <w:adjustRightInd w:val="0"/>
              <w:snapToGrid w:val="0"/>
              <w:spacing w:line="360" w:lineRule="auto"/>
              <w:ind w:firstLine="482" w:firstLineChars="200"/>
              <w:outlineLvl w:val="2"/>
              <w:rPr>
                <w:b/>
                <w:bCs/>
                <w:color w:val="000000"/>
                <w:sz w:val="24"/>
                <w:szCs w:val="22"/>
              </w:rPr>
            </w:pPr>
            <w:r>
              <w:rPr>
                <w:b/>
                <w:bCs/>
                <w:color w:val="000000"/>
                <w:sz w:val="24"/>
                <w:szCs w:val="22"/>
              </w:rPr>
              <w:t>1、大气环境质量现状</w:t>
            </w:r>
          </w:p>
          <w:p>
            <w:pPr>
              <w:tabs>
                <w:tab w:val="left" w:pos="1260"/>
              </w:tabs>
              <w:adjustRightInd w:val="0"/>
              <w:snapToGrid w:val="0"/>
              <w:spacing w:line="360" w:lineRule="auto"/>
              <w:ind w:firstLine="480" w:firstLineChars="200"/>
              <w:rPr>
                <w:color w:val="000000"/>
                <w:sz w:val="24"/>
              </w:rPr>
            </w:pPr>
            <w:r>
              <w:rPr>
                <w:color w:val="000000"/>
                <w:sz w:val="24"/>
              </w:rPr>
              <w:t>根据</w:t>
            </w:r>
            <w:r>
              <w:rPr>
                <w:rFonts w:hint="eastAsia"/>
                <w:color w:val="000000"/>
                <w:sz w:val="24"/>
              </w:rPr>
              <w:t>永州市生态环境</w:t>
            </w:r>
            <w:r>
              <w:rPr>
                <w:color w:val="000000"/>
                <w:sz w:val="24"/>
              </w:rPr>
              <w:t>局发布的《关于202</w:t>
            </w:r>
            <w:r>
              <w:rPr>
                <w:rFonts w:hint="eastAsia"/>
                <w:color w:val="000000"/>
                <w:sz w:val="24"/>
              </w:rPr>
              <w:t>1</w:t>
            </w:r>
            <w:r>
              <w:rPr>
                <w:color w:val="000000"/>
                <w:sz w:val="24"/>
              </w:rPr>
              <w:t>年12月份全市环境质量状况的通报》（永生环委办</w:t>
            </w:r>
            <w:r>
              <w:rPr>
                <w:rFonts w:hint="eastAsia"/>
                <w:color w:val="000000"/>
                <w:sz w:val="24"/>
              </w:rPr>
              <w:t>【</w:t>
            </w:r>
            <w:r>
              <w:rPr>
                <w:color w:val="000000"/>
                <w:sz w:val="24"/>
              </w:rPr>
              <w:t>202</w:t>
            </w:r>
            <w:r>
              <w:rPr>
                <w:rFonts w:hint="eastAsia"/>
                <w:color w:val="000000"/>
                <w:sz w:val="24"/>
              </w:rPr>
              <w:t>2】</w:t>
            </w:r>
            <w:r>
              <w:rPr>
                <w:color w:val="000000"/>
                <w:sz w:val="24"/>
              </w:rPr>
              <w:t>5号）统计的环</w:t>
            </w:r>
            <w:r>
              <w:rPr>
                <w:rFonts w:hint="eastAsia"/>
                <w:color w:val="000000"/>
                <w:sz w:val="24"/>
              </w:rPr>
              <w:t>境监测结果</w:t>
            </w:r>
            <w:r>
              <w:rPr>
                <w:color w:val="000000"/>
                <w:sz w:val="24"/>
              </w:rPr>
              <w:t>，来判定县域大气环境质量达标情况，统计数据显示环境空气中各污染因子浓度值均能够达到</w:t>
            </w:r>
            <w:r>
              <w:rPr>
                <w:snapToGrid w:val="0"/>
                <w:color w:val="000000"/>
                <w:kern w:val="0"/>
                <w:sz w:val="24"/>
              </w:rPr>
              <w:t>《环境空气质量标准》（GB3095-2012）中二级标准及修改单要求，</w:t>
            </w:r>
            <w:r>
              <w:rPr>
                <w:color w:val="000000"/>
                <w:sz w:val="24"/>
              </w:rPr>
              <w:t>新田县属于20</w:t>
            </w:r>
            <w:r>
              <w:rPr>
                <w:rFonts w:hint="eastAsia"/>
                <w:color w:val="000000"/>
                <w:sz w:val="24"/>
              </w:rPr>
              <w:t>21</w:t>
            </w:r>
            <w:r>
              <w:rPr>
                <w:color w:val="000000"/>
                <w:sz w:val="24"/>
              </w:rPr>
              <w:t>年度环境质量达标区。具体情况详见表</w:t>
            </w:r>
            <w:r>
              <w:rPr>
                <w:rFonts w:hint="eastAsia"/>
                <w:color w:val="000000"/>
                <w:sz w:val="24"/>
              </w:rPr>
              <w:t>3-1</w:t>
            </w:r>
            <w:r>
              <w:rPr>
                <w:color w:val="000000"/>
                <w:sz w:val="24"/>
              </w:rPr>
              <w:t>。</w:t>
            </w:r>
          </w:p>
          <w:p>
            <w:pPr>
              <w:adjustRightInd w:val="0"/>
              <w:snapToGrid w:val="0"/>
              <w:jc w:val="center"/>
              <w:rPr>
                <w:b/>
                <w:bCs/>
                <w:szCs w:val="21"/>
              </w:rPr>
            </w:pPr>
            <w:r>
              <w:rPr>
                <w:b/>
                <w:bCs/>
                <w:szCs w:val="21"/>
              </w:rPr>
              <w:t>表</w:t>
            </w:r>
            <w:r>
              <w:rPr>
                <w:rFonts w:hint="eastAsia"/>
                <w:b/>
                <w:bCs/>
                <w:szCs w:val="21"/>
              </w:rPr>
              <w:t>3-1</w:t>
            </w:r>
            <w:r>
              <w:rPr>
                <w:b/>
                <w:bCs/>
                <w:szCs w:val="21"/>
              </w:rPr>
              <w:t xml:space="preserve"> </w:t>
            </w:r>
            <w:r>
              <w:rPr>
                <w:rFonts w:hint="eastAsia"/>
                <w:b/>
                <w:bCs/>
                <w:szCs w:val="21"/>
              </w:rPr>
              <w:t>新田</w:t>
            </w:r>
            <w:r>
              <w:rPr>
                <w:b/>
                <w:bCs/>
                <w:szCs w:val="21"/>
              </w:rPr>
              <w:t>县空气质量现状评价表</w:t>
            </w:r>
          </w:p>
          <w:tbl>
            <w:tblPr>
              <w:tblStyle w:val="24"/>
              <w:tblW w:w="4997" w:type="pct"/>
              <w:tblInd w:w="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9"/>
              <w:gridCol w:w="1739"/>
              <w:gridCol w:w="1154"/>
              <w:gridCol w:w="1324"/>
              <w:gridCol w:w="1398"/>
              <w:gridCol w:w="12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87" w:type="pct"/>
                  <w:vAlign w:val="center"/>
                </w:tcPr>
                <w:p>
                  <w:pPr>
                    <w:adjustRightInd w:val="0"/>
                    <w:snapToGrid w:val="0"/>
                    <w:jc w:val="center"/>
                    <w:rPr>
                      <w:szCs w:val="21"/>
                    </w:rPr>
                  </w:pPr>
                  <w:r>
                    <w:rPr>
                      <w:szCs w:val="21"/>
                    </w:rPr>
                    <w:t>污染物</w:t>
                  </w:r>
                </w:p>
              </w:tc>
              <w:tc>
                <w:tcPr>
                  <w:tcW w:w="1095" w:type="pct"/>
                  <w:vAlign w:val="center"/>
                </w:tcPr>
                <w:p>
                  <w:pPr>
                    <w:adjustRightInd w:val="0"/>
                    <w:snapToGrid w:val="0"/>
                    <w:jc w:val="center"/>
                    <w:rPr>
                      <w:szCs w:val="21"/>
                    </w:rPr>
                  </w:pPr>
                  <w:r>
                    <w:rPr>
                      <w:szCs w:val="21"/>
                    </w:rPr>
                    <w:t>年评价指标</w:t>
                  </w:r>
                </w:p>
              </w:tc>
              <w:tc>
                <w:tcPr>
                  <w:tcW w:w="716" w:type="pct"/>
                  <w:vAlign w:val="center"/>
                </w:tcPr>
                <w:p>
                  <w:pPr>
                    <w:adjustRightInd w:val="0"/>
                    <w:snapToGrid w:val="0"/>
                    <w:jc w:val="center"/>
                    <w:rPr>
                      <w:szCs w:val="21"/>
                    </w:rPr>
                  </w:pPr>
                  <w:r>
                    <w:rPr>
                      <w:szCs w:val="21"/>
                    </w:rPr>
                    <w:t>现状浓度</w:t>
                  </w:r>
                </w:p>
              </w:tc>
              <w:tc>
                <w:tcPr>
                  <w:tcW w:w="834" w:type="pct"/>
                  <w:vAlign w:val="center"/>
                </w:tcPr>
                <w:p>
                  <w:pPr>
                    <w:adjustRightInd w:val="0"/>
                    <w:snapToGrid w:val="0"/>
                    <w:jc w:val="center"/>
                    <w:rPr>
                      <w:szCs w:val="21"/>
                    </w:rPr>
                  </w:pPr>
                  <w:r>
                    <w:rPr>
                      <w:szCs w:val="21"/>
                    </w:rPr>
                    <w:t>标准值</w:t>
                  </w:r>
                </w:p>
              </w:tc>
              <w:tc>
                <w:tcPr>
                  <w:tcW w:w="881" w:type="pct"/>
                  <w:vAlign w:val="center"/>
                </w:tcPr>
                <w:p>
                  <w:pPr>
                    <w:adjustRightInd w:val="0"/>
                    <w:snapToGrid w:val="0"/>
                    <w:jc w:val="center"/>
                    <w:rPr>
                      <w:szCs w:val="21"/>
                    </w:rPr>
                  </w:pPr>
                  <w:r>
                    <w:rPr>
                      <w:szCs w:val="21"/>
                    </w:rPr>
                    <w:t>占标率（%）</w:t>
                  </w:r>
                </w:p>
              </w:tc>
              <w:tc>
                <w:tcPr>
                  <w:tcW w:w="784" w:type="pct"/>
                  <w:vAlign w:val="center"/>
                </w:tcPr>
                <w:p>
                  <w:pPr>
                    <w:adjustRightInd w:val="0"/>
                    <w:snapToGrid w:val="0"/>
                    <w:jc w:val="center"/>
                    <w:rPr>
                      <w:szCs w:val="21"/>
                    </w:rPr>
                  </w:pPr>
                  <w:r>
                    <w:rPr>
                      <w:szCs w:val="21"/>
                    </w:rPr>
                    <w:t>达标情况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87" w:type="pct"/>
                  <w:vAlign w:val="center"/>
                </w:tcPr>
                <w:p>
                  <w:pPr>
                    <w:tabs>
                      <w:tab w:val="left" w:pos="0"/>
                    </w:tabs>
                    <w:adjustRightInd w:val="0"/>
                    <w:snapToGrid w:val="0"/>
                    <w:jc w:val="center"/>
                    <w:rPr>
                      <w:szCs w:val="21"/>
                    </w:rPr>
                  </w:pPr>
                  <w:r>
                    <w:rPr>
                      <w:szCs w:val="21"/>
                    </w:rPr>
                    <w:t>PM</w:t>
                  </w:r>
                  <w:r>
                    <w:rPr>
                      <w:szCs w:val="21"/>
                      <w:vertAlign w:val="subscript"/>
                    </w:rPr>
                    <w:t>2.5</w:t>
                  </w:r>
                </w:p>
              </w:tc>
              <w:tc>
                <w:tcPr>
                  <w:tcW w:w="1095" w:type="pct"/>
                  <w:vAlign w:val="center"/>
                </w:tcPr>
                <w:p>
                  <w:pPr>
                    <w:tabs>
                      <w:tab w:val="left" w:pos="0"/>
                    </w:tabs>
                    <w:adjustRightInd w:val="0"/>
                    <w:snapToGrid w:val="0"/>
                    <w:jc w:val="center"/>
                    <w:rPr>
                      <w:szCs w:val="21"/>
                    </w:rPr>
                  </w:pPr>
                  <w:r>
                    <w:rPr>
                      <w:szCs w:val="21"/>
                    </w:rPr>
                    <w:t>年平均质量浓度</w:t>
                  </w:r>
                </w:p>
              </w:tc>
              <w:tc>
                <w:tcPr>
                  <w:tcW w:w="716" w:type="pct"/>
                  <w:vAlign w:val="center"/>
                </w:tcPr>
                <w:p>
                  <w:pPr>
                    <w:tabs>
                      <w:tab w:val="left" w:pos="0"/>
                    </w:tabs>
                    <w:adjustRightInd w:val="0"/>
                    <w:snapToGrid w:val="0"/>
                    <w:jc w:val="center"/>
                    <w:rPr>
                      <w:szCs w:val="21"/>
                    </w:rPr>
                  </w:pPr>
                  <w:r>
                    <w:rPr>
                      <w:sz w:val="24"/>
                    </w:rPr>
                    <w:t>30</w:t>
                  </w:r>
                  <w:r>
                    <w:rPr>
                      <w:rFonts w:eastAsia="仿宋_GB2312"/>
                      <w:sz w:val="24"/>
                    </w:rPr>
                    <w:t>μg/m</w:t>
                  </w:r>
                  <w:r>
                    <w:rPr>
                      <w:rFonts w:eastAsia="仿宋_GB2312"/>
                      <w:sz w:val="24"/>
                      <w:vertAlign w:val="superscript"/>
                    </w:rPr>
                    <w:t>3</w:t>
                  </w:r>
                </w:p>
              </w:tc>
              <w:tc>
                <w:tcPr>
                  <w:tcW w:w="834" w:type="pct"/>
                  <w:vAlign w:val="center"/>
                </w:tcPr>
                <w:p>
                  <w:pPr>
                    <w:tabs>
                      <w:tab w:val="left" w:pos="0"/>
                    </w:tabs>
                    <w:adjustRightInd w:val="0"/>
                    <w:snapToGrid w:val="0"/>
                    <w:jc w:val="center"/>
                    <w:rPr>
                      <w:szCs w:val="21"/>
                    </w:rPr>
                  </w:pPr>
                  <w:r>
                    <w:rPr>
                      <w:szCs w:val="21"/>
                    </w:rPr>
                    <w:t>35ug/m</w:t>
                  </w:r>
                  <w:r>
                    <w:rPr>
                      <w:szCs w:val="21"/>
                      <w:vertAlign w:val="superscript"/>
                    </w:rPr>
                    <w:t>3</w:t>
                  </w:r>
                </w:p>
              </w:tc>
              <w:tc>
                <w:tcPr>
                  <w:tcW w:w="1564" w:type="dxa"/>
                  <w:vAlign w:val="center"/>
                </w:tcPr>
                <w:p>
                  <w:pPr>
                    <w:tabs>
                      <w:tab w:val="left" w:pos="0"/>
                    </w:tabs>
                    <w:adjustRightInd w:val="0"/>
                    <w:snapToGrid w:val="0"/>
                    <w:jc w:val="center"/>
                    <w:rPr>
                      <w:szCs w:val="21"/>
                    </w:rPr>
                  </w:pPr>
                  <w:r>
                    <w:rPr>
                      <w:szCs w:val="21"/>
                    </w:rPr>
                    <w:t>85.71</w:t>
                  </w:r>
                </w:p>
              </w:tc>
              <w:tc>
                <w:tcPr>
                  <w:tcW w:w="784" w:type="pct"/>
                  <w:vAlign w:val="center"/>
                </w:tcPr>
                <w:p>
                  <w:pPr>
                    <w:adjustRightInd w:val="0"/>
                    <w:snapToGrid w:val="0"/>
                    <w:jc w:val="center"/>
                    <w:rPr>
                      <w:szCs w:val="21"/>
                    </w:rPr>
                  </w:pPr>
                  <w:r>
                    <w:rPr>
                      <w:szCs w:val="21"/>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87" w:type="pct"/>
                  <w:vAlign w:val="center"/>
                </w:tcPr>
                <w:p>
                  <w:pPr>
                    <w:tabs>
                      <w:tab w:val="left" w:pos="0"/>
                    </w:tabs>
                    <w:adjustRightInd w:val="0"/>
                    <w:snapToGrid w:val="0"/>
                    <w:jc w:val="center"/>
                    <w:rPr>
                      <w:szCs w:val="21"/>
                    </w:rPr>
                  </w:pPr>
                  <w:r>
                    <w:rPr>
                      <w:szCs w:val="21"/>
                    </w:rPr>
                    <w:t>PM</w:t>
                  </w:r>
                  <w:r>
                    <w:rPr>
                      <w:szCs w:val="21"/>
                      <w:vertAlign w:val="subscript"/>
                    </w:rPr>
                    <w:t>10</w:t>
                  </w:r>
                </w:p>
              </w:tc>
              <w:tc>
                <w:tcPr>
                  <w:tcW w:w="1095" w:type="pct"/>
                  <w:vAlign w:val="center"/>
                </w:tcPr>
                <w:p>
                  <w:pPr>
                    <w:tabs>
                      <w:tab w:val="left" w:pos="0"/>
                    </w:tabs>
                    <w:adjustRightInd w:val="0"/>
                    <w:snapToGrid w:val="0"/>
                    <w:jc w:val="center"/>
                    <w:rPr>
                      <w:szCs w:val="21"/>
                    </w:rPr>
                  </w:pPr>
                  <w:r>
                    <w:rPr>
                      <w:szCs w:val="21"/>
                    </w:rPr>
                    <w:t>年平均质量浓度</w:t>
                  </w:r>
                </w:p>
              </w:tc>
              <w:tc>
                <w:tcPr>
                  <w:tcW w:w="716" w:type="pct"/>
                  <w:vAlign w:val="center"/>
                </w:tcPr>
                <w:p>
                  <w:pPr>
                    <w:tabs>
                      <w:tab w:val="left" w:pos="0"/>
                    </w:tabs>
                    <w:adjustRightInd w:val="0"/>
                    <w:snapToGrid w:val="0"/>
                    <w:jc w:val="center"/>
                    <w:rPr>
                      <w:szCs w:val="21"/>
                    </w:rPr>
                  </w:pPr>
                  <w:r>
                    <w:rPr>
                      <w:sz w:val="24"/>
                    </w:rPr>
                    <w:t>42</w:t>
                  </w:r>
                  <w:r>
                    <w:rPr>
                      <w:rFonts w:eastAsia="仿宋_GB2312"/>
                      <w:sz w:val="24"/>
                    </w:rPr>
                    <w:t>μg/m</w:t>
                  </w:r>
                  <w:r>
                    <w:rPr>
                      <w:rFonts w:eastAsia="仿宋_GB2312"/>
                      <w:sz w:val="24"/>
                      <w:vertAlign w:val="superscript"/>
                    </w:rPr>
                    <w:t>3</w:t>
                  </w:r>
                </w:p>
              </w:tc>
              <w:tc>
                <w:tcPr>
                  <w:tcW w:w="834" w:type="pct"/>
                  <w:vAlign w:val="center"/>
                </w:tcPr>
                <w:p>
                  <w:pPr>
                    <w:tabs>
                      <w:tab w:val="left" w:pos="0"/>
                    </w:tabs>
                    <w:adjustRightInd w:val="0"/>
                    <w:snapToGrid w:val="0"/>
                    <w:jc w:val="center"/>
                    <w:rPr>
                      <w:szCs w:val="21"/>
                    </w:rPr>
                  </w:pPr>
                  <w:r>
                    <w:rPr>
                      <w:szCs w:val="21"/>
                    </w:rPr>
                    <w:t>70ug/m</w:t>
                  </w:r>
                  <w:r>
                    <w:rPr>
                      <w:szCs w:val="21"/>
                      <w:vertAlign w:val="superscript"/>
                    </w:rPr>
                    <w:t>3</w:t>
                  </w:r>
                </w:p>
              </w:tc>
              <w:tc>
                <w:tcPr>
                  <w:tcW w:w="1564" w:type="dxa"/>
                  <w:vAlign w:val="center"/>
                </w:tcPr>
                <w:p>
                  <w:pPr>
                    <w:tabs>
                      <w:tab w:val="left" w:pos="0"/>
                    </w:tabs>
                    <w:adjustRightInd w:val="0"/>
                    <w:snapToGrid w:val="0"/>
                    <w:jc w:val="center"/>
                    <w:rPr>
                      <w:szCs w:val="21"/>
                    </w:rPr>
                  </w:pPr>
                  <w:r>
                    <w:rPr>
                      <w:szCs w:val="21"/>
                    </w:rPr>
                    <w:t>60</w:t>
                  </w:r>
                </w:p>
              </w:tc>
              <w:tc>
                <w:tcPr>
                  <w:tcW w:w="784" w:type="pct"/>
                  <w:vAlign w:val="center"/>
                </w:tcPr>
                <w:p>
                  <w:pPr>
                    <w:adjustRightInd w:val="0"/>
                    <w:snapToGrid w:val="0"/>
                    <w:jc w:val="center"/>
                    <w:rPr>
                      <w:szCs w:val="21"/>
                    </w:rPr>
                  </w:pPr>
                  <w:r>
                    <w:rPr>
                      <w:szCs w:val="21"/>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87" w:type="pct"/>
                  <w:vAlign w:val="center"/>
                </w:tcPr>
                <w:p>
                  <w:pPr>
                    <w:tabs>
                      <w:tab w:val="left" w:pos="0"/>
                    </w:tabs>
                    <w:adjustRightInd w:val="0"/>
                    <w:snapToGrid w:val="0"/>
                    <w:jc w:val="center"/>
                    <w:rPr>
                      <w:szCs w:val="21"/>
                    </w:rPr>
                  </w:pPr>
                  <w:r>
                    <w:rPr>
                      <w:szCs w:val="21"/>
                    </w:rPr>
                    <w:t>O</w:t>
                  </w:r>
                  <w:r>
                    <w:rPr>
                      <w:szCs w:val="21"/>
                      <w:vertAlign w:val="subscript"/>
                    </w:rPr>
                    <w:t>3</w:t>
                  </w:r>
                </w:p>
              </w:tc>
              <w:tc>
                <w:tcPr>
                  <w:tcW w:w="1095" w:type="pct"/>
                  <w:vAlign w:val="center"/>
                </w:tcPr>
                <w:p>
                  <w:pPr>
                    <w:tabs>
                      <w:tab w:val="left" w:pos="0"/>
                    </w:tabs>
                    <w:adjustRightInd w:val="0"/>
                    <w:snapToGrid w:val="0"/>
                    <w:jc w:val="center"/>
                    <w:rPr>
                      <w:szCs w:val="21"/>
                    </w:rPr>
                  </w:pPr>
                  <w:r>
                    <w:rPr>
                      <w:szCs w:val="21"/>
                    </w:rPr>
                    <w:t>百分之90位数8h平均质量浓度</w:t>
                  </w:r>
                </w:p>
              </w:tc>
              <w:tc>
                <w:tcPr>
                  <w:tcW w:w="716" w:type="pct"/>
                  <w:vAlign w:val="center"/>
                </w:tcPr>
                <w:p>
                  <w:pPr>
                    <w:tabs>
                      <w:tab w:val="left" w:pos="0"/>
                    </w:tabs>
                    <w:adjustRightInd w:val="0"/>
                    <w:snapToGrid w:val="0"/>
                    <w:jc w:val="center"/>
                    <w:rPr>
                      <w:szCs w:val="21"/>
                    </w:rPr>
                  </w:pPr>
                  <w:r>
                    <w:rPr>
                      <w:sz w:val="24"/>
                    </w:rPr>
                    <w:t>114</w:t>
                  </w:r>
                  <w:r>
                    <w:rPr>
                      <w:rFonts w:eastAsia="仿宋_GB2312"/>
                      <w:sz w:val="24"/>
                    </w:rPr>
                    <w:t>μg/m</w:t>
                  </w:r>
                  <w:r>
                    <w:rPr>
                      <w:rFonts w:eastAsia="仿宋_GB2312"/>
                      <w:sz w:val="24"/>
                      <w:vertAlign w:val="superscript"/>
                    </w:rPr>
                    <w:t>3</w:t>
                  </w:r>
                </w:p>
              </w:tc>
              <w:tc>
                <w:tcPr>
                  <w:tcW w:w="834" w:type="pct"/>
                  <w:vAlign w:val="center"/>
                </w:tcPr>
                <w:p>
                  <w:pPr>
                    <w:tabs>
                      <w:tab w:val="left" w:pos="0"/>
                    </w:tabs>
                    <w:adjustRightInd w:val="0"/>
                    <w:snapToGrid w:val="0"/>
                    <w:jc w:val="center"/>
                    <w:rPr>
                      <w:szCs w:val="21"/>
                    </w:rPr>
                  </w:pPr>
                  <w:r>
                    <w:rPr>
                      <w:szCs w:val="21"/>
                    </w:rPr>
                    <w:t>160ug/m</w:t>
                  </w:r>
                  <w:r>
                    <w:rPr>
                      <w:szCs w:val="21"/>
                      <w:vertAlign w:val="superscript"/>
                    </w:rPr>
                    <w:t>3</w:t>
                  </w:r>
                </w:p>
              </w:tc>
              <w:tc>
                <w:tcPr>
                  <w:tcW w:w="1564" w:type="dxa"/>
                  <w:vAlign w:val="center"/>
                </w:tcPr>
                <w:p>
                  <w:pPr>
                    <w:tabs>
                      <w:tab w:val="left" w:pos="0"/>
                    </w:tabs>
                    <w:adjustRightInd w:val="0"/>
                    <w:snapToGrid w:val="0"/>
                    <w:jc w:val="center"/>
                    <w:rPr>
                      <w:szCs w:val="21"/>
                    </w:rPr>
                  </w:pPr>
                  <w:r>
                    <w:rPr>
                      <w:szCs w:val="21"/>
                    </w:rPr>
                    <w:t>71.25</w:t>
                  </w:r>
                </w:p>
              </w:tc>
              <w:tc>
                <w:tcPr>
                  <w:tcW w:w="784" w:type="pct"/>
                  <w:vAlign w:val="center"/>
                </w:tcPr>
                <w:p>
                  <w:pPr>
                    <w:adjustRightInd w:val="0"/>
                    <w:snapToGrid w:val="0"/>
                    <w:jc w:val="center"/>
                    <w:rPr>
                      <w:szCs w:val="21"/>
                    </w:rPr>
                  </w:pPr>
                  <w:r>
                    <w:rPr>
                      <w:szCs w:val="21"/>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87" w:type="pct"/>
                  <w:vAlign w:val="center"/>
                </w:tcPr>
                <w:p>
                  <w:pPr>
                    <w:tabs>
                      <w:tab w:val="left" w:pos="0"/>
                    </w:tabs>
                    <w:adjustRightInd w:val="0"/>
                    <w:snapToGrid w:val="0"/>
                    <w:jc w:val="center"/>
                    <w:rPr>
                      <w:szCs w:val="21"/>
                    </w:rPr>
                  </w:pPr>
                  <w:r>
                    <w:rPr>
                      <w:szCs w:val="21"/>
                    </w:rPr>
                    <w:t>SO</w:t>
                  </w:r>
                  <w:r>
                    <w:rPr>
                      <w:szCs w:val="21"/>
                      <w:vertAlign w:val="subscript"/>
                    </w:rPr>
                    <w:t>2</w:t>
                  </w:r>
                </w:p>
              </w:tc>
              <w:tc>
                <w:tcPr>
                  <w:tcW w:w="1095" w:type="pct"/>
                  <w:vAlign w:val="center"/>
                </w:tcPr>
                <w:p>
                  <w:pPr>
                    <w:tabs>
                      <w:tab w:val="left" w:pos="0"/>
                    </w:tabs>
                    <w:adjustRightInd w:val="0"/>
                    <w:snapToGrid w:val="0"/>
                    <w:jc w:val="center"/>
                    <w:rPr>
                      <w:szCs w:val="21"/>
                    </w:rPr>
                  </w:pPr>
                  <w:r>
                    <w:rPr>
                      <w:szCs w:val="21"/>
                    </w:rPr>
                    <w:t>年平均质量浓度</w:t>
                  </w:r>
                </w:p>
              </w:tc>
              <w:tc>
                <w:tcPr>
                  <w:tcW w:w="716" w:type="pct"/>
                  <w:vAlign w:val="center"/>
                </w:tcPr>
                <w:p>
                  <w:pPr>
                    <w:tabs>
                      <w:tab w:val="left" w:pos="0"/>
                    </w:tabs>
                    <w:adjustRightInd w:val="0"/>
                    <w:snapToGrid w:val="0"/>
                    <w:jc w:val="center"/>
                    <w:rPr>
                      <w:szCs w:val="21"/>
                    </w:rPr>
                  </w:pPr>
                  <w:r>
                    <w:rPr>
                      <w:sz w:val="24"/>
                    </w:rPr>
                    <w:t>6</w:t>
                  </w:r>
                  <w:r>
                    <w:rPr>
                      <w:rFonts w:eastAsia="仿宋_GB2312"/>
                      <w:sz w:val="24"/>
                    </w:rPr>
                    <w:t>μg/m</w:t>
                  </w:r>
                  <w:r>
                    <w:rPr>
                      <w:rFonts w:eastAsia="仿宋_GB2312"/>
                      <w:sz w:val="24"/>
                      <w:vertAlign w:val="superscript"/>
                    </w:rPr>
                    <w:t>3</w:t>
                  </w:r>
                </w:p>
              </w:tc>
              <w:tc>
                <w:tcPr>
                  <w:tcW w:w="834" w:type="pct"/>
                  <w:vAlign w:val="center"/>
                </w:tcPr>
                <w:p>
                  <w:pPr>
                    <w:tabs>
                      <w:tab w:val="left" w:pos="0"/>
                    </w:tabs>
                    <w:adjustRightInd w:val="0"/>
                    <w:snapToGrid w:val="0"/>
                    <w:jc w:val="center"/>
                    <w:rPr>
                      <w:szCs w:val="21"/>
                    </w:rPr>
                  </w:pPr>
                  <w:r>
                    <w:rPr>
                      <w:szCs w:val="21"/>
                    </w:rPr>
                    <w:t>60ug/m</w:t>
                  </w:r>
                  <w:r>
                    <w:rPr>
                      <w:szCs w:val="21"/>
                      <w:vertAlign w:val="superscript"/>
                    </w:rPr>
                    <w:t>3</w:t>
                  </w:r>
                </w:p>
              </w:tc>
              <w:tc>
                <w:tcPr>
                  <w:tcW w:w="1564" w:type="dxa"/>
                  <w:vAlign w:val="center"/>
                </w:tcPr>
                <w:p>
                  <w:pPr>
                    <w:tabs>
                      <w:tab w:val="left" w:pos="0"/>
                    </w:tabs>
                    <w:adjustRightInd w:val="0"/>
                    <w:snapToGrid w:val="0"/>
                    <w:jc w:val="center"/>
                    <w:rPr>
                      <w:szCs w:val="21"/>
                    </w:rPr>
                  </w:pPr>
                  <w:r>
                    <w:rPr>
                      <w:szCs w:val="21"/>
                    </w:rPr>
                    <w:t>10</w:t>
                  </w:r>
                </w:p>
              </w:tc>
              <w:tc>
                <w:tcPr>
                  <w:tcW w:w="784" w:type="pct"/>
                  <w:vAlign w:val="center"/>
                </w:tcPr>
                <w:p>
                  <w:pPr>
                    <w:adjustRightInd w:val="0"/>
                    <w:snapToGrid w:val="0"/>
                    <w:jc w:val="center"/>
                    <w:rPr>
                      <w:szCs w:val="21"/>
                    </w:rPr>
                  </w:pPr>
                  <w:r>
                    <w:rPr>
                      <w:szCs w:val="21"/>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87" w:type="pct"/>
                  <w:vAlign w:val="center"/>
                </w:tcPr>
                <w:p>
                  <w:pPr>
                    <w:tabs>
                      <w:tab w:val="left" w:pos="0"/>
                    </w:tabs>
                    <w:adjustRightInd w:val="0"/>
                    <w:snapToGrid w:val="0"/>
                    <w:jc w:val="center"/>
                    <w:rPr>
                      <w:szCs w:val="21"/>
                    </w:rPr>
                  </w:pPr>
                  <w:r>
                    <w:rPr>
                      <w:szCs w:val="21"/>
                    </w:rPr>
                    <w:t>NO</w:t>
                  </w:r>
                  <w:r>
                    <w:rPr>
                      <w:szCs w:val="21"/>
                      <w:vertAlign w:val="subscript"/>
                    </w:rPr>
                    <w:t>2</w:t>
                  </w:r>
                </w:p>
              </w:tc>
              <w:tc>
                <w:tcPr>
                  <w:tcW w:w="1095" w:type="pct"/>
                  <w:vAlign w:val="center"/>
                </w:tcPr>
                <w:p>
                  <w:pPr>
                    <w:tabs>
                      <w:tab w:val="left" w:pos="0"/>
                    </w:tabs>
                    <w:adjustRightInd w:val="0"/>
                    <w:snapToGrid w:val="0"/>
                    <w:jc w:val="center"/>
                    <w:rPr>
                      <w:szCs w:val="21"/>
                    </w:rPr>
                  </w:pPr>
                  <w:r>
                    <w:rPr>
                      <w:szCs w:val="21"/>
                    </w:rPr>
                    <w:t>年平均质量浓度</w:t>
                  </w:r>
                </w:p>
              </w:tc>
              <w:tc>
                <w:tcPr>
                  <w:tcW w:w="716" w:type="pct"/>
                  <w:vAlign w:val="center"/>
                </w:tcPr>
                <w:p>
                  <w:pPr>
                    <w:tabs>
                      <w:tab w:val="left" w:pos="0"/>
                    </w:tabs>
                    <w:adjustRightInd w:val="0"/>
                    <w:snapToGrid w:val="0"/>
                    <w:jc w:val="center"/>
                    <w:rPr>
                      <w:szCs w:val="21"/>
                    </w:rPr>
                  </w:pPr>
                  <w:r>
                    <w:rPr>
                      <w:sz w:val="24"/>
                    </w:rPr>
                    <w:t>10</w:t>
                  </w:r>
                  <w:r>
                    <w:rPr>
                      <w:rFonts w:eastAsia="仿宋_GB2312"/>
                      <w:sz w:val="24"/>
                    </w:rPr>
                    <w:t>μg/m</w:t>
                  </w:r>
                  <w:r>
                    <w:rPr>
                      <w:rFonts w:eastAsia="仿宋_GB2312"/>
                      <w:sz w:val="24"/>
                      <w:vertAlign w:val="superscript"/>
                    </w:rPr>
                    <w:t>3</w:t>
                  </w:r>
                </w:p>
              </w:tc>
              <w:tc>
                <w:tcPr>
                  <w:tcW w:w="834" w:type="pct"/>
                  <w:vAlign w:val="center"/>
                </w:tcPr>
                <w:p>
                  <w:pPr>
                    <w:tabs>
                      <w:tab w:val="left" w:pos="0"/>
                    </w:tabs>
                    <w:adjustRightInd w:val="0"/>
                    <w:snapToGrid w:val="0"/>
                    <w:jc w:val="center"/>
                    <w:rPr>
                      <w:szCs w:val="21"/>
                    </w:rPr>
                  </w:pPr>
                  <w:r>
                    <w:rPr>
                      <w:szCs w:val="21"/>
                    </w:rPr>
                    <w:t>40ug/m</w:t>
                  </w:r>
                  <w:r>
                    <w:rPr>
                      <w:szCs w:val="21"/>
                      <w:vertAlign w:val="superscript"/>
                    </w:rPr>
                    <w:t>3</w:t>
                  </w:r>
                </w:p>
              </w:tc>
              <w:tc>
                <w:tcPr>
                  <w:tcW w:w="1564" w:type="dxa"/>
                  <w:vAlign w:val="center"/>
                </w:tcPr>
                <w:p>
                  <w:pPr>
                    <w:tabs>
                      <w:tab w:val="left" w:pos="0"/>
                    </w:tabs>
                    <w:adjustRightInd w:val="0"/>
                    <w:snapToGrid w:val="0"/>
                    <w:jc w:val="center"/>
                    <w:rPr>
                      <w:szCs w:val="21"/>
                    </w:rPr>
                  </w:pPr>
                  <w:r>
                    <w:rPr>
                      <w:szCs w:val="21"/>
                    </w:rPr>
                    <w:t>25</w:t>
                  </w:r>
                </w:p>
              </w:tc>
              <w:tc>
                <w:tcPr>
                  <w:tcW w:w="784" w:type="pct"/>
                  <w:vAlign w:val="center"/>
                </w:tcPr>
                <w:p>
                  <w:pPr>
                    <w:adjustRightInd w:val="0"/>
                    <w:snapToGrid w:val="0"/>
                    <w:jc w:val="center"/>
                    <w:rPr>
                      <w:szCs w:val="21"/>
                    </w:rPr>
                  </w:pPr>
                  <w:r>
                    <w:rPr>
                      <w:szCs w:val="21"/>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87" w:type="pct"/>
                  <w:vAlign w:val="center"/>
                </w:tcPr>
                <w:p>
                  <w:pPr>
                    <w:adjustRightInd w:val="0"/>
                    <w:snapToGrid w:val="0"/>
                    <w:jc w:val="center"/>
                    <w:rPr>
                      <w:szCs w:val="21"/>
                    </w:rPr>
                  </w:pPr>
                  <w:r>
                    <w:rPr>
                      <w:szCs w:val="21"/>
                    </w:rPr>
                    <w:t>CO</w:t>
                  </w:r>
                </w:p>
              </w:tc>
              <w:tc>
                <w:tcPr>
                  <w:tcW w:w="1095" w:type="pct"/>
                  <w:vAlign w:val="center"/>
                </w:tcPr>
                <w:p>
                  <w:pPr>
                    <w:tabs>
                      <w:tab w:val="left" w:pos="0"/>
                    </w:tabs>
                    <w:adjustRightInd w:val="0"/>
                    <w:snapToGrid w:val="0"/>
                    <w:jc w:val="center"/>
                    <w:rPr>
                      <w:szCs w:val="21"/>
                    </w:rPr>
                  </w:pPr>
                  <w:r>
                    <w:rPr>
                      <w:szCs w:val="21"/>
                    </w:rPr>
                    <w:t>百分之95位数日平均质量浓度</w:t>
                  </w:r>
                </w:p>
              </w:tc>
              <w:tc>
                <w:tcPr>
                  <w:tcW w:w="716" w:type="pct"/>
                  <w:vAlign w:val="center"/>
                </w:tcPr>
                <w:p>
                  <w:pPr>
                    <w:tabs>
                      <w:tab w:val="left" w:pos="0"/>
                    </w:tabs>
                    <w:adjustRightInd w:val="0"/>
                    <w:snapToGrid w:val="0"/>
                    <w:jc w:val="center"/>
                    <w:rPr>
                      <w:szCs w:val="21"/>
                    </w:rPr>
                  </w:pPr>
                  <w:r>
                    <w:rPr>
                      <w:sz w:val="24"/>
                    </w:rPr>
                    <w:t>0.9m</w:t>
                  </w:r>
                  <w:r>
                    <w:rPr>
                      <w:rFonts w:eastAsia="仿宋_GB2312"/>
                      <w:sz w:val="24"/>
                    </w:rPr>
                    <w:t>g/m</w:t>
                  </w:r>
                  <w:r>
                    <w:rPr>
                      <w:rFonts w:eastAsia="仿宋_GB2312"/>
                      <w:sz w:val="24"/>
                      <w:vertAlign w:val="superscript"/>
                    </w:rPr>
                    <w:t>3</w:t>
                  </w:r>
                </w:p>
              </w:tc>
              <w:tc>
                <w:tcPr>
                  <w:tcW w:w="834" w:type="pct"/>
                  <w:vAlign w:val="center"/>
                </w:tcPr>
                <w:p>
                  <w:pPr>
                    <w:tabs>
                      <w:tab w:val="left" w:pos="0"/>
                    </w:tabs>
                    <w:adjustRightInd w:val="0"/>
                    <w:snapToGrid w:val="0"/>
                    <w:jc w:val="center"/>
                    <w:rPr>
                      <w:szCs w:val="21"/>
                    </w:rPr>
                  </w:pPr>
                  <w:r>
                    <w:rPr>
                      <w:szCs w:val="21"/>
                    </w:rPr>
                    <w:t>4mg/m</w:t>
                  </w:r>
                  <w:r>
                    <w:rPr>
                      <w:szCs w:val="21"/>
                      <w:vertAlign w:val="superscript"/>
                    </w:rPr>
                    <w:t>3</w:t>
                  </w:r>
                </w:p>
              </w:tc>
              <w:tc>
                <w:tcPr>
                  <w:tcW w:w="1564" w:type="dxa"/>
                  <w:vAlign w:val="center"/>
                </w:tcPr>
                <w:p>
                  <w:pPr>
                    <w:tabs>
                      <w:tab w:val="left" w:pos="0"/>
                    </w:tabs>
                    <w:adjustRightInd w:val="0"/>
                    <w:snapToGrid w:val="0"/>
                    <w:jc w:val="center"/>
                    <w:rPr>
                      <w:szCs w:val="21"/>
                    </w:rPr>
                  </w:pPr>
                  <w:r>
                    <w:rPr>
                      <w:szCs w:val="21"/>
                    </w:rPr>
                    <w:t>22.5</w:t>
                  </w:r>
                </w:p>
              </w:tc>
              <w:tc>
                <w:tcPr>
                  <w:tcW w:w="784" w:type="pct"/>
                  <w:vAlign w:val="center"/>
                </w:tcPr>
                <w:p>
                  <w:pPr>
                    <w:adjustRightInd w:val="0"/>
                    <w:snapToGrid w:val="0"/>
                    <w:jc w:val="center"/>
                    <w:rPr>
                      <w:szCs w:val="21"/>
                    </w:rPr>
                  </w:pPr>
                  <w:r>
                    <w:rPr>
                      <w:szCs w:val="21"/>
                    </w:rPr>
                    <w:t>达标</w:t>
                  </w:r>
                </w:p>
              </w:tc>
            </w:tr>
          </w:tbl>
          <w:p>
            <w:pPr>
              <w:autoSpaceDE w:val="0"/>
              <w:autoSpaceDN w:val="0"/>
              <w:adjustRightInd w:val="0"/>
              <w:snapToGrid w:val="0"/>
              <w:spacing w:line="360" w:lineRule="auto"/>
              <w:ind w:firstLine="480" w:firstLineChars="200"/>
              <w:textAlignment w:val="baseline"/>
              <w:rPr>
                <w:color w:val="000000"/>
                <w:sz w:val="24"/>
              </w:rPr>
            </w:pPr>
            <w:r>
              <w:rPr>
                <w:sz w:val="24"/>
              </w:rPr>
              <w:t>上表可知，20</w:t>
            </w:r>
            <w:r>
              <w:rPr>
                <w:rFonts w:hint="eastAsia"/>
                <w:sz w:val="24"/>
              </w:rPr>
              <w:t>21</w:t>
            </w:r>
            <w:r>
              <w:rPr>
                <w:sz w:val="24"/>
              </w:rPr>
              <w:t>年</w:t>
            </w:r>
            <w:r>
              <w:rPr>
                <w:rFonts w:hint="eastAsia"/>
                <w:sz w:val="24"/>
              </w:rPr>
              <w:t>新田</w:t>
            </w:r>
            <w:r>
              <w:rPr>
                <w:sz w:val="24"/>
              </w:rPr>
              <w:t>县SO</w:t>
            </w:r>
            <w:r>
              <w:rPr>
                <w:sz w:val="24"/>
                <w:vertAlign w:val="subscript"/>
              </w:rPr>
              <w:t>2</w:t>
            </w:r>
            <w:r>
              <w:rPr>
                <w:sz w:val="24"/>
              </w:rPr>
              <w:t>、NO</w:t>
            </w:r>
            <w:r>
              <w:rPr>
                <w:sz w:val="24"/>
                <w:vertAlign w:val="subscript"/>
              </w:rPr>
              <w:t>2</w:t>
            </w:r>
            <w:r>
              <w:rPr>
                <w:sz w:val="24"/>
              </w:rPr>
              <w:t>、CO、O</w:t>
            </w:r>
            <w:r>
              <w:rPr>
                <w:sz w:val="24"/>
                <w:vertAlign w:val="subscript"/>
              </w:rPr>
              <w:t>3</w:t>
            </w:r>
            <w:r>
              <w:rPr>
                <w:sz w:val="24"/>
              </w:rPr>
              <w:t>、PM</w:t>
            </w:r>
            <w:r>
              <w:rPr>
                <w:sz w:val="24"/>
                <w:vertAlign w:val="subscript"/>
              </w:rPr>
              <w:t>2.5</w:t>
            </w:r>
            <w:r>
              <w:rPr>
                <w:sz w:val="24"/>
              </w:rPr>
              <w:t>、PM</w:t>
            </w:r>
            <w:r>
              <w:rPr>
                <w:sz w:val="24"/>
                <w:vertAlign w:val="subscript"/>
              </w:rPr>
              <w:t>10</w:t>
            </w:r>
            <w:r>
              <w:rPr>
                <w:sz w:val="24"/>
              </w:rPr>
              <w:t>质量浓度满足《环境空</w:t>
            </w:r>
            <w:r>
              <w:rPr>
                <w:color w:val="000000"/>
                <w:sz w:val="24"/>
              </w:rPr>
              <w:t>气质量标准》（GB3095-2012）及其2018年修改单二级标准要求，故环境空气为达标区。</w:t>
            </w:r>
          </w:p>
          <w:p>
            <w:pPr>
              <w:autoSpaceDE w:val="0"/>
              <w:autoSpaceDN w:val="0"/>
              <w:adjustRightInd w:val="0"/>
              <w:snapToGrid w:val="0"/>
              <w:spacing w:line="360" w:lineRule="auto"/>
              <w:ind w:firstLine="480" w:firstLineChars="200"/>
              <w:rPr>
                <w:color w:val="000000"/>
                <w:sz w:val="24"/>
              </w:rPr>
            </w:pPr>
            <w:r>
              <w:rPr>
                <w:rFonts w:hint="eastAsia"/>
                <w:color w:val="000000"/>
                <w:sz w:val="24"/>
              </w:rPr>
              <w:t>本项目位于新田县中山街道挂兰村，本项目委托湖南中额环保科技有限公司于2022年02月14日-02月20日对所在地氨、硫化氢进行了现状补充监测。</w:t>
            </w:r>
          </w:p>
          <w:p>
            <w:pPr>
              <w:autoSpaceDE w:val="0"/>
              <w:autoSpaceDN w:val="0"/>
              <w:adjustRightInd w:val="0"/>
              <w:snapToGrid w:val="0"/>
              <w:spacing w:line="360" w:lineRule="auto"/>
              <w:ind w:firstLine="480" w:firstLineChars="200"/>
              <w:rPr>
                <w:color w:val="000000"/>
                <w:sz w:val="24"/>
              </w:rPr>
            </w:pPr>
            <w:r>
              <w:rPr>
                <w:rFonts w:hint="eastAsia"/>
                <w:color w:val="000000"/>
                <w:sz w:val="24"/>
              </w:rPr>
              <w:t>（1）监测因子</w:t>
            </w:r>
          </w:p>
          <w:p>
            <w:pPr>
              <w:autoSpaceDE w:val="0"/>
              <w:autoSpaceDN w:val="0"/>
              <w:adjustRightInd w:val="0"/>
              <w:snapToGrid w:val="0"/>
              <w:spacing w:line="360" w:lineRule="auto"/>
              <w:ind w:firstLine="480" w:firstLineChars="200"/>
              <w:rPr>
                <w:color w:val="000000"/>
                <w:sz w:val="24"/>
              </w:rPr>
            </w:pPr>
            <w:r>
              <w:rPr>
                <w:rFonts w:hint="eastAsia"/>
                <w:color w:val="000000"/>
                <w:sz w:val="24"/>
              </w:rPr>
              <w:t>环境空气质量监测因子为：氨、硫化氢。</w:t>
            </w:r>
          </w:p>
          <w:p>
            <w:pPr>
              <w:autoSpaceDE w:val="0"/>
              <w:autoSpaceDN w:val="0"/>
              <w:adjustRightInd w:val="0"/>
              <w:snapToGrid w:val="0"/>
              <w:spacing w:line="360" w:lineRule="auto"/>
              <w:ind w:firstLine="480" w:firstLineChars="200"/>
              <w:rPr>
                <w:color w:val="000000"/>
                <w:sz w:val="24"/>
              </w:rPr>
            </w:pPr>
            <w:r>
              <w:rPr>
                <w:rFonts w:hint="eastAsia"/>
                <w:color w:val="000000"/>
                <w:sz w:val="24"/>
              </w:rPr>
              <w:t>（2）采样及分析方法</w:t>
            </w:r>
          </w:p>
          <w:p>
            <w:pPr>
              <w:autoSpaceDE w:val="0"/>
              <w:autoSpaceDN w:val="0"/>
              <w:adjustRightInd w:val="0"/>
              <w:snapToGrid w:val="0"/>
              <w:spacing w:line="360" w:lineRule="auto"/>
              <w:ind w:firstLine="480" w:firstLineChars="200"/>
              <w:rPr>
                <w:color w:val="000000"/>
                <w:sz w:val="24"/>
              </w:rPr>
            </w:pPr>
            <w:r>
              <w:rPr>
                <w:rFonts w:hint="eastAsia"/>
                <w:color w:val="000000"/>
                <w:sz w:val="24"/>
              </w:rPr>
              <w:t>按照国家环保部《环境监测技术规范》和《环境监测分析方法》进行。</w:t>
            </w:r>
          </w:p>
          <w:p>
            <w:pPr>
              <w:autoSpaceDE w:val="0"/>
              <w:autoSpaceDN w:val="0"/>
              <w:adjustRightInd w:val="0"/>
              <w:snapToGrid w:val="0"/>
              <w:spacing w:line="360" w:lineRule="auto"/>
              <w:ind w:firstLine="480" w:firstLineChars="200"/>
              <w:rPr>
                <w:color w:val="000000"/>
                <w:sz w:val="24"/>
              </w:rPr>
            </w:pPr>
            <w:r>
              <w:rPr>
                <w:rFonts w:hint="eastAsia"/>
                <w:color w:val="000000"/>
                <w:sz w:val="24"/>
              </w:rPr>
              <w:t>（3）评价标准</w:t>
            </w:r>
          </w:p>
          <w:p>
            <w:pPr>
              <w:autoSpaceDE w:val="0"/>
              <w:autoSpaceDN w:val="0"/>
              <w:adjustRightInd w:val="0"/>
              <w:snapToGrid w:val="0"/>
              <w:spacing w:line="360" w:lineRule="auto"/>
              <w:ind w:firstLine="480" w:firstLineChars="200"/>
              <w:rPr>
                <w:color w:val="000000"/>
                <w:sz w:val="24"/>
              </w:rPr>
            </w:pPr>
            <w:r>
              <w:rPr>
                <w:rFonts w:hint="eastAsia"/>
                <w:color w:val="000000"/>
                <w:sz w:val="24"/>
              </w:rPr>
              <w:t>本次评价执行《环境影响评价技术导则 大气环境》（HJ 2.2-2018）附录D标准限值。</w:t>
            </w:r>
          </w:p>
          <w:p>
            <w:pPr>
              <w:autoSpaceDE w:val="0"/>
              <w:autoSpaceDN w:val="0"/>
              <w:adjustRightInd w:val="0"/>
              <w:snapToGrid w:val="0"/>
              <w:spacing w:line="360" w:lineRule="auto"/>
              <w:ind w:firstLine="480" w:firstLineChars="200"/>
              <w:rPr>
                <w:color w:val="000000"/>
                <w:sz w:val="24"/>
              </w:rPr>
            </w:pPr>
            <w:r>
              <w:rPr>
                <w:rFonts w:hint="eastAsia"/>
                <w:color w:val="000000"/>
                <w:sz w:val="24"/>
              </w:rPr>
              <w:t>（4）监测结果及评价</w:t>
            </w:r>
          </w:p>
          <w:p>
            <w:pPr>
              <w:autoSpaceDE w:val="0"/>
              <w:autoSpaceDN w:val="0"/>
              <w:adjustRightInd w:val="0"/>
              <w:snapToGrid w:val="0"/>
              <w:spacing w:line="360" w:lineRule="auto"/>
              <w:ind w:firstLine="480" w:firstLineChars="200"/>
              <w:rPr>
                <w:color w:val="000000"/>
                <w:sz w:val="24"/>
              </w:rPr>
            </w:pPr>
            <w:r>
              <w:rPr>
                <w:rFonts w:hint="eastAsia"/>
                <w:color w:val="000000"/>
                <w:sz w:val="24"/>
              </w:rPr>
              <w:t>环境空气质量现状监测结果见表3-2。</w:t>
            </w:r>
          </w:p>
          <w:p>
            <w:pPr>
              <w:adjustRightInd w:val="0"/>
              <w:snapToGrid w:val="0"/>
              <w:jc w:val="center"/>
              <w:rPr>
                <w:b/>
                <w:bCs/>
                <w:szCs w:val="21"/>
              </w:rPr>
            </w:pPr>
          </w:p>
          <w:p>
            <w:pPr>
              <w:adjustRightInd w:val="0"/>
              <w:snapToGrid w:val="0"/>
              <w:jc w:val="center"/>
              <w:rPr>
                <w:b/>
                <w:bCs/>
                <w:szCs w:val="21"/>
              </w:rPr>
            </w:pPr>
          </w:p>
          <w:p>
            <w:pPr>
              <w:adjustRightInd w:val="0"/>
              <w:snapToGrid w:val="0"/>
              <w:jc w:val="center"/>
              <w:rPr>
                <w:b/>
                <w:bCs/>
                <w:szCs w:val="21"/>
              </w:rPr>
            </w:pPr>
          </w:p>
          <w:p>
            <w:pPr>
              <w:adjustRightInd w:val="0"/>
              <w:snapToGrid w:val="0"/>
              <w:jc w:val="center"/>
              <w:rPr>
                <w:b/>
                <w:bCs/>
                <w:szCs w:val="21"/>
              </w:rPr>
            </w:pPr>
            <w:r>
              <w:rPr>
                <w:b/>
                <w:bCs/>
                <w:szCs w:val="21"/>
              </w:rPr>
              <w:t>表3-2  项目所在地环境空气质量评价一览表</w:t>
            </w:r>
          </w:p>
          <w:tbl>
            <w:tblPr>
              <w:tblStyle w:val="24"/>
              <w:tblW w:w="499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7"/>
              <w:gridCol w:w="1090"/>
              <w:gridCol w:w="880"/>
              <w:gridCol w:w="880"/>
              <w:gridCol w:w="880"/>
              <w:gridCol w:w="880"/>
              <w:gridCol w:w="881"/>
              <w:gridCol w:w="881"/>
              <w:gridCol w:w="8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4" w:hRule="atLeast"/>
                <w:jc w:val="center"/>
              </w:trPr>
              <w:tc>
                <w:tcPr>
                  <w:tcW w:w="426" w:type="pct"/>
                  <w:vMerge w:val="restart"/>
                  <w:tcBorders>
                    <w:tl2br w:val="nil"/>
                    <w:tr2bl w:val="nil"/>
                  </w:tcBorders>
                  <w:vAlign w:val="center"/>
                </w:tcPr>
                <w:p>
                  <w:pPr>
                    <w:adjustRightInd w:val="0"/>
                    <w:snapToGrid w:val="0"/>
                    <w:jc w:val="center"/>
                    <w:rPr>
                      <w:szCs w:val="21"/>
                    </w:rPr>
                  </w:pPr>
                  <w:r>
                    <w:rPr>
                      <w:rFonts w:hint="eastAsia"/>
                      <w:szCs w:val="21"/>
                    </w:rPr>
                    <w:t>点位名称</w:t>
                  </w:r>
                </w:p>
              </w:tc>
              <w:tc>
                <w:tcPr>
                  <w:tcW w:w="686" w:type="pct"/>
                  <w:vMerge w:val="restart"/>
                  <w:tcBorders>
                    <w:tl2br w:val="nil"/>
                    <w:tr2bl w:val="nil"/>
                  </w:tcBorders>
                  <w:vAlign w:val="center"/>
                </w:tcPr>
                <w:p>
                  <w:pPr>
                    <w:adjustRightInd w:val="0"/>
                    <w:snapToGrid w:val="0"/>
                    <w:jc w:val="center"/>
                    <w:rPr>
                      <w:szCs w:val="21"/>
                    </w:rPr>
                  </w:pPr>
                  <w:r>
                    <w:rPr>
                      <w:rFonts w:hint="eastAsia"/>
                      <w:szCs w:val="21"/>
                    </w:rPr>
                    <w:t>检测项目</w:t>
                  </w:r>
                </w:p>
              </w:tc>
              <w:tc>
                <w:tcPr>
                  <w:tcW w:w="3886" w:type="pct"/>
                  <w:gridSpan w:val="7"/>
                  <w:tcBorders>
                    <w:tl2br w:val="nil"/>
                    <w:tr2bl w:val="nil"/>
                  </w:tcBorders>
                  <w:vAlign w:val="center"/>
                </w:tcPr>
                <w:p>
                  <w:pPr>
                    <w:adjustRightInd w:val="0"/>
                    <w:snapToGrid w:val="0"/>
                    <w:jc w:val="center"/>
                    <w:rPr>
                      <w:szCs w:val="21"/>
                    </w:rPr>
                  </w:pPr>
                  <w:r>
                    <w:rPr>
                      <w:rFonts w:hint="eastAsia"/>
                      <w:szCs w:val="21"/>
                    </w:rPr>
                    <w:t>采样日期及检测结果（单位：mg/m³）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426" w:type="pct"/>
                  <w:vMerge w:val="continue"/>
                  <w:tcBorders>
                    <w:tl2br w:val="nil"/>
                    <w:tr2bl w:val="nil"/>
                  </w:tcBorders>
                  <w:vAlign w:val="center"/>
                </w:tcPr>
                <w:p>
                  <w:pPr>
                    <w:adjustRightInd w:val="0"/>
                    <w:snapToGrid w:val="0"/>
                    <w:jc w:val="center"/>
                    <w:rPr>
                      <w:szCs w:val="21"/>
                    </w:rPr>
                  </w:pPr>
                </w:p>
              </w:tc>
              <w:tc>
                <w:tcPr>
                  <w:tcW w:w="686" w:type="pct"/>
                  <w:vMerge w:val="continue"/>
                  <w:tcBorders>
                    <w:tl2br w:val="nil"/>
                    <w:tr2bl w:val="nil"/>
                  </w:tcBorders>
                  <w:vAlign w:val="center"/>
                </w:tcPr>
                <w:p>
                  <w:pPr>
                    <w:adjustRightInd w:val="0"/>
                    <w:snapToGrid w:val="0"/>
                    <w:jc w:val="center"/>
                    <w:rPr>
                      <w:szCs w:val="21"/>
                    </w:rPr>
                  </w:pPr>
                </w:p>
              </w:tc>
              <w:tc>
                <w:tcPr>
                  <w:tcW w:w="554" w:type="pct"/>
                  <w:tcBorders>
                    <w:tl2br w:val="nil"/>
                    <w:tr2bl w:val="nil"/>
                  </w:tcBorders>
                  <w:vAlign w:val="center"/>
                </w:tcPr>
                <w:p>
                  <w:pPr>
                    <w:adjustRightInd w:val="0"/>
                    <w:snapToGrid w:val="0"/>
                    <w:jc w:val="center"/>
                    <w:rPr>
                      <w:szCs w:val="21"/>
                    </w:rPr>
                  </w:pPr>
                  <w:r>
                    <w:rPr>
                      <w:rFonts w:hint="eastAsia"/>
                      <w:szCs w:val="21"/>
                    </w:rPr>
                    <w:t>02.14</w:t>
                  </w:r>
                </w:p>
              </w:tc>
              <w:tc>
                <w:tcPr>
                  <w:tcW w:w="554" w:type="pct"/>
                  <w:tcBorders>
                    <w:tl2br w:val="nil"/>
                    <w:tr2bl w:val="nil"/>
                  </w:tcBorders>
                  <w:vAlign w:val="center"/>
                </w:tcPr>
                <w:p>
                  <w:pPr>
                    <w:adjustRightInd w:val="0"/>
                    <w:snapToGrid w:val="0"/>
                    <w:jc w:val="center"/>
                    <w:rPr>
                      <w:szCs w:val="21"/>
                    </w:rPr>
                  </w:pPr>
                  <w:r>
                    <w:rPr>
                      <w:rFonts w:hint="eastAsia"/>
                      <w:szCs w:val="21"/>
                    </w:rPr>
                    <w:t>02.15</w:t>
                  </w:r>
                </w:p>
              </w:tc>
              <w:tc>
                <w:tcPr>
                  <w:tcW w:w="554" w:type="pct"/>
                  <w:tcBorders>
                    <w:tl2br w:val="nil"/>
                    <w:tr2bl w:val="nil"/>
                  </w:tcBorders>
                  <w:vAlign w:val="center"/>
                </w:tcPr>
                <w:p>
                  <w:pPr>
                    <w:adjustRightInd w:val="0"/>
                    <w:snapToGrid w:val="0"/>
                    <w:jc w:val="center"/>
                    <w:rPr>
                      <w:szCs w:val="21"/>
                    </w:rPr>
                  </w:pPr>
                  <w:r>
                    <w:rPr>
                      <w:rFonts w:hint="eastAsia"/>
                      <w:szCs w:val="21"/>
                    </w:rPr>
                    <w:t>02.16</w:t>
                  </w:r>
                </w:p>
              </w:tc>
              <w:tc>
                <w:tcPr>
                  <w:tcW w:w="554" w:type="pct"/>
                  <w:tcBorders>
                    <w:tl2br w:val="nil"/>
                    <w:tr2bl w:val="nil"/>
                  </w:tcBorders>
                  <w:vAlign w:val="center"/>
                </w:tcPr>
                <w:p>
                  <w:pPr>
                    <w:adjustRightInd w:val="0"/>
                    <w:snapToGrid w:val="0"/>
                    <w:jc w:val="center"/>
                    <w:rPr>
                      <w:szCs w:val="21"/>
                    </w:rPr>
                  </w:pPr>
                  <w:r>
                    <w:rPr>
                      <w:rFonts w:hint="eastAsia"/>
                      <w:szCs w:val="21"/>
                    </w:rPr>
                    <w:t>02.17</w:t>
                  </w:r>
                </w:p>
              </w:tc>
              <w:tc>
                <w:tcPr>
                  <w:tcW w:w="554" w:type="pct"/>
                  <w:tcBorders>
                    <w:tl2br w:val="nil"/>
                    <w:tr2bl w:val="nil"/>
                  </w:tcBorders>
                  <w:vAlign w:val="center"/>
                </w:tcPr>
                <w:p>
                  <w:pPr>
                    <w:adjustRightInd w:val="0"/>
                    <w:snapToGrid w:val="0"/>
                    <w:jc w:val="center"/>
                    <w:rPr>
                      <w:szCs w:val="21"/>
                    </w:rPr>
                  </w:pPr>
                  <w:r>
                    <w:rPr>
                      <w:rFonts w:hint="eastAsia"/>
                      <w:szCs w:val="21"/>
                    </w:rPr>
                    <w:t>02.18</w:t>
                  </w:r>
                </w:p>
              </w:tc>
              <w:tc>
                <w:tcPr>
                  <w:tcW w:w="554" w:type="pct"/>
                  <w:tcBorders>
                    <w:tl2br w:val="nil"/>
                    <w:tr2bl w:val="nil"/>
                  </w:tcBorders>
                  <w:vAlign w:val="center"/>
                </w:tcPr>
                <w:p>
                  <w:pPr>
                    <w:adjustRightInd w:val="0"/>
                    <w:snapToGrid w:val="0"/>
                    <w:jc w:val="center"/>
                    <w:rPr>
                      <w:szCs w:val="21"/>
                    </w:rPr>
                  </w:pPr>
                  <w:r>
                    <w:rPr>
                      <w:rFonts w:hint="eastAsia"/>
                      <w:szCs w:val="21"/>
                    </w:rPr>
                    <w:t>02.19</w:t>
                  </w:r>
                </w:p>
              </w:tc>
              <w:tc>
                <w:tcPr>
                  <w:tcW w:w="557" w:type="pct"/>
                  <w:tcBorders>
                    <w:tl2br w:val="nil"/>
                    <w:tr2bl w:val="nil"/>
                  </w:tcBorders>
                  <w:vAlign w:val="center"/>
                </w:tcPr>
                <w:p>
                  <w:pPr>
                    <w:adjustRightInd w:val="0"/>
                    <w:snapToGrid w:val="0"/>
                    <w:jc w:val="center"/>
                    <w:rPr>
                      <w:szCs w:val="21"/>
                    </w:rPr>
                  </w:pPr>
                  <w:r>
                    <w:rPr>
                      <w:rFonts w:hint="eastAsia"/>
                      <w:szCs w:val="21"/>
                    </w:rPr>
                    <w:t>02.20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26" w:type="pct"/>
                  <w:vMerge w:val="restart"/>
                  <w:tcBorders>
                    <w:tl2br w:val="nil"/>
                    <w:tr2bl w:val="nil"/>
                  </w:tcBorders>
                  <w:vAlign w:val="center"/>
                </w:tcPr>
                <w:p>
                  <w:pPr>
                    <w:adjustRightInd w:val="0"/>
                    <w:snapToGrid w:val="0"/>
                    <w:jc w:val="center"/>
                    <w:rPr>
                      <w:szCs w:val="21"/>
                    </w:rPr>
                  </w:pPr>
                  <w:r>
                    <w:rPr>
                      <w:rFonts w:hint="eastAsia"/>
                      <w:szCs w:val="21"/>
                    </w:rPr>
                    <w:t>A1下风向</w:t>
                  </w:r>
                </w:p>
              </w:tc>
              <w:tc>
                <w:tcPr>
                  <w:tcW w:w="686" w:type="pct"/>
                  <w:tcBorders>
                    <w:tl2br w:val="nil"/>
                    <w:tr2bl w:val="nil"/>
                  </w:tcBorders>
                  <w:vAlign w:val="center"/>
                </w:tcPr>
                <w:p>
                  <w:pPr>
                    <w:adjustRightInd w:val="0"/>
                    <w:snapToGrid w:val="0"/>
                    <w:jc w:val="center"/>
                    <w:rPr>
                      <w:szCs w:val="21"/>
                    </w:rPr>
                  </w:pPr>
                  <w:r>
                    <w:rPr>
                      <w:rFonts w:hint="eastAsia"/>
                      <w:szCs w:val="21"/>
                    </w:rPr>
                    <w:t>氨</w:t>
                  </w:r>
                </w:p>
              </w:tc>
              <w:tc>
                <w:tcPr>
                  <w:tcW w:w="554" w:type="pct"/>
                  <w:tcBorders>
                    <w:tl2br w:val="nil"/>
                    <w:tr2bl w:val="nil"/>
                  </w:tcBorders>
                  <w:vAlign w:val="center"/>
                </w:tcPr>
                <w:p>
                  <w:pPr>
                    <w:adjustRightInd w:val="0"/>
                    <w:snapToGrid w:val="0"/>
                    <w:jc w:val="center"/>
                    <w:rPr>
                      <w:szCs w:val="21"/>
                    </w:rPr>
                  </w:pPr>
                  <w:r>
                    <w:rPr>
                      <w:rFonts w:hint="eastAsia"/>
                      <w:szCs w:val="21"/>
                    </w:rPr>
                    <w:t>ND</w:t>
                  </w:r>
                </w:p>
              </w:tc>
              <w:tc>
                <w:tcPr>
                  <w:tcW w:w="554" w:type="pct"/>
                  <w:tcBorders>
                    <w:tl2br w:val="nil"/>
                    <w:tr2bl w:val="nil"/>
                  </w:tcBorders>
                  <w:vAlign w:val="center"/>
                </w:tcPr>
                <w:p>
                  <w:pPr>
                    <w:adjustRightInd w:val="0"/>
                    <w:snapToGrid w:val="0"/>
                    <w:jc w:val="center"/>
                    <w:rPr>
                      <w:szCs w:val="21"/>
                    </w:rPr>
                  </w:pPr>
                  <w:r>
                    <w:rPr>
                      <w:rFonts w:hint="eastAsia"/>
                      <w:szCs w:val="21"/>
                    </w:rPr>
                    <w:t>ND</w:t>
                  </w:r>
                </w:p>
              </w:tc>
              <w:tc>
                <w:tcPr>
                  <w:tcW w:w="554" w:type="pct"/>
                  <w:tcBorders>
                    <w:tl2br w:val="nil"/>
                    <w:tr2bl w:val="nil"/>
                  </w:tcBorders>
                  <w:vAlign w:val="center"/>
                </w:tcPr>
                <w:p>
                  <w:pPr>
                    <w:adjustRightInd w:val="0"/>
                    <w:snapToGrid w:val="0"/>
                    <w:jc w:val="center"/>
                    <w:rPr>
                      <w:szCs w:val="21"/>
                    </w:rPr>
                  </w:pPr>
                  <w:r>
                    <w:rPr>
                      <w:rFonts w:hint="eastAsia"/>
                      <w:szCs w:val="21"/>
                    </w:rPr>
                    <w:t>ND</w:t>
                  </w:r>
                </w:p>
              </w:tc>
              <w:tc>
                <w:tcPr>
                  <w:tcW w:w="554" w:type="pct"/>
                  <w:tcBorders>
                    <w:tl2br w:val="nil"/>
                    <w:tr2bl w:val="nil"/>
                  </w:tcBorders>
                  <w:vAlign w:val="center"/>
                </w:tcPr>
                <w:p>
                  <w:pPr>
                    <w:adjustRightInd w:val="0"/>
                    <w:snapToGrid w:val="0"/>
                    <w:jc w:val="center"/>
                    <w:rPr>
                      <w:szCs w:val="21"/>
                    </w:rPr>
                  </w:pPr>
                  <w:r>
                    <w:rPr>
                      <w:rFonts w:hint="eastAsia"/>
                      <w:szCs w:val="21"/>
                    </w:rPr>
                    <w:t>ND</w:t>
                  </w:r>
                </w:p>
              </w:tc>
              <w:tc>
                <w:tcPr>
                  <w:tcW w:w="554" w:type="pct"/>
                  <w:tcBorders>
                    <w:tl2br w:val="nil"/>
                    <w:tr2bl w:val="nil"/>
                  </w:tcBorders>
                  <w:vAlign w:val="center"/>
                </w:tcPr>
                <w:p>
                  <w:pPr>
                    <w:adjustRightInd w:val="0"/>
                    <w:snapToGrid w:val="0"/>
                    <w:jc w:val="center"/>
                    <w:rPr>
                      <w:szCs w:val="21"/>
                    </w:rPr>
                  </w:pPr>
                  <w:r>
                    <w:rPr>
                      <w:rFonts w:hint="eastAsia"/>
                      <w:szCs w:val="21"/>
                    </w:rPr>
                    <w:t>ND</w:t>
                  </w:r>
                </w:p>
              </w:tc>
              <w:tc>
                <w:tcPr>
                  <w:tcW w:w="554" w:type="pct"/>
                  <w:tcBorders>
                    <w:tl2br w:val="nil"/>
                    <w:tr2bl w:val="nil"/>
                  </w:tcBorders>
                  <w:vAlign w:val="center"/>
                </w:tcPr>
                <w:p>
                  <w:pPr>
                    <w:adjustRightInd w:val="0"/>
                    <w:snapToGrid w:val="0"/>
                    <w:jc w:val="center"/>
                    <w:rPr>
                      <w:szCs w:val="21"/>
                    </w:rPr>
                  </w:pPr>
                  <w:r>
                    <w:rPr>
                      <w:rFonts w:hint="eastAsia"/>
                      <w:szCs w:val="21"/>
                    </w:rPr>
                    <w:t>ND</w:t>
                  </w:r>
                </w:p>
              </w:tc>
              <w:tc>
                <w:tcPr>
                  <w:tcW w:w="557" w:type="pct"/>
                  <w:tcBorders>
                    <w:tl2br w:val="nil"/>
                    <w:tr2bl w:val="nil"/>
                  </w:tcBorders>
                  <w:vAlign w:val="center"/>
                </w:tcPr>
                <w:p>
                  <w:pPr>
                    <w:adjustRightInd w:val="0"/>
                    <w:snapToGrid w:val="0"/>
                    <w:jc w:val="center"/>
                    <w:rPr>
                      <w:szCs w:val="21"/>
                    </w:rPr>
                  </w:pPr>
                  <w:r>
                    <w:rPr>
                      <w:rFonts w:hint="eastAsia"/>
                      <w:szCs w:val="21"/>
                    </w:rPr>
                    <w:t>ND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26" w:type="pct"/>
                  <w:vMerge w:val="continue"/>
                  <w:tcBorders>
                    <w:tl2br w:val="nil"/>
                    <w:tr2bl w:val="nil"/>
                  </w:tcBorders>
                  <w:vAlign w:val="center"/>
                </w:tcPr>
                <w:p>
                  <w:pPr>
                    <w:adjustRightInd w:val="0"/>
                    <w:snapToGrid w:val="0"/>
                    <w:jc w:val="center"/>
                    <w:rPr>
                      <w:szCs w:val="21"/>
                    </w:rPr>
                  </w:pPr>
                </w:p>
              </w:tc>
              <w:tc>
                <w:tcPr>
                  <w:tcW w:w="686" w:type="pct"/>
                  <w:tcBorders>
                    <w:tl2br w:val="nil"/>
                    <w:tr2bl w:val="nil"/>
                  </w:tcBorders>
                  <w:vAlign w:val="center"/>
                </w:tcPr>
                <w:p>
                  <w:pPr>
                    <w:adjustRightInd w:val="0"/>
                    <w:snapToGrid w:val="0"/>
                    <w:jc w:val="center"/>
                    <w:rPr>
                      <w:szCs w:val="21"/>
                    </w:rPr>
                  </w:pPr>
                  <w:r>
                    <w:rPr>
                      <w:rFonts w:hint="eastAsia"/>
                      <w:szCs w:val="21"/>
                    </w:rPr>
                    <w:t>硫化氢</w:t>
                  </w:r>
                </w:p>
              </w:tc>
              <w:tc>
                <w:tcPr>
                  <w:tcW w:w="554" w:type="pct"/>
                  <w:tcBorders>
                    <w:tl2br w:val="nil"/>
                    <w:tr2bl w:val="nil"/>
                  </w:tcBorders>
                  <w:vAlign w:val="center"/>
                </w:tcPr>
                <w:p>
                  <w:pPr>
                    <w:adjustRightInd w:val="0"/>
                    <w:snapToGrid w:val="0"/>
                    <w:jc w:val="center"/>
                    <w:rPr>
                      <w:szCs w:val="21"/>
                    </w:rPr>
                  </w:pPr>
                  <w:r>
                    <w:rPr>
                      <w:rFonts w:hint="eastAsia"/>
                      <w:szCs w:val="21"/>
                    </w:rPr>
                    <w:t>ND</w:t>
                  </w:r>
                </w:p>
              </w:tc>
              <w:tc>
                <w:tcPr>
                  <w:tcW w:w="554" w:type="pct"/>
                  <w:tcBorders>
                    <w:tl2br w:val="nil"/>
                    <w:tr2bl w:val="nil"/>
                  </w:tcBorders>
                  <w:vAlign w:val="center"/>
                </w:tcPr>
                <w:p>
                  <w:pPr>
                    <w:adjustRightInd w:val="0"/>
                    <w:snapToGrid w:val="0"/>
                    <w:jc w:val="center"/>
                    <w:rPr>
                      <w:szCs w:val="21"/>
                    </w:rPr>
                  </w:pPr>
                  <w:r>
                    <w:rPr>
                      <w:rFonts w:hint="eastAsia"/>
                      <w:szCs w:val="21"/>
                    </w:rPr>
                    <w:t>ND</w:t>
                  </w:r>
                </w:p>
              </w:tc>
              <w:tc>
                <w:tcPr>
                  <w:tcW w:w="554" w:type="pct"/>
                  <w:tcBorders>
                    <w:tl2br w:val="nil"/>
                    <w:tr2bl w:val="nil"/>
                  </w:tcBorders>
                  <w:vAlign w:val="center"/>
                </w:tcPr>
                <w:p>
                  <w:pPr>
                    <w:adjustRightInd w:val="0"/>
                    <w:snapToGrid w:val="0"/>
                    <w:jc w:val="center"/>
                    <w:rPr>
                      <w:szCs w:val="21"/>
                    </w:rPr>
                  </w:pPr>
                  <w:r>
                    <w:rPr>
                      <w:rFonts w:hint="eastAsia"/>
                      <w:szCs w:val="21"/>
                    </w:rPr>
                    <w:t>ND</w:t>
                  </w:r>
                </w:p>
              </w:tc>
              <w:tc>
                <w:tcPr>
                  <w:tcW w:w="554" w:type="pct"/>
                  <w:tcBorders>
                    <w:tl2br w:val="nil"/>
                    <w:tr2bl w:val="nil"/>
                  </w:tcBorders>
                  <w:vAlign w:val="center"/>
                </w:tcPr>
                <w:p>
                  <w:pPr>
                    <w:adjustRightInd w:val="0"/>
                    <w:snapToGrid w:val="0"/>
                    <w:jc w:val="center"/>
                    <w:rPr>
                      <w:szCs w:val="21"/>
                    </w:rPr>
                  </w:pPr>
                  <w:r>
                    <w:rPr>
                      <w:rFonts w:hint="eastAsia"/>
                      <w:szCs w:val="21"/>
                    </w:rPr>
                    <w:t>ND</w:t>
                  </w:r>
                </w:p>
              </w:tc>
              <w:tc>
                <w:tcPr>
                  <w:tcW w:w="554" w:type="pct"/>
                  <w:tcBorders>
                    <w:tl2br w:val="nil"/>
                    <w:tr2bl w:val="nil"/>
                  </w:tcBorders>
                  <w:vAlign w:val="center"/>
                </w:tcPr>
                <w:p>
                  <w:pPr>
                    <w:adjustRightInd w:val="0"/>
                    <w:snapToGrid w:val="0"/>
                    <w:jc w:val="center"/>
                    <w:rPr>
                      <w:szCs w:val="21"/>
                    </w:rPr>
                  </w:pPr>
                  <w:r>
                    <w:rPr>
                      <w:rFonts w:hint="eastAsia"/>
                      <w:szCs w:val="21"/>
                    </w:rPr>
                    <w:t>ND</w:t>
                  </w:r>
                </w:p>
              </w:tc>
              <w:tc>
                <w:tcPr>
                  <w:tcW w:w="554" w:type="pct"/>
                  <w:tcBorders>
                    <w:tl2br w:val="nil"/>
                    <w:tr2bl w:val="nil"/>
                  </w:tcBorders>
                  <w:vAlign w:val="center"/>
                </w:tcPr>
                <w:p>
                  <w:pPr>
                    <w:adjustRightInd w:val="0"/>
                    <w:snapToGrid w:val="0"/>
                    <w:jc w:val="center"/>
                    <w:rPr>
                      <w:szCs w:val="21"/>
                    </w:rPr>
                  </w:pPr>
                  <w:r>
                    <w:rPr>
                      <w:rFonts w:hint="eastAsia"/>
                      <w:szCs w:val="21"/>
                    </w:rPr>
                    <w:t>ND</w:t>
                  </w:r>
                </w:p>
              </w:tc>
              <w:tc>
                <w:tcPr>
                  <w:tcW w:w="557" w:type="pct"/>
                  <w:tcBorders>
                    <w:tl2br w:val="nil"/>
                    <w:tr2bl w:val="nil"/>
                  </w:tcBorders>
                  <w:vAlign w:val="center"/>
                </w:tcPr>
                <w:p>
                  <w:pPr>
                    <w:adjustRightInd w:val="0"/>
                    <w:snapToGrid w:val="0"/>
                    <w:jc w:val="center"/>
                    <w:rPr>
                      <w:szCs w:val="21"/>
                    </w:rPr>
                  </w:pPr>
                  <w:r>
                    <w:rPr>
                      <w:rFonts w:hint="eastAsia"/>
                      <w:szCs w:val="21"/>
                    </w:rPr>
                    <w:t>ND</w:t>
                  </w:r>
                </w:p>
              </w:tc>
            </w:tr>
          </w:tbl>
          <w:p>
            <w:pPr>
              <w:adjustRightInd w:val="0"/>
              <w:snapToGrid w:val="0"/>
              <w:spacing w:line="360" w:lineRule="auto"/>
              <w:ind w:firstLine="480" w:firstLineChars="200"/>
              <w:rPr>
                <w:bCs/>
                <w:sz w:val="24"/>
              </w:rPr>
            </w:pPr>
            <w:r>
              <w:rPr>
                <w:rFonts w:hint="eastAsia"/>
                <w:color w:val="000000"/>
                <w:sz w:val="24"/>
              </w:rPr>
              <w:t>通过统计结果可见，监测期间，监测点位的被监测因子氨、硫化氢均未检出，因此项目周边环境质量良好。</w:t>
            </w:r>
          </w:p>
          <w:p>
            <w:pPr>
              <w:keepNext/>
              <w:keepLines/>
              <w:adjustRightInd w:val="0"/>
              <w:snapToGrid w:val="0"/>
              <w:spacing w:line="360" w:lineRule="auto"/>
              <w:ind w:firstLine="482" w:firstLineChars="200"/>
              <w:outlineLvl w:val="2"/>
              <w:rPr>
                <w:b/>
                <w:bCs/>
                <w:color w:val="000000"/>
                <w:sz w:val="24"/>
                <w:szCs w:val="22"/>
              </w:rPr>
            </w:pPr>
            <w:bookmarkStart w:id="7" w:name="_Toc411767823"/>
            <w:bookmarkStart w:id="8" w:name="_Toc411767825"/>
            <w:r>
              <w:rPr>
                <w:b/>
                <w:bCs/>
                <w:color w:val="000000"/>
                <w:sz w:val="24"/>
                <w:szCs w:val="22"/>
              </w:rPr>
              <w:t>2、地表水环境质量现状</w:t>
            </w:r>
            <w:bookmarkEnd w:id="7"/>
          </w:p>
          <w:p>
            <w:pPr>
              <w:tabs>
                <w:tab w:val="left" w:pos="1230"/>
              </w:tabs>
              <w:adjustRightInd w:val="0"/>
              <w:snapToGrid w:val="0"/>
              <w:spacing w:line="360" w:lineRule="auto"/>
              <w:ind w:firstLine="480" w:firstLineChars="200"/>
              <w:rPr>
                <w:sz w:val="24"/>
                <w:szCs w:val="20"/>
                <w:u w:val="single"/>
              </w:rPr>
            </w:pPr>
            <w:bookmarkStart w:id="9" w:name="_Toc411767824"/>
            <w:bookmarkStart w:id="10" w:name="OLE_LINK6"/>
            <w:r>
              <w:rPr>
                <w:color w:val="000000"/>
                <w:kern w:val="0"/>
                <w:sz w:val="24"/>
              </w:rPr>
              <w:t>为了解项目附近地表水水质现状，本次评价地表水环境质量监测数据引用于永州市生态环境局发布的《关于2021年12月份全市环境质量状况的通报》（永生环委办【2022】5号）统计的环境监测结果</w:t>
            </w:r>
            <w:r>
              <w:rPr>
                <w:rFonts w:hint="eastAsia"/>
                <w:color w:val="000000"/>
                <w:kern w:val="0"/>
                <w:sz w:val="24"/>
              </w:rPr>
              <w:t>，新田河大历县村监测断面与本项目的距离约8.16km，且该监测点位于本项目下游，能有效代表本项目周边水环境质量现状</w:t>
            </w:r>
            <w:r>
              <w:rPr>
                <w:color w:val="000000"/>
                <w:kern w:val="0"/>
                <w:sz w:val="24"/>
              </w:rPr>
              <w:t>。</w:t>
            </w:r>
            <w:r>
              <w:rPr>
                <w:color w:val="000000"/>
                <w:kern w:val="0"/>
                <w:sz w:val="24"/>
                <w:u w:val="single"/>
              </w:rPr>
              <w:t>新田河大历县村监测断面</w:t>
            </w:r>
            <w:r>
              <w:rPr>
                <w:rFonts w:hint="eastAsia"/>
                <w:color w:val="000000"/>
                <w:kern w:val="0"/>
                <w:sz w:val="24"/>
                <w:u w:val="single"/>
              </w:rPr>
              <w:t>所在水功能区为新田河金陵～龙泉保留区。</w:t>
            </w:r>
            <w:r>
              <w:rPr>
                <w:color w:val="000000"/>
                <w:kern w:val="0"/>
                <w:sz w:val="24"/>
              </w:rPr>
              <w:t>具体水质情况详见下图。</w:t>
            </w:r>
          </w:p>
          <w:p>
            <w:pPr>
              <w:tabs>
                <w:tab w:val="left" w:pos="1230"/>
              </w:tabs>
              <w:adjustRightInd w:val="0"/>
              <w:snapToGrid w:val="0"/>
              <w:spacing w:line="360" w:lineRule="auto"/>
              <w:rPr>
                <w:sz w:val="24"/>
                <w:szCs w:val="20"/>
                <w:u w:val="single"/>
              </w:rPr>
            </w:pPr>
            <w:r>
              <w:rPr>
                <w:sz w:val="24"/>
              </w:rPr>
              <mc:AlternateContent>
                <mc:Choice Requires="wps">
                  <w:drawing>
                    <wp:anchor distT="0" distB="0" distL="114300" distR="114300" simplePos="0" relativeHeight="251660288" behindDoc="0" locked="0" layoutInCell="1" allowOverlap="1">
                      <wp:simplePos x="0" y="0"/>
                      <wp:positionH relativeFrom="column">
                        <wp:posOffset>201930</wp:posOffset>
                      </wp:positionH>
                      <wp:positionV relativeFrom="paragraph">
                        <wp:posOffset>1301115</wp:posOffset>
                      </wp:positionV>
                      <wp:extent cx="4772025" cy="142875"/>
                      <wp:effectExtent l="13970" t="13970" r="14605" b="14605"/>
                      <wp:wrapNone/>
                      <wp:docPr id="11" name="矩形 11"/>
                      <wp:cNvGraphicFramePr/>
                      <a:graphic xmlns:a="http://schemas.openxmlformats.org/drawingml/2006/main">
                        <a:graphicData uri="http://schemas.microsoft.com/office/word/2010/wordprocessingShape">
                          <wps:wsp>
                            <wps:cNvSpPr/>
                            <wps:spPr>
                              <a:xfrm>
                                <a:off x="0" y="0"/>
                                <a:ext cx="4772025" cy="142875"/>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5.9pt;margin-top:102.45pt;height:11.25pt;width:375.75pt;z-index:251660288;v-text-anchor:middle;mso-width-relative:page;mso-height-relative:page;" filled="f" stroked="t" coordsize="21600,21600" o:gfxdata="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AV66342QAAAAoBAAAPAAAAAAAAAAEAIAAAACIAAABkcnMvZG93bnJldi54bWxQSwEC&#10;FAAUAAAACACHTuJASXQM1mUCAADBBAAADgAAAAAAAAABACAAAAAoAQAAZHJzL2Uyb0RvYy54bWxQ&#10;SwUGAAAAAAYABgBZAQAA/wUAAAAA&#10;">
                      <v:fill on="f" focussize="0,0"/>
                      <v:stroke weight="2.25pt" color="#FF0000 [3204]" joinstyle="round"/>
                      <v:imagedata o:title=""/>
                      <o:lock v:ext="edit" aspectratio="f"/>
                      <v:textbox>
                        <w:txbxContent>
                          <w:p>
                            <w:pPr>
                              <w:jc w:val="center"/>
                            </w:pPr>
                          </w:p>
                        </w:txbxContent>
                      </v:textbox>
                    </v:rect>
                  </w:pict>
                </mc:Fallback>
              </mc:AlternateContent>
            </w:r>
            <w:r>
              <w:rPr>
                <w:sz w:val="24"/>
                <w:szCs w:val="20"/>
                <w:u w:val="single"/>
              </w:rPr>
              <w:drawing>
                <wp:inline distT="0" distB="0" distL="114300" distR="114300">
                  <wp:extent cx="5012055" cy="1996440"/>
                  <wp:effectExtent l="0" t="0" r="17145" b="3810"/>
                  <wp:docPr id="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pic:cNvPicPr>
                            <a:picLocks noChangeAspect="1"/>
                          </pic:cNvPicPr>
                        </pic:nvPicPr>
                        <pic:blipFill>
                          <a:blip r:embed="rId11"/>
                          <a:stretch>
                            <a:fillRect/>
                          </a:stretch>
                        </pic:blipFill>
                        <pic:spPr>
                          <a:xfrm>
                            <a:off x="0" y="0"/>
                            <a:ext cx="5012055" cy="1996440"/>
                          </a:xfrm>
                          <a:prstGeom prst="rect">
                            <a:avLst/>
                          </a:prstGeom>
                          <a:noFill/>
                          <a:ln>
                            <a:noFill/>
                          </a:ln>
                        </pic:spPr>
                      </pic:pic>
                    </a:graphicData>
                  </a:graphic>
                </wp:inline>
              </w:drawing>
            </w:r>
          </w:p>
          <w:p>
            <w:pPr>
              <w:tabs>
                <w:tab w:val="left" w:pos="1230"/>
              </w:tabs>
              <w:adjustRightInd w:val="0"/>
              <w:snapToGrid w:val="0"/>
              <w:spacing w:line="360" w:lineRule="auto"/>
              <w:ind w:firstLine="480" w:firstLineChars="200"/>
              <w:rPr>
                <w:sz w:val="24"/>
                <w:szCs w:val="20"/>
                <w:u w:val="single"/>
              </w:rPr>
            </w:pPr>
            <w:r>
              <w:rPr>
                <w:color w:val="000000"/>
                <w:kern w:val="0"/>
                <w:sz w:val="24"/>
              </w:rPr>
              <w:t>由上</w:t>
            </w:r>
            <w:r>
              <w:rPr>
                <w:rFonts w:hint="eastAsia"/>
                <w:color w:val="000000"/>
                <w:kern w:val="0"/>
                <w:sz w:val="24"/>
              </w:rPr>
              <w:t>图</w:t>
            </w:r>
            <w:r>
              <w:rPr>
                <w:color w:val="000000"/>
                <w:kern w:val="0"/>
                <w:sz w:val="24"/>
              </w:rPr>
              <w:t>可知，</w:t>
            </w:r>
            <w:r>
              <w:rPr>
                <w:rFonts w:hint="eastAsia"/>
                <w:color w:val="000000"/>
                <w:kern w:val="0"/>
                <w:sz w:val="24"/>
              </w:rPr>
              <w:t>新田河大历县村断面</w:t>
            </w:r>
            <w:r>
              <w:rPr>
                <w:color w:val="000000"/>
                <w:kern w:val="0"/>
                <w:sz w:val="24"/>
              </w:rPr>
              <w:t>水质</w:t>
            </w:r>
            <w:r>
              <w:rPr>
                <w:rFonts w:hint="eastAsia"/>
                <w:color w:val="000000"/>
                <w:kern w:val="0"/>
                <w:sz w:val="24"/>
              </w:rPr>
              <w:t>均可达到</w:t>
            </w:r>
            <w:r>
              <w:rPr>
                <w:color w:val="000000"/>
                <w:kern w:val="0"/>
                <w:sz w:val="24"/>
              </w:rPr>
              <w:t>《地表水环境质量标准》(GB3838-2002)II类标准，由此，可判断</w:t>
            </w:r>
            <w:r>
              <w:rPr>
                <w:rFonts w:hint="eastAsia"/>
                <w:color w:val="000000"/>
                <w:kern w:val="0"/>
                <w:sz w:val="24"/>
              </w:rPr>
              <w:t>新田河</w:t>
            </w:r>
            <w:r>
              <w:rPr>
                <w:color w:val="000000"/>
                <w:kern w:val="0"/>
                <w:sz w:val="24"/>
              </w:rPr>
              <w:t>水质环境质量良好</w:t>
            </w:r>
            <w:r>
              <w:rPr>
                <w:color w:val="000000"/>
                <w:sz w:val="24"/>
              </w:rPr>
              <w:t>。</w:t>
            </w:r>
          </w:p>
          <w:p>
            <w:pPr>
              <w:keepNext/>
              <w:keepLines/>
              <w:adjustRightInd w:val="0"/>
              <w:snapToGrid w:val="0"/>
              <w:spacing w:line="360" w:lineRule="auto"/>
              <w:ind w:firstLine="482" w:firstLineChars="200"/>
              <w:outlineLvl w:val="2"/>
              <w:rPr>
                <w:b/>
                <w:bCs/>
                <w:color w:val="000000"/>
                <w:sz w:val="24"/>
                <w:szCs w:val="22"/>
              </w:rPr>
            </w:pPr>
            <w:r>
              <w:rPr>
                <w:b/>
                <w:bCs/>
                <w:color w:val="000000"/>
                <w:sz w:val="24"/>
                <w:szCs w:val="22"/>
              </w:rPr>
              <w:t>3、声环境质量现状</w:t>
            </w:r>
            <w:bookmarkEnd w:id="9"/>
          </w:p>
          <w:p>
            <w:pPr>
              <w:adjustRightInd w:val="0"/>
              <w:snapToGrid w:val="0"/>
              <w:spacing w:line="360" w:lineRule="auto"/>
              <w:ind w:firstLine="480" w:firstLineChars="200"/>
              <w:rPr>
                <w:color w:val="000000"/>
                <w:sz w:val="24"/>
              </w:rPr>
            </w:pPr>
            <w:r>
              <w:rPr>
                <w:color w:val="000000"/>
                <w:sz w:val="24"/>
              </w:rPr>
              <w:t>为了解项目区声环境现状情况，本项目委托</w:t>
            </w:r>
            <w:r>
              <w:rPr>
                <w:rFonts w:hint="eastAsia"/>
                <w:color w:val="000000"/>
                <w:sz w:val="24"/>
              </w:rPr>
              <w:t>湖南中额环保科技有限公司</w:t>
            </w:r>
            <w:r>
              <w:rPr>
                <w:color w:val="000000"/>
                <w:sz w:val="24"/>
              </w:rPr>
              <w:t>对</w:t>
            </w:r>
            <w:r>
              <w:rPr>
                <w:rFonts w:hint="eastAsia"/>
                <w:color w:val="000000"/>
                <w:sz w:val="24"/>
              </w:rPr>
              <w:t>项目</w:t>
            </w:r>
            <w:r>
              <w:rPr>
                <w:color w:val="000000"/>
                <w:sz w:val="24"/>
              </w:rPr>
              <w:t>厂界四周进行了昼夜间噪声现状布点监测，监测时间为202</w:t>
            </w:r>
            <w:r>
              <w:rPr>
                <w:rFonts w:hint="eastAsia"/>
                <w:color w:val="000000"/>
                <w:sz w:val="24"/>
              </w:rPr>
              <w:t>2</w:t>
            </w:r>
            <w:r>
              <w:rPr>
                <w:color w:val="000000"/>
                <w:sz w:val="24"/>
              </w:rPr>
              <w:t>年</w:t>
            </w:r>
            <w:r>
              <w:rPr>
                <w:rFonts w:hint="eastAsia"/>
                <w:color w:val="000000"/>
                <w:sz w:val="24"/>
              </w:rPr>
              <w:t>02</w:t>
            </w:r>
            <w:r>
              <w:rPr>
                <w:color w:val="000000"/>
                <w:sz w:val="24"/>
              </w:rPr>
              <w:t>月</w:t>
            </w:r>
            <w:r>
              <w:rPr>
                <w:rFonts w:hint="eastAsia"/>
                <w:color w:val="000000"/>
                <w:sz w:val="24"/>
              </w:rPr>
              <w:t>14</w:t>
            </w:r>
            <w:r>
              <w:rPr>
                <w:color w:val="000000"/>
                <w:sz w:val="24"/>
              </w:rPr>
              <w:t>日~</w:t>
            </w:r>
            <w:r>
              <w:rPr>
                <w:rFonts w:hint="eastAsia"/>
                <w:color w:val="000000"/>
                <w:sz w:val="24"/>
              </w:rPr>
              <w:t>02</w:t>
            </w:r>
            <w:r>
              <w:rPr>
                <w:color w:val="000000"/>
                <w:sz w:val="24"/>
              </w:rPr>
              <w:t>月</w:t>
            </w:r>
            <w:r>
              <w:rPr>
                <w:rFonts w:hint="eastAsia"/>
                <w:color w:val="000000"/>
                <w:sz w:val="24"/>
              </w:rPr>
              <w:t>15日</w:t>
            </w:r>
            <w:r>
              <w:rPr>
                <w:color w:val="000000"/>
                <w:sz w:val="24"/>
              </w:rPr>
              <w:t>。此次监测共布设</w:t>
            </w:r>
            <w:r>
              <w:rPr>
                <w:rFonts w:hint="eastAsia"/>
                <w:color w:val="000000"/>
                <w:sz w:val="24"/>
              </w:rPr>
              <w:t>4</w:t>
            </w:r>
            <w:r>
              <w:rPr>
                <w:color w:val="000000"/>
                <w:sz w:val="24"/>
              </w:rPr>
              <w:t>个监测点分别为N1、N2、N3、N4。</w:t>
            </w:r>
          </w:p>
          <w:p>
            <w:pPr>
              <w:adjustRightInd w:val="0"/>
              <w:snapToGrid w:val="0"/>
              <w:spacing w:line="360" w:lineRule="auto"/>
              <w:ind w:firstLine="480" w:firstLineChars="200"/>
              <w:textAlignment w:val="baseline"/>
              <w:rPr>
                <w:bCs/>
                <w:color w:val="000000"/>
                <w:sz w:val="24"/>
              </w:rPr>
            </w:pPr>
            <w:r>
              <w:rPr>
                <w:color w:val="000000"/>
                <w:sz w:val="24"/>
              </w:rPr>
              <w:t>监测结果见表3-</w:t>
            </w:r>
            <w:r>
              <w:rPr>
                <w:rFonts w:hint="eastAsia"/>
                <w:color w:val="000000"/>
                <w:sz w:val="24"/>
              </w:rPr>
              <w:t>3</w:t>
            </w:r>
            <w:r>
              <w:rPr>
                <w:color w:val="000000"/>
                <w:sz w:val="24"/>
              </w:rPr>
              <w:t>。</w:t>
            </w:r>
          </w:p>
          <w:p>
            <w:pPr>
              <w:adjustRightInd w:val="0"/>
              <w:snapToGrid w:val="0"/>
              <w:ind w:firstLine="422" w:firstLineChars="200"/>
              <w:jc w:val="center"/>
              <w:rPr>
                <w:b/>
                <w:bCs/>
                <w:color w:val="000000"/>
                <w:szCs w:val="21"/>
              </w:rPr>
            </w:pPr>
          </w:p>
          <w:p>
            <w:pPr>
              <w:adjustRightInd w:val="0"/>
              <w:snapToGrid w:val="0"/>
              <w:ind w:firstLine="422" w:firstLineChars="200"/>
              <w:jc w:val="center"/>
              <w:rPr>
                <w:b/>
                <w:bCs/>
                <w:color w:val="000000"/>
                <w:szCs w:val="21"/>
              </w:rPr>
            </w:pPr>
            <w:r>
              <w:rPr>
                <w:b/>
                <w:bCs/>
                <w:color w:val="000000"/>
                <w:szCs w:val="21"/>
              </w:rPr>
              <w:t>表3-</w:t>
            </w:r>
            <w:r>
              <w:rPr>
                <w:rFonts w:hint="eastAsia"/>
                <w:b/>
                <w:bCs/>
                <w:color w:val="000000"/>
                <w:szCs w:val="21"/>
              </w:rPr>
              <w:t xml:space="preserve">3 </w:t>
            </w:r>
            <w:r>
              <w:rPr>
                <w:b/>
                <w:bCs/>
                <w:color w:val="000000"/>
                <w:szCs w:val="21"/>
              </w:rPr>
              <w:t>声环境现状监测结果统计一览表</w:t>
            </w:r>
          </w:p>
          <w:tbl>
            <w:tblPr>
              <w:tblStyle w:val="2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49"/>
              <w:gridCol w:w="1369"/>
              <w:gridCol w:w="1380"/>
              <w:gridCol w:w="1369"/>
              <w:gridCol w:w="13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Header/>
                <w:jc w:val="center"/>
              </w:trPr>
              <w:tc>
                <w:tcPr>
                  <w:tcW w:w="1540" w:type="pct"/>
                  <w:vMerge w:val="restart"/>
                  <w:vAlign w:val="center"/>
                </w:tcPr>
                <w:p>
                  <w:pPr>
                    <w:adjustRightInd w:val="0"/>
                    <w:snapToGrid w:val="0"/>
                    <w:jc w:val="center"/>
                    <w:textAlignment w:val="baseline"/>
                    <w:rPr>
                      <w:color w:val="000000"/>
                      <w:szCs w:val="21"/>
                    </w:rPr>
                  </w:pPr>
                  <w:r>
                    <w:rPr>
                      <w:rFonts w:hint="eastAsia"/>
                      <w:color w:val="000000"/>
                      <w:szCs w:val="21"/>
                    </w:rPr>
                    <w:t>检测</w:t>
                  </w:r>
                  <w:r>
                    <w:rPr>
                      <w:color w:val="000000"/>
                      <w:szCs w:val="21"/>
                    </w:rPr>
                    <w:t>点位</w:t>
                  </w:r>
                </w:p>
              </w:tc>
              <w:tc>
                <w:tcPr>
                  <w:tcW w:w="3459" w:type="pct"/>
                  <w:gridSpan w:val="4"/>
                  <w:tcBorders>
                    <w:right w:val="single" w:color="000000" w:sz="4" w:space="0"/>
                  </w:tcBorders>
                  <w:vAlign w:val="center"/>
                </w:tcPr>
                <w:p>
                  <w:pPr>
                    <w:adjustRightInd w:val="0"/>
                    <w:snapToGrid w:val="0"/>
                    <w:jc w:val="center"/>
                    <w:textAlignment w:val="baseline"/>
                    <w:rPr>
                      <w:color w:val="000000"/>
                      <w:szCs w:val="21"/>
                    </w:rPr>
                  </w:pPr>
                  <w:r>
                    <w:rPr>
                      <w:rFonts w:hint="eastAsia"/>
                      <w:color w:val="000000"/>
                      <w:szCs w:val="21"/>
                    </w:rPr>
                    <w:t>检测结果（单位：dB（A））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Header/>
                <w:jc w:val="center"/>
              </w:trPr>
              <w:tc>
                <w:tcPr>
                  <w:tcW w:w="1540" w:type="pct"/>
                  <w:vMerge w:val="continue"/>
                  <w:vAlign w:val="center"/>
                </w:tcPr>
                <w:p>
                  <w:pPr>
                    <w:adjustRightInd w:val="0"/>
                    <w:snapToGrid w:val="0"/>
                    <w:jc w:val="center"/>
                    <w:textAlignment w:val="baseline"/>
                    <w:rPr>
                      <w:color w:val="000000"/>
                      <w:szCs w:val="21"/>
                    </w:rPr>
                  </w:pPr>
                </w:p>
              </w:tc>
              <w:tc>
                <w:tcPr>
                  <w:tcW w:w="1729" w:type="pct"/>
                  <w:gridSpan w:val="2"/>
                  <w:vAlign w:val="center"/>
                </w:tcPr>
                <w:p>
                  <w:pPr>
                    <w:adjustRightInd w:val="0"/>
                    <w:snapToGrid w:val="0"/>
                    <w:jc w:val="center"/>
                    <w:textAlignment w:val="baseline"/>
                    <w:rPr>
                      <w:color w:val="000000"/>
                      <w:szCs w:val="21"/>
                    </w:rPr>
                  </w:pPr>
                  <w:r>
                    <w:rPr>
                      <w:rFonts w:hint="eastAsia"/>
                      <w:color w:val="000000"/>
                      <w:szCs w:val="21"/>
                    </w:rPr>
                    <w:t>2022.02.14</w:t>
                  </w:r>
                </w:p>
              </w:tc>
              <w:tc>
                <w:tcPr>
                  <w:tcW w:w="1729" w:type="pct"/>
                  <w:gridSpan w:val="2"/>
                  <w:tcBorders>
                    <w:right w:val="single" w:color="000000" w:sz="4" w:space="0"/>
                  </w:tcBorders>
                  <w:vAlign w:val="center"/>
                </w:tcPr>
                <w:p>
                  <w:pPr>
                    <w:adjustRightInd w:val="0"/>
                    <w:snapToGrid w:val="0"/>
                    <w:jc w:val="center"/>
                    <w:textAlignment w:val="baseline"/>
                    <w:rPr>
                      <w:color w:val="000000"/>
                      <w:szCs w:val="21"/>
                    </w:rPr>
                  </w:pPr>
                  <w:r>
                    <w:rPr>
                      <w:rFonts w:hint="eastAsia"/>
                      <w:color w:val="000000"/>
                      <w:szCs w:val="21"/>
                    </w:rPr>
                    <w:t>2022.02.15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Header/>
                <w:jc w:val="center"/>
              </w:trPr>
              <w:tc>
                <w:tcPr>
                  <w:tcW w:w="1540" w:type="pct"/>
                  <w:vMerge w:val="continue"/>
                  <w:vAlign w:val="center"/>
                </w:tcPr>
                <w:p>
                  <w:pPr>
                    <w:adjustRightInd w:val="0"/>
                    <w:snapToGrid w:val="0"/>
                    <w:jc w:val="center"/>
                    <w:textAlignment w:val="baseline"/>
                    <w:rPr>
                      <w:color w:val="000000"/>
                      <w:szCs w:val="21"/>
                    </w:rPr>
                  </w:pPr>
                </w:p>
              </w:tc>
              <w:tc>
                <w:tcPr>
                  <w:tcW w:w="861" w:type="pct"/>
                  <w:tcBorders>
                    <w:right w:val="single" w:color="000000" w:sz="4" w:space="0"/>
                  </w:tcBorders>
                  <w:vAlign w:val="center"/>
                </w:tcPr>
                <w:p>
                  <w:pPr>
                    <w:adjustRightInd w:val="0"/>
                    <w:snapToGrid w:val="0"/>
                    <w:jc w:val="center"/>
                    <w:textAlignment w:val="baseline"/>
                    <w:rPr>
                      <w:color w:val="000000"/>
                      <w:szCs w:val="21"/>
                    </w:rPr>
                  </w:pPr>
                  <w:r>
                    <w:rPr>
                      <w:color w:val="000000"/>
                      <w:szCs w:val="21"/>
                    </w:rPr>
                    <w:t>昼间</w:t>
                  </w:r>
                </w:p>
              </w:tc>
              <w:tc>
                <w:tcPr>
                  <w:tcW w:w="868" w:type="pct"/>
                  <w:tcBorders>
                    <w:left w:val="single" w:color="000000" w:sz="4" w:space="0"/>
                  </w:tcBorders>
                  <w:vAlign w:val="center"/>
                </w:tcPr>
                <w:p>
                  <w:pPr>
                    <w:adjustRightInd w:val="0"/>
                    <w:snapToGrid w:val="0"/>
                    <w:jc w:val="center"/>
                    <w:textAlignment w:val="baseline"/>
                    <w:rPr>
                      <w:color w:val="000000"/>
                      <w:szCs w:val="21"/>
                    </w:rPr>
                  </w:pPr>
                  <w:r>
                    <w:rPr>
                      <w:color w:val="000000"/>
                      <w:szCs w:val="21"/>
                    </w:rPr>
                    <w:t>夜间</w:t>
                  </w:r>
                </w:p>
              </w:tc>
              <w:tc>
                <w:tcPr>
                  <w:tcW w:w="861" w:type="pct"/>
                  <w:tcBorders>
                    <w:right w:val="single" w:color="000000" w:sz="4" w:space="0"/>
                  </w:tcBorders>
                  <w:vAlign w:val="center"/>
                </w:tcPr>
                <w:p>
                  <w:pPr>
                    <w:adjustRightInd w:val="0"/>
                    <w:snapToGrid w:val="0"/>
                    <w:jc w:val="center"/>
                    <w:textAlignment w:val="baseline"/>
                    <w:rPr>
                      <w:color w:val="000000"/>
                      <w:szCs w:val="21"/>
                    </w:rPr>
                  </w:pPr>
                  <w:r>
                    <w:rPr>
                      <w:color w:val="000000"/>
                      <w:szCs w:val="21"/>
                    </w:rPr>
                    <w:t>昼间</w:t>
                  </w:r>
                </w:p>
              </w:tc>
              <w:tc>
                <w:tcPr>
                  <w:tcW w:w="868" w:type="pct"/>
                  <w:tcBorders>
                    <w:left w:val="single" w:color="000000" w:sz="4" w:space="0"/>
                    <w:right w:val="single" w:color="000000" w:sz="4" w:space="0"/>
                  </w:tcBorders>
                  <w:vAlign w:val="center"/>
                </w:tcPr>
                <w:p>
                  <w:pPr>
                    <w:adjustRightInd w:val="0"/>
                    <w:snapToGrid w:val="0"/>
                    <w:jc w:val="center"/>
                    <w:textAlignment w:val="baseline"/>
                    <w:rPr>
                      <w:color w:val="000000"/>
                      <w:szCs w:val="21"/>
                    </w:rPr>
                  </w:pPr>
                  <w:r>
                    <w:rPr>
                      <w:color w:val="000000"/>
                      <w:szCs w:val="21"/>
                    </w:rPr>
                    <w:t>夜间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Header/>
                <w:jc w:val="center"/>
              </w:trPr>
              <w:tc>
                <w:tcPr>
                  <w:tcW w:w="1540" w:type="pct"/>
                  <w:vAlign w:val="center"/>
                </w:tcPr>
                <w:p>
                  <w:pPr>
                    <w:adjustRightInd w:val="0"/>
                    <w:snapToGrid w:val="0"/>
                    <w:jc w:val="center"/>
                    <w:textAlignment w:val="baseline"/>
                    <w:rPr>
                      <w:color w:val="000000"/>
                      <w:szCs w:val="21"/>
                    </w:rPr>
                  </w:pPr>
                  <w:r>
                    <w:rPr>
                      <w:rFonts w:hint="eastAsia"/>
                      <w:color w:val="000000"/>
                      <w:szCs w:val="21"/>
                    </w:rPr>
                    <w:t>N1项目地北侧1m处</w:t>
                  </w:r>
                </w:p>
              </w:tc>
              <w:tc>
                <w:tcPr>
                  <w:tcW w:w="861" w:type="pct"/>
                  <w:tcBorders>
                    <w:right w:val="single" w:color="000000" w:sz="4" w:space="0"/>
                  </w:tcBorders>
                  <w:vAlign w:val="center"/>
                </w:tcPr>
                <w:p>
                  <w:pPr>
                    <w:adjustRightInd w:val="0"/>
                    <w:snapToGrid w:val="0"/>
                    <w:jc w:val="center"/>
                    <w:rPr>
                      <w:color w:val="000000"/>
                      <w:szCs w:val="21"/>
                    </w:rPr>
                  </w:pPr>
                  <w:r>
                    <w:rPr>
                      <w:rFonts w:hint="eastAsia"/>
                      <w:color w:val="000000"/>
                      <w:szCs w:val="21"/>
                    </w:rPr>
                    <w:t>56.2</w:t>
                  </w:r>
                </w:p>
              </w:tc>
              <w:tc>
                <w:tcPr>
                  <w:tcW w:w="868" w:type="pct"/>
                  <w:tcBorders>
                    <w:left w:val="single" w:color="000000" w:sz="4" w:space="0"/>
                  </w:tcBorders>
                  <w:vAlign w:val="center"/>
                </w:tcPr>
                <w:p>
                  <w:pPr>
                    <w:adjustRightInd w:val="0"/>
                    <w:snapToGrid w:val="0"/>
                    <w:jc w:val="center"/>
                    <w:rPr>
                      <w:color w:val="000000"/>
                      <w:szCs w:val="21"/>
                    </w:rPr>
                  </w:pPr>
                  <w:r>
                    <w:rPr>
                      <w:rFonts w:hint="eastAsia"/>
                      <w:color w:val="000000"/>
                      <w:szCs w:val="21"/>
                    </w:rPr>
                    <w:t>42.1</w:t>
                  </w:r>
                </w:p>
              </w:tc>
              <w:tc>
                <w:tcPr>
                  <w:tcW w:w="861" w:type="pct"/>
                  <w:tcBorders>
                    <w:right w:val="single" w:color="000000" w:sz="4" w:space="0"/>
                  </w:tcBorders>
                  <w:vAlign w:val="center"/>
                </w:tcPr>
                <w:p>
                  <w:pPr>
                    <w:adjustRightInd w:val="0"/>
                    <w:snapToGrid w:val="0"/>
                    <w:jc w:val="center"/>
                    <w:rPr>
                      <w:color w:val="000000"/>
                      <w:szCs w:val="21"/>
                    </w:rPr>
                  </w:pPr>
                  <w:r>
                    <w:rPr>
                      <w:rFonts w:hint="eastAsia"/>
                      <w:color w:val="000000"/>
                      <w:szCs w:val="21"/>
                    </w:rPr>
                    <w:t>57.2</w:t>
                  </w:r>
                </w:p>
              </w:tc>
              <w:tc>
                <w:tcPr>
                  <w:tcW w:w="868" w:type="pct"/>
                  <w:tcBorders>
                    <w:left w:val="single" w:color="000000" w:sz="4" w:space="0"/>
                    <w:right w:val="single" w:color="000000" w:sz="4" w:space="0"/>
                  </w:tcBorders>
                  <w:vAlign w:val="center"/>
                </w:tcPr>
                <w:p>
                  <w:pPr>
                    <w:adjustRightInd w:val="0"/>
                    <w:snapToGrid w:val="0"/>
                    <w:jc w:val="center"/>
                    <w:rPr>
                      <w:color w:val="000000"/>
                      <w:szCs w:val="21"/>
                    </w:rPr>
                  </w:pPr>
                  <w:r>
                    <w:rPr>
                      <w:rFonts w:hint="eastAsia"/>
                      <w:color w:val="000000"/>
                      <w:szCs w:val="21"/>
                    </w:rPr>
                    <w:t>43.7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Header/>
                <w:jc w:val="center"/>
              </w:trPr>
              <w:tc>
                <w:tcPr>
                  <w:tcW w:w="1540" w:type="pct"/>
                  <w:vAlign w:val="center"/>
                </w:tcPr>
                <w:p>
                  <w:pPr>
                    <w:adjustRightInd w:val="0"/>
                    <w:snapToGrid w:val="0"/>
                    <w:jc w:val="center"/>
                    <w:textAlignment w:val="baseline"/>
                    <w:rPr>
                      <w:color w:val="000000"/>
                      <w:szCs w:val="21"/>
                    </w:rPr>
                  </w:pPr>
                  <w:r>
                    <w:rPr>
                      <w:rFonts w:hint="eastAsia"/>
                      <w:color w:val="000000"/>
                      <w:szCs w:val="21"/>
                    </w:rPr>
                    <w:t>N2项目地东侧1m处</w:t>
                  </w:r>
                </w:p>
              </w:tc>
              <w:tc>
                <w:tcPr>
                  <w:tcW w:w="861" w:type="pct"/>
                  <w:vAlign w:val="center"/>
                </w:tcPr>
                <w:p>
                  <w:pPr>
                    <w:adjustRightInd w:val="0"/>
                    <w:snapToGrid w:val="0"/>
                    <w:jc w:val="center"/>
                    <w:rPr>
                      <w:color w:val="000000"/>
                      <w:szCs w:val="21"/>
                    </w:rPr>
                  </w:pPr>
                  <w:r>
                    <w:rPr>
                      <w:rFonts w:hint="eastAsia"/>
                      <w:color w:val="000000"/>
                      <w:szCs w:val="21"/>
                    </w:rPr>
                    <w:t>55.7</w:t>
                  </w:r>
                </w:p>
              </w:tc>
              <w:tc>
                <w:tcPr>
                  <w:tcW w:w="868" w:type="pct"/>
                  <w:vAlign w:val="center"/>
                </w:tcPr>
                <w:p>
                  <w:pPr>
                    <w:adjustRightInd w:val="0"/>
                    <w:snapToGrid w:val="0"/>
                    <w:jc w:val="center"/>
                    <w:rPr>
                      <w:color w:val="000000"/>
                      <w:szCs w:val="21"/>
                    </w:rPr>
                  </w:pPr>
                  <w:r>
                    <w:rPr>
                      <w:rFonts w:hint="eastAsia"/>
                      <w:color w:val="000000"/>
                      <w:szCs w:val="21"/>
                    </w:rPr>
                    <w:t>43.6</w:t>
                  </w:r>
                </w:p>
              </w:tc>
              <w:tc>
                <w:tcPr>
                  <w:tcW w:w="861" w:type="pct"/>
                  <w:tcBorders>
                    <w:right w:val="single" w:color="000000" w:sz="4" w:space="0"/>
                  </w:tcBorders>
                  <w:vAlign w:val="center"/>
                </w:tcPr>
                <w:p>
                  <w:pPr>
                    <w:adjustRightInd w:val="0"/>
                    <w:snapToGrid w:val="0"/>
                    <w:jc w:val="center"/>
                    <w:rPr>
                      <w:color w:val="000000"/>
                      <w:szCs w:val="21"/>
                    </w:rPr>
                  </w:pPr>
                  <w:r>
                    <w:rPr>
                      <w:rFonts w:hint="eastAsia"/>
                      <w:color w:val="000000"/>
                      <w:szCs w:val="21"/>
                    </w:rPr>
                    <w:t>56.1</w:t>
                  </w:r>
                </w:p>
              </w:tc>
              <w:tc>
                <w:tcPr>
                  <w:tcW w:w="868" w:type="pct"/>
                  <w:tcBorders>
                    <w:left w:val="single" w:color="000000" w:sz="4" w:space="0"/>
                    <w:right w:val="single" w:color="000000" w:sz="4" w:space="0"/>
                  </w:tcBorders>
                  <w:vAlign w:val="center"/>
                </w:tcPr>
                <w:p>
                  <w:pPr>
                    <w:adjustRightInd w:val="0"/>
                    <w:snapToGrid w:val="0"/>
                    <w:jc w:val="center"/>
                    <w:rPr>
                      <w:color w:val="000000"/>
                      <w:szCs w:val="21"/>
                    </w:rPr>
                  </w:pPr>
                  <w:r>
                    <w:rPr>
                      <w:rFonts w:hint="eastAsia"/>
                      <w:color w:val="000000"/>
                      <w:szCs w:val="21"/>
                    </w:rPr>
                    <w:t>43.1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Header/>
                <w:jc w:val="center"/>
              </w:trPr>
              <w:tc>
                <w:tcPr>
                  <w:tcW w:w="1540" w:type="pct"/>
                  <w:vAlign w:val="center"/>
                </w:tcPr>
                <w:p>
                  <w:pPr>
                    <w:adjustRightInd w:val="0"/>
                    <w:snapToGrid w:val="0"/>
                    <w:jc w:val="center"/>
                    <w:textAlignment w:val="baseline"/>
                    <w:rPr>
                      <w:color w:val="000000"/>
                      <w:szCs w:val="21"/>
                    </w:rPr>
                  </w:pPr>
                  <w:r>
                    <w:rPr>
                      <w:rFonts w:hint="eastAsia"/>
                      <w:color w:val="000000"/>
                      <w:szCs w:val="21"/>
                    </w:rPr>
                    <w:t>N3项目地南侧1m处</w:t>
                  </w:r>
                </w:p>
              </w:tc>
              <w:tc>
                <w:tcPr>
                  <w:tcW w:w="861" w:type="pct"/>
                  <w:vAlign w:val="center"/>
                </w:tcPr>
                <w:p>
                  <w:pPr>
                    <w:adjustRightInd w:val="0"/>
                    <w:snapToGrid w:val="0"/>
                    <w:jc w:val="center"/>
                    <w:rPr>
                      <w:color w:val="000000"/>
                      <w:szCs w:val="21"/>
                    </w:rPr>
                  </w:pPr>
                  <w:r>
                    <w:rPr>
                      <w:rFonts w:hint="eastAsia"/>
                      <w:color w:val="000000"/>
                      <w:szCs w:val="21"/>
                    </w:rPr>
                    <w:t>56.9</w:t>
                  </w:r>
                </w:p>
              </w:tc>
              <w:tc>
                <w:tcPr>
                  <w:tcW w:w="868" w:type="pct"/>
                  <w:vAlign w:val="center"/>
                </w:tcPr>
                <w:p>
                  <w:pPr>
                    <w:adjustRightInd w:val="0"/>
                    <w:snapToGrid w:val="0"/>
                    <w:jc w:val="center"/>
                    <w:rPr>
                      <w:color w:val="000000"/>
                      <w:szCs w:val="21"/>
                    </w:rPr>
                  </w:pPr>
                  <w:r>
                    <w:rPr>
                      <w:rFonts w:hint="eastAsia"/>
                      <w:color w:val="000000"/>
                      <w:szCs w:val="21"/>
                    </w:rPr>
                    <w:t>42.5</w:t>
                  </w:r>
                </w:p>
              </w:tc>
              <w:tc>
                <w:tcPr>
                  <w:tcW w:w="861" w:type="pct"/>
                  <w:tcBorders>
                    <w:right w:val="single" w:color="000000" w:sz="4" w:space="0"/>
                  </w:tcBorders>
                  <w:vAlign w:val="center"/>
                </w:tcPr>
                <w:p>
                  <w:pPr>
                    <w:adjustRightInd w:val="0"/>
                    <w:snapToGrid w:val="0"/>
                    <w:jc w:val="center"/>
                    <w:rPr>
                      <w:color w:val="000000"/>
                      <w:szCs w:val="21"/>
                    </w:rPr>
                  </w:pPr>
                  <w:r>
                    <w:rPr>
                      <w:rFonts w:hint="eastAsia"/>
                      <w:color w:val="000000"/>
                      <w:szCs w:val="21"/>
                    </w:rPr>
                    <w:t>55.3</w:t>
                  </w:r>
                </w:p>
              </w:tc>
              <w:tc>
                <w:tcPr>
                  <w:tcW w:w="868" w:type="pct"/>
                  <w:tcBorders>
                    <w:left w:val="single" w:color="000000" w:sz="4" w:space="0"/>
                    <w:right w:val="single" w:color="000000" w:sz="4" w:space="0"/>
                  </w:tcBorders>
                  <w:vAlign w:val="center"/>
                </w:tcPr>
                <w:p>
                  <w:pPr>
                    <w:adjustRightInd w:val="0"/>
                    <w:snapToGrid w:val="0"/>
                    <w:jc w:val="center"/>
                    <w:rPr>
                      <w:color w:val="000000"/>
                      <w:szCs w:val="21"/>
                    </w:rPr>
                  </w:pPr>
                  <w:r>
                    <w:rPr>
                      <w:rFonts w:hint="eastAsia"/>
                      <w:color w:val="000000"/>
                      <w:szCs w:val="21"/>
                    </w:rPr>
                    <w:t>42.8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Header/>
                <w:jc w:val="center"/>
              </w:trPr>
              <w:tc>
                <w:tcPr>
                  <w:tcW w:w="1540" w:type="pct"/>
                  <w:vAlign w:val="center"/>
                </w:tcPr>
                <w:p>
                  <w:pPr>
                    <w:adjustRightInd w:val="0"/>
                    <w:snapToGrid w:val="0"/>
                    <w:jc w:val="center"/>
                    <w:textAlignment w:val="baseline"/>
                    <w:rPr>
                      <w:color w:val="000000"/>
                      <w:szCs w:val="21"/>
                    </w:rPr>
                  </w:pPr>
                  <w:r>
                    <w:rPr>
                      <w:rFonts w:hint="eastAsia"/>
                      <w:color w:val="000000"/>
                      <w:szCs w:val="21"/>
                    </w:rPr>
                    <w:t>N4项目地西侧1m处</w:t>
                  </w:r>
                </w:p>
              </w:tc>
              <w:tc>
                <w:tcPr>
                  <w:tcW w:w="861" w:type="pct"/>
                  <w:vAlign w:val="center"/>
                </w:tcPr>
                <w:p>
                  <w:pPr>
                    <w:adjustRightInd w:val="0"/>
                    <w:snapToGrid w:val="0"/>
                    <w:jc w:val="center"/>
                    <w:rPr>
                      <w:color w:val="000000"/>
                      <w:szCs w:val="21"/>
                    </w:rPr>
                  </w:pPr>
                  <w:r>
                    <w:rPr>
                      <w:rFonts w:hint="eastAsia"/>
                      <w:color w:val="000000"/>
                      <w:szCs w:val="21"/>
                    </w:rPr>
                    <w:t>55.3</w:t>
                  </w:r>
                </w:p>
              </w:tc>
              <w:tc>
                <w:tcPr>
                  <w:tcW w:w="868" w:type="pct"/>
                  <w:vAlign w:val="center"/>
                </w:tcPr>
                <w:p>
                  <w:pPr>
                    <w:adjustRightInd w:val="0"/>
                    <w:snapToGrid w:val="0"/>
                    <w:jc w:val="center"/>
                    <w:rPr>
                      <w:color w:val="000000"/>
                      <w:szCs w:val="21"/>
                    </w:rPr>
                  </w:pPr>
                  <w:r>
                    <w:rPr>
                      <w:rFonts w:hint="eastAsia"/>
                      <w:color w:val="000000"/>
                      <w:szCs w:val="21"/>
                    </w:rPr>
                    <w:t>43.2</w:t>
                  </w:r>
                </w:p>
              </w:tc>
              <w:tc>
                <w:tcPr>
                  <w:tcW w:w="861" w:type="pct"/>
                  <w:tcBorders>
                    <w:right w:val="single" w:color="000000" w:sz="4" w:space="0"/>
                  </w:tcBorders>
                  <w:vAlign w:val="center"/>
                </w:tcPr>
                <w:p>
                  <w:pPr>
                    <w:adjustRightInd w:val="0"/>
                    <w:snapToGrid w:val="0"/>
                    <w:jc w:val="center"/>
                    <w:rPr>
                      <w:color w:val="000000"/>
                      <w:szCs w:val="21"/>
                    </w:rPr>
                  </w:pPr>
                  <w:r>
                    <w:rPr>
                      <w:rFonts w:hint="eastAsia"/>
                      <w:color w:val="000000"/>
                      <w:szCs w:val="21"/>
                    </w:rPr>
                    <w:t>55.0</w:t>
                  </w:r>
                </w:p>
              </w:tc>
              <w:tc>
                <w:tcPr>
                  <w:tcW w:w="868" w:type="pct"/>
                  <w:tcBorders>
                    <w:left w:val="single" w:color="000000" w:sz="4" w:space="0"/>
                    <w:right w:val="single" w:color="000000" w:sz="4" w:space="0"/>
                  </w:tcBorders>
                  <w:vAlign w:val="center"/>
                </w:tcPr>
                <w:p>
                  <w:pPr>
                    <w:adjustRightInd w:val="0"/>
                    <w:snapToGrid w:val="0"/>
                    <w:jc w:val="center"/>
                    <w:rPr>
                      <w:color w:val="000000"/>
                      <w:szCs w:val="21"/>
                    </w:rPr>
                  </w:pPr>
                  <w:r>
                    <w:rPr>
                      <w:rFonts w:hint="eastAsia"/>
                      <w:color w:val="000000"/>
                      <w:szCs w:val="21"/>
                    </w:rPr>
                    <w:t>43.4</w:t>
                  </w:r>
                </w:p>
              </w:tc>
            </w:tr>
          </w:tbl>
          <w:p>
            <w:pPr>
              <w:adjustRightInd w:val="0"/>
              <w:snapToGrid w:val="0"/>
              <w:spacing w:line="360" w:lineRule="auto"/>
              <w:ind w:firstLine="480" w:firstLineChars="200"/>
              <w:rPr>
                <w:b/>
                <w:bCs/>
                <w:color w:val="000000"/>
                <w:kern w:val="0"/>
                <w:sz w:val="24"/>
              </w:rPr>
            </w:pPr>
            <w:r>
              <w:rPr>
                <w:color w:val="000000"/>
                <w:sz w:val="24"/>
              </w:rPr>
              <w:t>从上表可知，</w:t>
            </w:r>
            <w:r>
              <w:rPr>
                <w:rFonts w:hint="eastAsia"/>
                <w:color w:val="000000"/>
                <w:sz w:val="24"/>
              </w:rPr>
              <w:t>项目</w:t>
            </w:r>
            <w:r>
              <w:rPr>
                <w:color w:val="000000"/>
                <w:sz w:val="24"/>
              </w:rPr>
              <w:t>所在地东侧、南侧、西侧、北侧昼夜声环境质量符合《声环境质量标准》（GB3096-2008）中2类标准。</w:t>
            </w:r>
          </w:p>
          <w:p>
            <w:pPr>
              <w:adjustRightInd w:val="0"/>
              <w:snapToGrid w:val="0"/>
              <w:spacing w:line="360" w:lineRule="auto"/>
              <w:ind w:firstLine="482" w:firstLineChars="200"/>
              <w:rPr>
                <w:b/>
                <w:bCs/>
                <w:sz w:val="24"/>
              </w:rPr>
            </w:pPr>
            <w:r>
              <w:rPr>
                <w:b/>
                <w:bCs/>
                <w:color w:val="000000"/>
                <w:sz w:val="24"/>
                <w:szCs w:val="22"/>
              </w:rPr>
              <w:t>4、</w:t>
            </w:r>
            <w:r>
              <w:rPr>
                <w:b/>
                <w:bCs/>
                <w:sz w:val="24"/>
              </w:rPr>
              <w:t>地下水</w:t>
            </w:r>
            <w:r>
              <w:rPr>
                <w:rFonts w:hint="eastAsia"/>
                <w:b/>
                <w:bCs/>
                <w:sz w:val="24"/>
              </w:rPr>
              <w:t>、土壤</w:t>
            </w:r>
            <w:r>
              <w:rPr>
                <w:b/>
                <w:bCs/>
                <w:sz w:val="24"/>
              </w:rPr>
              <w:t>质量现状</w:t>
            </w:r>
          </w:p>
          <w:p>
            <w:pPr>
              <w:adjustRightInd w:val="0"/>
              <w:snapToGrid w:val="0"/>
              <w:spacing w:line="360" w:lineRule="auto"/>
              <w:ind w:firstLine="480" w:firstLineChars="200"/>
              <w:rPr>
                <w:color w:val="000000"/>
                <w:sz w:val="24"/>
                <w:szCs w:val="22"/>
              </w:rPr>
            </w:pPr>
            <w:r>
              <w:rPr>
                <w:rFonts w:hint="eastAsia"/>
                <w:sz w:val="24"/>
              </w:rPr>
              <w:t>因项目厂区已铺设水泥板，且项目不存在土壤和地下水的污染途径，根据《建设项目环境影响报告表编制技术指南（污染影响类）</w:t>
            </w:r>
            <w:r>
              <w:rPr>
                <w:rFonts w:hint="eastAsia"/>
                <w:sz w:val="24"/>
                <w:lang w:eastAsia="zh-CN"/>
              </w:rPr>
              <w:t>（试行）》</w:t>
            </w:r>
            <w:r>
              <w:rPr>
                <w:rFonts w:hint="eastAsia"/>
                <w:sz w:val="24"/>
              </w:rPr>
              <w:t>要求，可不开展地下水和土壤环境质量现状调查。</w:t>
            </w:r>
          </w:p>
          <w:p>
            <w:pPr>
              <w:adjustRightInd w:val="0"/>
              <w:snapToGrid w:val="0"/>
              <w:spacing w:line="360" w:lineRule="auto"/>
              <w:ind w:firstLine="482" w:firstLineChars="200"/>
              <w:rPr>
                <w:b/>
                <w:bCs/>
                <w:color w:val="000000"/>
                <w:sz w:val="24"/>
                <w:szCs w:val="22"/>
              </w:rPr>
            </w:pPr>
            <w:r>
              <w:rPr>
                <w:rFonts w:hint="eastAsia"/>
                <w:b/>
                <w:bCs/>
                <w:color w:val="000000"/>
                <w:sz w:val="24"/>
                <w:szCs w:val="22"/>
              </w:rPr>
              <w:t>5、</w:t>
            </w:r>
            <w:r>
              <w:rPr>
                <w:b/>
                <w:bCs/>
                <w:color w:val="000000"/>
                <w:sz w:val="24"/>
                <w:szCs w:val="22"/>
              </w:rPr>
              <w:t>电磁辐射</w:t>
            </w:r>
          </w:p>
          <w:p>
            <w:pPr>
              <w:adjustRightInd w:val="0"/>
              <w:snapToGrid w:val="0"/>
              <w:spacing w:line="360" w:lineRule="auto"/>
              <w:ind w:firstLine="480" w:firstLineChars="200"/>
              <w:rPr>
                <w:sz w:val="24"/>
                <w:szCs w:val="22"/>
              </w:rPr>
            </w:pPr>
            <w:r>
              <w:rPr>
                <w:color w:val="000000"/>
                <w:sz w:val="24"/>
                <w:szCs w:val="22"/>
              </w:rPr>
              <w:t>本项目不涉及电磁辐射设备，不进行电磁辐射影响评价，因此无需进行电磁辐射环境现状调查。</w:t>
            </w:r>
          </w:p>
          <w:p>
            <w:pPr>
              <w:keepNext/>
              <w:keepLines/>
              <w:adjustRightInd w:val="0"/>
              <w:snapToGrid w:val="0"/>
              <w:spacing w:line="360" w:lineRule="auto"/>
              <w:ind w:firstLine="482" w:firstLineChars="200"/>
              <w:outlineLvl w:val="2"/>
              <w:rPr>
                <w:b/>
                <w:bCs/>
                <w:sz w:val="24"/>
                <w:szCs w:val="22"/>
              </w:rPr>
            </w:pPr>
            <w:r>
              <w:rPr>
                <w:rFonts w:hint="eastAsia"/>
                <w:b/>
                <w:bCs/>
                <w:sz w:val="24"/>
                <w:szCs w:val="22"/>
              </w:rPr>
              <w:t>7</w:t>
            </w:r>
            <w:r>
              <w:rPr>
                <w:b/>
                <w:bCs/>
                <w:sz w:val="24"/>
                <w:szCs w:val="22"/>
              </w:rPr>
              <w:t>、</w:t>
            </w:r>
            <w:bookmarkEnd w:id="8"/>
            <w:bookmarkEnd w:id="10"/>
            <w:r>
              <w:rPr>
                <w:b/>
                <w:bCs/>
                <w:sz w:val="24"/>
                <w:szCs w:val="22"/>
              </w:rPr>
              <w:t>生态环境质量现状</w:t>
            </w:r>
          </w:p>
          <w:p>
            <w:pPr>
              <w:adjustRightInd w:val="0"/>
              <w:snapToGrid w:val="0"/>
              <w:spacing w:line="360" w:lineRule="auto"/>
              <w:ind w:firstLine="480" w:firstLineChars="200"/>
              <w:rPr>
                <w:color w:val="000000"/>
                <w:sz w:val="24"/>
                <w:szCs w:val="22"/>
              </w:rPr>
            </w:pPr>
            <w:r>
              <w:rPr>
                <w:sz w:val="24"/>
                <w:szCs w:val="22"/>
              </w:rPr>
              <w:t>根据新田县自然资源局反馈意见，该项目用地涉及基本农田</w:t>
            </w:r>
            <w:r>
              <w:rPr>
                <w:rFonts w:hint="eastAsia"/>
                <w:sz w:val="24"/>
                <w:szCs w:val="22"/>
              </w:rPr>
              <w:t>，</w:t>
            </w:r>
            <w:r>
              <w:rPr>
                <w:sz w:val="24"/>
                <w:szCs w:val="22"/>
              </w:rPr>
              <w:t>所</w:t>
            </w:r>
            <w:r>
              <w:rPr>
                <w:color w:val="000000"/>
                <w:sz w:val="24"/>
                <w:szCs w:val="22"/>
              </w:rPr>
              <w:t>在区域及附近区域无自然保护区、世界文化和自然遗产及等需要特殊保护的生态敏感区，无风景名胜区、森林公园、地质公园、重要湿地等重要生态敏感区；植被类型主要为灌木、杂草，植被覆盖率较高；由于人类活动的影响较大，该区动物种类及数量较少，并未发现珍稀动物、植物，区域内也没有发现大型野生动物，仅有如蛇类、鸟类，鼠类等小型动物出没</w:t>
            </w:r>
            <w:r>
              <w:rPr>
                <w:rFonts w:hint="eastAsia"/>
                <w:color w:val="000000"/>
                <w:sz w:val="24"/>
                <w:szCs w:val="22"/>
              </w:rPr>
              <w:t>。</w:t>
            </w:r>
          </w:p>
          <w:p>
            <w:pPr>
              <w:adjustRightInd w:val="0"/>
              <w:snapToGrid w:val="0"/>
              <w:spacing w:line="360" w:lineRule="auto"/>
              <w:ind w:firstLine="480" w:firstLineChars="200"/>
              <w:rPr>
                <w:color w:val="000000"/>
                <w:sz w:val="24"/>
                <w:szCs w:val="22"/>
              </w:rPr>
            </w:pPr>
            <w:r>
              <w:rPr>
                <w:rFonts w:hint="eastAsia"/>
                <w:color w:val="000000"/>
                <w:sz w:val="24"/>
                <w:szCs w:val="22"/>
              </w:rPr>
              <w:t>（1）植物资源</w:t>
            </w:r>
          </w:p>
          <w:p>
            <w:pPr>
              <w:adjustRightInd w:val="0"/>
              <w:snapToGrid w:val="0"/>
              <w:spacing w:line="360" w:lineRule="auto"/>
              <w:ind w:firstLine="480" w:firstLineChars="200"/>
              <w:rPr>
                <w:color w:val="000000"/>
                <w:sz w:val="24"/>
                <w:szCs w:val="22"/>
              </w:rPr>
            </w:pPr>
            <w:r>
              <w:rPr>
                <w:rFonts w:hint="eastAsia"/>
                <w:color w:val="000000"/>
                <w:sz w:val="24"/>
                <w:szCs w:val="22"/>
              </w:rPr>
              <w:t>项目周边现状植被是以农业植被和灌木林等次生植被为主。根据现场踏勘调查情况来看，区域植被较为单一，是以农业植被和灌木林等次生植被为主，群落外貌季相变化不大。评价范围内无自然保护区、风景名胜区和森林公园等生态敏感区，同时通过现场踏勘及向当地居民进行调查了解，项目影响区无野生濒危保护植物物种分布</w:t>
            </w:r>
          </w:p>
          <w:p>
            <w:pPr>
              <w:adjustRightInd w:val="0"/>
              <w:snapToGrid w:val="0"/>
              <w:spacing w:line="360" w:lineRule="auto"/>
              <w:ind w:firstLine="480" w:firstLineChars="200"/>
              <w:rPr>
                <w:color w:val="000000"/>
                <w:sz w:val="24"/>
                <w:szCs w:val="22"/>
              </w:rPr>
            </w:pPr>
            <w:r>
              <w:rPr>
                <w:rFonts w:hint="eastAsia"/>
                <w:color w:val="000000"/>
                <w:sz w:val="24"/>
                <w:szCs w:val="22"/>
              </w:rPr>
              <w:t>（2）动物资源</w:t>
            </w:r>
          </w:p>
          <w:p>
            <w:pPr>
              <w:adjustRightInd w:val="0"/>
              <w:snapToGrid w:val="0"/>
              <w:spacing w:line="360" w:lineRule="auto"/>
              <w:ind w:firstLine="480" w:firstLineChars="200"/>
              <w:rPr>
                <w:kern w:val="0"/>
                <w:sz w:val="24"/>
              </w:rPr>
            </w:pPr>
            <w:r>
              <w:rPr>
                <w:rFonts w:hint="eastAsia"/>
                <w:color w:val="000000"/>
                <w:sz w:val="24"/>
                <w:szCs w:val="22"/>
              </w:rPr>
              <w:t>项目所在区域在动物地理区划属东洋界华中区，生态地理区划属亚热带林灌、草地--农田动物群。野生动物多为适应耕地和居民点的种类，林栖鸟类已少见，而盗食谷物的鼠类和鸟类有所增加，生活于稻田区捕食昆虫、鼠类的两栖类、爬行类动物较多，主要动物物种有斑鸠、杜鹃、麻雀、刺猬、蝙蝠、华南兔、黄鼬、松鼠，家畜、家禽主要有猪、牛、羊、兔、鸡、鸭、鹅等。通过现场踏勘及向当地居民进行调查了解，项目影响区无野生珍稀保护动物。评价区域内无历史文物遗址和风景名胜区等需要特别保护的文化遗产、自然遗产、自然景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53" w:hRule="atLeast"/>
          <w:jc w:val="center"/>
        </w:trPr>
        <w:tc>
          <w:tcPr>
            <w:tcW w:w="484" w:type="pct"/>
            <w:tcBorders>
              <w:tl2br w:val="nil"/>
              <w:tr2bl w:val="nil"/>
            </w:tcBorders>
            <w:vAlign w:val="center"/>
          </w:tcPr>
          <w:p>
            <w:pPr>
              <w:adjustRightInd w:val="0"/>
              <w:snapToGrid w:val="0"/>
              <w:jc w:val="center"/>
              <w:rPr>
                <w:kern w:val="0"/>
                <w:sz w:val="24"/>
              </w:rPr>
            </w:pPr>
            <w:r>
              <w:rPr>
                <w:bCs/>
                <w:sz w:val="24"/>
              </w:rPr>
              <w:t>与项目有关的原有环境污染和生态破坏问题</w:t>
            </w:r>
          </w:p>
        </w:tc>
        <w:tc>
          <w:tcPr>
            <w:tcW w:w="4515" w:type="pct"/>
            <w:tcBorders>
              <w:tl2br w:val="nil"/>
              <w:tr2bl w:val="nil"/>
            </w:tcBorders>
            <w:vAlign w:val="center"/>
          </w:tcPr>
          <w:p>
            <w:pPr>
              <w:adjustRightInd w:val="0"/>
              <w:snapToGrid w:val="0"/>
              <w:spacing w:line="360" w:lineRule="auto"/>
              <w:ind w:firstLine="480" w:firstLineChars="200"/>
              <w:rPr>
                <w:kern w:val="0"/>
                <w:sz w:val="24"/>
              </w:rPr>
            </w:pPr>
            <w:r>
              <w:rPr>
                <w:kern w:val="0"/>
                <w:sz w:val="24"/>
              </w:rPr>
              <w:t>本项目为新建项目，不存在原有环境污染和生态破坏问题。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84" w:type="pct"/>
            <w:tcBorders>
              <w:tl2br w:val="nil"/>
              <w:tr2bl w:val="nil"/>
            </w:tcBorders>
            <w:vAlign w:val="center"/>
          </w:tcPr>
          <w:p>
            <w:pPr>
              <w:adjustRightInd w:val="0"/>
              <w:snapToGrid w:val="0"/>
              <w:jc w:val="center"/>
              <w:rPr>
                <w:kern w:val="0"/>
                <w:sz w:val="24"/>
              </w:rPr>
            </w:pPr>
            <w:r>
              <w:rPr>
                <w:kern w:val="0"/>
                <w:sz w:val="24"/>
              </w:rPr>
              <w:t>生态环境保护目标</w:t>
            </w:r>
          </w:p>
        </w:tc>
        <w:tc>
          <w:tcPr>
            <w:tcW w:w="4515" w:type="pct"/>
            <w:tcBorders>
              <w:tl2br w:val="nil"/>
              <w:tr2bl w:val="nil"/>
            </w:tcBorders>
            <w:vAlign w:val="center"/>
          </w:tcPr>
          <w:p>
            <w:pPr>
              <w:adjustRightInd w:val="0"/>
              <w:snapToGrid w:val="0"/>
              <w:spacing w:line="360" w:lineRule="auto"/>
              <w:ind w:firstLine="480" w:firstLineChars="200"/>
              <w:rPr>
                <w:sz w:val="24"/>
              </w:rPr>
            </w:pPr>
            <w:r>
              <w:rPr>
                <w:sz w:val="24"/>
              </w:rPr>
              <w:t>根据现场调查，区域内无自然保护区、饮用水水源保护区、珍稀动植物保护物种、无历史文物古迹等需要特殊保护的环境敏感点。本项目主要环保目标见表3-</w:t>
            </w:r>
            <w:r>
              <w:rPr>
                <w:rFonts w:hint="eastAsia"/>
                <w:sz w:val="24"/>
              </w:rPr>
              <w:t>4</w:t>
            </w:r>
            <w:r>
              <w:rPr>
                <w:sz w:val="24"/>
              </w:rPr>
              <w:t>所示，环保目标分布见附图。</w:t>
            </w:r>
          </w:p>
          <w:p>
            <w:pPr>
              <w:adjustRightInd w:val="0"/>
              <w:snapToGrid w:val="0"/>
              <w:jc w:val="center"/>
              <w:rPr>
                <w:b/>
                <w:bCs/>
              </w:rPr>
            </w:pPr>
          </w:p>
          <w:p>
            <w:pPr>
              <w:adjustRightInd w:val="0"/>
              <w:snapToGrid w:val="0"/>
              <w:jc w:val="center"/>
              <w:rPr>
                <w:b/>
                <w:bCs/>
              </w:rPr>
            </w:pPr>
          </w:p>
          <w:p>
            <w:pPr>
              <w:adjustRightInd w:val="0"/>
              <w:snapToGrid w:val="0"/>
              <w:jc w:val="center"/>
              <w:rPr>
                <w:b/>
                <w:bCs/>
              </w:rPr>
            </w:pPr>
          </w:p>
          <w:p>
            <w:pPr>
              <w:adjustRightInd w:val="0"/>
              <w:snapToGrid w:val="0"/>
              <w:jc w:val="center"/>
              <w:rPr>
                <w:b/>
                <w:bCs/>
              </w:rPr>
            </w:pPr>
          </w:p>
          <w:p>
            <w:pPr>
              <w:adjustRightInd w:val="0"/>
              <w:snapToGrid w:val="0"/>
              <w:jc w:val="center"/>
              <w:rPr>
                <w:b/>
                <w:bCs/>
              </w:rPr>
            </w:pPr>
          </w:p>
          <w:p>
            <w:pPr>
              <w:adjustRightInd w:val="0"/>
              <w:snapToGrid w:val="0"/>
              <w:jc w:val="center"/>
              <w:rPr>
                <w:b/>
                <w:bCs/>
              </w:rPr>
            </w:pPr>
          </w:p>
          <w:p>
            <w:pPr>
              <w:adjustRightInd w:val="0"/>
              <w:snapToGrid w:val="0"/>
              <w:jc w:val="center"/>
              <w:rPr>
                <w:b/>
                <w:bCs/>
              </w:rPr>
            </w:pPr>
          </w:p>
          <w:p>
            <w:pPr>
              <w:adjustRightInd w:val="0"/>
              <w:snapToGrid w:val="0"/>
              <w:jc w:val="center"/>
              <w:rPr>
                <w:b/>
                <w:bCs/>
              </w:rPr>
            </w:pPr>
          </w:p>
          <w:p>
            <w:pPr>
              <w:adjustRightInd w:val="0"/>
              <w:snapToGrid w:val="0"/>
              <w:jc w:val="center"/>
              <w:rPr>
                <w:b/>
                <w:bCs/>
              </w:rPr>
            </w:pPr>
          </w:p>
          <w:p>
            <w:pPr>
              <w:adjustRightInd w:val="0"/>
              <w:snapToGrid w:val="0"/>
              <w:jc w:val="center"/>
              <w:rPr>
                <w:b/>
                <w:bCs/>
              </w:rPr>
            </w:pPr>
          </w:p>
          <w:p>
            <w:pPr>
              <w:adjustRightInd w:val="0"/>
              <w:snapToGrid w:val="0"/>
              <w:jc w:val="center"/>
              <w:rPr>
                <w:b/>
                <w:bCs/>
              </w:rPr>
            </w:pPr>
          </w:p>
          <w:p>
            <w:pPr>
              <w:adjustRightInd w:val="0"/>
              <w:snapToGrid w:val="0"/>
              <w:jc w:val="center"/>
              <w:rPr>
                <w:b/>
                <w:bCs/>
              </w:rPr>
            </w:pPr>
          </w:p>
          <w:p>
            <w:pPr>
              <w:adjustRightInd w:val="0"/>
              <w:snapToGrid w:val="0"/>
              <w:jc w:val="center"/>
              <w:rPr>
                <w:b/>
                <w:bCs/>
              </w:rPr>
            </w:pPr>
          </w:p>
          <w:p>
            <w:pPr>
              <w:adjustRightInd w:val="0"/>
              <w:snapToGrid w:val="0"/>
              <w:jc w:val="center"/>
              <w:rPr>
                <w:b/>
                <w:bCs/>
              </w:rPr>
            </w:pPr>
          </w:p>
          <w:p>
            <w:pPr>
              <w:adjustRightInd w:val="0"/>
              <w:snapToGrid w:val="0"/>
              <w:jc w:val="center"/>
              <w:rPr>
                <w:b/>
                <w:bCs/>
              </w:rPr>
            </w:pPr>
          </w:p>
          <w:p>
            <w:pPr>
              <w:adjustRightInd w:val="0"/>
              <w:snapToGrid w:val="0"/>
              <w:jc w:val="center"/>
              <w:rPr>
                <w:b/>
                <w:bCs/>
              </w:rPr>
            </w:pPr>
          </w:p>
          <w:p>
            <w:pPr>
              <w:adjustRightInd w:val="0"/>
              <w:snapToGrid w:val="0"/>
              <w:jc w:val="center"/>
              <w:rPr>
                <w:b/>
                <w:bCs/>
              </w:rPr>
            </w:pPr>
          </w:p>
          <w:p>
            <w:pPr>
              <w:adjustRightInd w:val="0"/>
              <w:snapToGrid w:val="0"/>
              <w:jc w:val="center"/>
              <w:rPr>
                <w:b/>
                <w:bCs/>
              </w:rPr>
            </w:pPr>
          </w:p>
          <w:p>
            <w:pPr>
              <w:adjustRightInd w:val="0"/>
              <w:snapToGrid w:val="0"/>
              <w:jc w:val="center"/>
              <w:rPr>
                <w:b/>
                <w:bCs/>
              </w:rPr>
            </w:pPr>
          </w:p>
          <w:p>
            <w:pPr>
              <w:adjustRightInd w:val="0"/>
              <w:snapToGrid w:val="0"/>
              <w:jc w:val="center"/>
              <w:rPr>
                <w:b/>
                <w:bCs/>
              </w:rPr>
            </w:pPr>
          </w:p>
          <w:p>
            <w:pPr>
              <w:adjustRightInd w:val="0"/>
              <w:snapToGrid w:val="0"/>
              <w:jc w:val="center"/>
              <w:rPr>
                <w:b/>
                <w:bCs/>
              </w:rPr>
            </w:pPr>
          </w:p>
          <w:p>
            <w:pPr>
              <w:adjustRightInd w:val="0"/>
              <w:snapToGrid w:val="0"/>
              <w:jc w:val="center"/>
              <w:rPr>
                <w:b/>
                <w:bCs/>
              </w:rPr>
            </w:pPr>
            <w:r>
              <w:rPr>
                <w:b/>
                <w:bCs/>
              </w:rPr>
              <w:t>表3-</w:t>
            </w:r>
            <w:r>
              <w:rPr>
                <w:rFonts w:hint="eastAsia"/>
                <w:b/>
                <w:bCs/>
              </w:rPr>
              <w:t>4</w:t>
            </w:r>
            <w:r>
              <w:rPr>
                <w:b/>
                <w:bCs/>
              </w:rPr>
              <w:t xml:space="preserve">  主要环境保护目标</w:t>
            </w:r>
          </w:p>
          <w:tbl>
            <w:tblPr>
              <w:tblStyle w:val="24"/>
              <w:tblW w:w="4914" w:type="pct"/>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108" w:type="dxa"/>
                <w:bottom w:w="0" w:type="dxa"/>
                <w:right w:w="108" w:type="dxa"/>
              </w:tblCellMar>
            </w:tblPr>
            <w:tblGrid>
              <w:gridCol w:w="562"/>
              <w:gridCol w:w="933"/>
              <w:gridCol w:w="1414"/>
              <w:gridCol w:w="2090"/>
              <w:gridCol w:w="984"/>
              <w:gridCol w:w="1838"/>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trHeight w:val="283" w:hRule="atLeast"/>
                <w:jc w:val="center"/>
              </w:trPr>
              <w:tc>
                <w:tcPr>
                  <w:tcW w:w="414" w:type="pct"/>
                  <w:tcBorders>
                    <w:tl2br w:val="nil"/>
                    <w:tr2bl w:val="nil"/>
                  </w:tcBorders>
                  <w:vAlign w:val="center"/>
                </w:tcPr>
                <w:p>
                  <w:pPr>
                    <w:adjustRightInd w:val="0"/>
                    <w:snapToGrid w:val="0"/>
                    <w:jc w:val="center"/>
                    <w:textAlignment w:val="baseline"/>
                  </w:pPr>
                  <w:r>
                    <w:t>环境要素</w:t>
                  </w:r>
                </w:p>
              </w:tc>
              <w:tc>
                <w:tcPr>
                  <w:tcW w:w="651" w:type="pct"/>
                  <w:tcBorders>
                    <w:tl2br w:val="nil"/>
                    <w:tr2bl w:val="nil"/>
                  </w:tcBorders>
                  <w:vAlign w:val="center"/>
                </w:tcPr>
                <w:p>
                  <w:pPr>
                    <w:adjustRightInd w:val="0"/>
                    <w:snapToGrid w:val="0"/>
                    <w:jc w:val="center"/>
                    <w:textAlignment w:val="baseline"/>
                  </w:pPr>
                  <w:r>
                    <w:t>敏感点名称</w:t>
                  </w:r>
                </w:p>
              </w:tc>
              <w:tc>
                <w:tcPr>
                  <w:tcW w:w="958" w:type="pct"/>
                  <w:tcBorders>
                    <w:tl2br w:val="nil"/>
                    <w:tr2bl w:val="nil"/>
                  </w:tcBorders>
                  <w:vAlign w:val="center"/>
                </w:tcPr>
                <w:p>
                  <w:pPr>
                    <w:adjustRightInd w:val="0"/>
                    <w:snapToGrid w:val="0"/>
                    <w:jc w:val="center"/>
                    <w:textAlignment w:val="baseline"/>
                  </w:pPr>
                  <w:r>
                    <w:t>相对项目</w:t>
                  </w:r>
                  <w:r>
                    <w:rPr>
                      <w:rFonts w:hint="eastAsia"/>
                    </w:rPr>
                    <w:t>厂界</w:t>
                  </w:r>
                  <w:r>
                    <w:t>的最近距离</w:t>
                  </w:r>
                </w:p>
              </w:tc>
              <w:tc>
                <w:tcPr>
                  <w:tcW w:w="1390" w:type="pct"/>
                  <w:tcBorders>
                    <w:tl2br w:val="nil"/>
                    <w:tr2bl w:val="nil"/>
                  </w:tcBorders>
                  <w:vAlign w:val="center"/>
                </w:tcPr>
                <w:p>
                  <w:pPr>
                    <w:adjustRightInd w:val="0"/>
                    <w:snapToGrid w:val="0"/>
                    <w:jc w:val="center"/>
                    <w:textAlignment w:val="baseline"/>
                  </w:pPr>
                  <w:r>
                    <w:t>坐标</w:t>
                  </w:r>
                </w:p>
              </w:tc>
              <w:tc>
                <w:tcPr>
                  <w:tcW w:w="682" w:type="pct"/>
                  <w:tcBorders>
                    <w:tl2br w:val="nil"/>
                    <w:tr2bl w:val="nil"/>
                  </w:tcBorders>
                  <w:vAlign w:val="center"/>
                </w:tcPr>
                <w:p>
                  <w:pPr>
                    <w:adjustRightInd w:val="0"/>
                    <w:snapToGrid w:val="0"/>
                    <w:jc w:val="center"/>
                    <w:textAlignment w:val="baseline"/>
                  </w:pPr>
                  <w:r>
                    <w:t>功能及规模</w:t>
                  </w:r>
                </w:p>
              </w:tc>
              <w:tc>
                <w:tcPr>
                  <w:tcW w:w="903" w:type="pct"/>
                  <w:tcBorders>
                    <w:tl2br w:val="nil"/>
                    <w:tr2bl w:val="nil"/>
                  </w:tcBorders>
                  <w:vAlign w:val="center"/>
                </w:tcPr>
                <w:p>
                  <w:pPr>
                    <w:adjustRightInd w:val="0"/>
                    <w:snapToGrid w:val="0"/>
                    <w:jc w:val="center"/>
                    <w:textAlignment w:val="baseline"/>
                  </w:pPr>
                  <w:r>
                    <w:t>环境</w:t>
                  </w:r>
                  <w:r>
                    <w:rPr>
                      <w:rFonts w:hint="eastAsia"/>
                    </w:rPr>
                    <w:t>功能区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83" w:hRule="atLeast"/>
                <w:jc w:val="center"/>
              </w:trPr>
              <w:tc>
                <w:tcPr>
                  <w:tcW w:w="414" w:type="pct"/>
                  <w:vMerge w:val="restart"/>
                  <w:tcBorders>
                    <w:top w:val="single" w:color="auto" w:sz="4" w:space="0"/>
                    <w:tl2br w:val="nil"/>
                    <w:tr2bl w:val="nil"/>
                  </w:tcBorders>
                  <w:vAlign w:val="center"/>
                </w:tcPr>
                <w:p>
                  <w:pPr>
                    <w:adjustRightInd w:val="0"/>
                    <w:snapToGrid w:val="0"/>
                    <w:jc w:val="center"/>
                    <w:textAlignment w:val="baseline"/>
                  </w:pPr>
                  <w:r>
                    <w:t>环境空气</w:t>
                  </w:r>
                </w:p>
              </w:tc>
              <w:tc>
                <w:tcPr>
                  <w:tcW w:w="651" w:type="pct"/>
                  <w:tcBorders>
                    <w:top w:val="single" w:color="auto" w:sz="4" w:space="0"/>
                    <w:bottom w:val="single" w:color="auto" w:sz="4" w:space="0"/>
                    <w:tl2br w:val="nil"/>
                    <w:tr2bl w:val="nil"/>
                  </w:tcBorders>
                  <w:vAlign w:val="center"/>
                </w:tcPr>
                <w:p>
                  <w:pPr>
                    <w:adjustRightInd w:val="0"/>
                    <w:snapToGrid w:val="0"/>
                    <w:jc w:val="center"/>
                    <w:textAlignment w:val="baseline"/>
                  </w:pPr>
                  <w:r>
                    <w:rPr>
                      <w:rFonts w:hint="eastAsia"/>
                    </w:rPr>
                    <w:t>钩挂山居民</w:t>
                  </w:r>
                </w:p>
              </w:tc>
              <w:tc>
                <w:tcPr>
                  <w:tcW w:w="958" w:type="pct"/>
                  <w:tcBorders>
                    <w:tl2br w:val="nil"/>
                    <w:tr2bl w:val="nil"/>
                  </w:tcBorders>
                  <w:vAlign w:val="center"/>
                </w:tcPr>
                <w:p>
                  <w:pPr>
                    <w:adjustRightInd w:val="0"/>
                    <w:snapToGrid w:val="0"/>
                    <w:jc w:val="center"/>
                    <w:textAlignment w:val="baseline"/>
                  </w:pPr>
                  <w:r>
                    <w:rPr>
                      <w:rFonts w:hint="eastAsia"/>
                    </w:rPr>
                    <w:t>东南侧99m-222m</w:t>
                  </w:r>
                </w:p>
              </w:tc>
              <w:tc>
                <w:tcPr>
                  <w:tcW w:w="1390" w:type="pct"/>
                  <w:tcBorders>
                    <w:tl2br w:val="nil"/>
                    <w:tr2bl w:val="nil"/>
                  </w:tcBorders>
                  <w:vAlign w:val="center"/>
                </w:tcPr>
                <w:p>
                  <w:pPr>
                    <w:adjustRightInd w:val="0"/>
                    <w:snapToGrid w:val="0"/>
                    <w:jc w:val="center"/>
                    <w:textAlignment w:val="baseline"/>
                  </w:pPr>
                  <w:r>
                    <w:t>经度：112.245898622</w:t>
                  </w:r>
                </w:p>
                <w:p>
                  <w:pPr>
                    <w:adjustRightInd w:val="0"/>
                    <w:snapToGrid w:val="0"/>
                    <w:jc w:val="center"/>
                    <w:textAlignment w:val="baseline"/>
                  </w:pPr>
                  <w:r>
                    <w:t>纬度：25.946096947</w:t>
                  </w:r>
                </w:p>
              </w:tc>
              <w:tc>
                <w:tcPr>
                  <w:tcW w:w="682" w:type="pct"/>
                  <w:tcBorders>
                    <w:top w:val="single" w:color="auto" w:sz="4" w:space="0"/>
                    <w:bottom w:val="single" w:color="auto" w:sz="4" w:space="0"/>
                    <w:tl2br w:val="nil"/>
                    <w:tr2bl w:val="nil"/>
                  </w:tcBorders>
                  <w:vAlign w:val="center"/>
                </w:tcPr>
                <w:p>
                  <w:pPr>
                    <w:adjustRightInd w:val="0"/>
                    <w:snapToGrid w:val="0"/>
                    <w:jc w:val="center"/>
                    <w:textAlignment w:val="baseline"/>
                  </w:pPr>
                  <w:r>
                    <w:t>约</w:t>
                  </w:r>
                  <w:r>
                    <w:rPr>
                      <w:rFonts w:hint="eastAsia"/>
                    </w:rPr>
                    <w:t>10</w:t>
                  </w:r>
                  <w:r>
                    <w:t>户，</w:t>
                  </w:r>
                  <w:r>
                    <w:rPr>
                      <w:rFonts w:hint="eastAsia"/>
                    </w:rPr>
                    <w:t>30</w:t>
                  </w:r>
                  <w:r>
                    <w:t>人</w:t>
                  </w:r>
                </w:p>
              </w:tc>
              <w:tc>
                <w:tcPr>
                  <w:tcW w:w="903" w:type="pct"/>
                  <w:vMerge w:val="restart"/>
                  <w:tcBorders>
                    <w:top w:val="single" w:color="auto" w:sz="4" w:space="0"/>
                    <w:tl2br w:val="nil"/>
                    <w:tr2bl w:val="nil"/>
                  </w:tcBorders>
                  <w:vAlign w:val="center"/>
                </w:tcPr>
                <w:p>
                  <w:pPr>
                    <w:adjustRightInd w:val="0"/>
                    <w:snapToGrid w:val="0"/>
                    <w:jc w:val="center"/>
                    <w:textAlignment w:val="baseline"/>
                  </w:pPr>
                  <w:r>
                    <w:t>环境空气质量标准》（GB3095-2012）二级标准</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trHeight w:val="90" w:hRule="atLeast"/>
                <w:jc w:val="center"/>
              </w:trPr>
              <w:tc>
                <w:tcPr>
                  <w:tcW w:w="414" w:type="pct"/>
                  <w:vMerge w:val="continue"/>
                  <w:tcBorders>
                    <w:tl2br w:val="nil"/>
                    <w:tr2bl w:val="nil"/>
                  </w:tcBorders>
                  <w:vAlign w:val="center"/>
                </w:tcPr>
                <w:p>
                  <w:pPr>
                    <w:adjustRightInd w:val="0"/>
                    <w:snapToGrid w:val="0"/>
                    <w:jc w:val="center"/>
                    <w:textAlignment w:val="baseline"/>
                  </w:pPr>
                </w:p>
              </w:tc>
              <w:tc>
                <w:tcPr>
                  <w:tcW w:w="651" w:type="pct"/>
                  <w:tcBorders>
                    <w:top w:val="single" w:color="auto" w:sz="4" w:space="0"/>
                    <w:bottom w:val="single" w:color="auto" w:sz="4" w:space="0"/>
                    <w:tl2br w:val="nil"/>
                    <w:tr2bl w:val="nil"/>
                  </w:tcBorders>
                  <w:vAlign w:val="center"/>
                </w:tcPr>
                <w:p>
                  <w:pPr>
                    <w:adjustRightInd w:val="0"/>
                    <w:snapToGrid w:val="0"/>
                    <w:jc w:val="center"/>
                    <w:textAlignment w:val="baseline"/>
                  </w:pPr>
                  <w:r>
                    <w:rPr>
                      <w:rFonts w:hint="eastAsia"/>
                    </w:rPr>
                    <w:t>犀牛凼居民</w:t>
                  </w:r>
                </w:p>
              </w:tc>
              <w:tc>
                <w:tcPr>
                  <w:tcW w:w="958" w:type="pct"/>
                  <w:tcBorders>
                    <w:tl2br w:val="nil"/>
                    <w:tr2bl w:val="nil"/>
                  </w:tcBorders>
                  <w:vAlign w:val="center"/>
                </w:tcPr>
                <w:p>
                  <w:pPr>
                    <w:adjustRightInd w:val="0"/>
                    <w:snapToGrid w:val="0"/>
                    <w:jc w:val="center"/>
                    <w:textAlignment w:val="baseline"/>
                  </w:pPr>
                  <w:r>
                    <w:rPr>
                      <w:rFonts w:hint="eastAsia"/>
                    </w:rPr>
                    <w:t>西侧114m-500m</w:t>
                  </w:r>
                </w:p>
              </w:tc>
              <w:tc>
                <w:tcPr>
                  <w:tcW w:w="1390" w:type="pct"/>
                  <w:tcBorders>
                    <w:tl2br w:val="nil"/>
                    <w:tr2bl w:val="nil"/>
                  </w:tcBorders>
                  <w:vAlign w:val="center"/>
                </w:tcPr>
                <w:p>
                  <w:pPr>
                    <w:adjustRightInd w:val="0"/>
                    <w:snapToGrid w:val="0"/>
                    <w:jc w:val="center"/>
                    <w:textAlignment w:val="baseline"/>
                  </w:pPr>
                  <w:r>
                    <w:t>经度：112.242111343</w:t>
                  </w:r>
                </w:p>
                <w:p>
                  <w:pPr>
                    <w:adjustRightInd w:val="0"/>
                    <w:snapToGrid w:val="0"/>
                    <w:jc w:val="center"/>
                    <w:textAlignment w:val="baseline"/>
                  </w:pPr>
                  <w:r>
                    <w:t>纬度：25.949326327</w:t>
                  </w:r>
                </w:p>
              </w:tc>
              <w:tc>
                <w:tcPr>
                  <w:tcW w:w="682" w:type="pct"/>
                  <w:tcBorders>
                    <w:top w:val="single" w:color="auto" w:sz="4" w:space="0"/>
                    <w:bottom w:val="single" w:color="auto" w:sz="4" w:space="0"/>
                    <w:tl2br w:val="nil"/>
                    <w:tr2bl w:val="nil"/>
                  </w:tcBorders>
                  <w:vAlign w:val="center"/>
                </w:tcPr>
                <w:p>
                  <w:pPr>
                    <w:adjustRightInd w:val="0"/>
                    <w:snapToGrid w:val="0"/>
                    <w:jc w:val="center"/>
                    <w:textAlignment w:val="baseline"/>
                  </w:pPr>
                  <w:r>
                    <w:t>约</w:t>
                  </w:r>
                  <w:r>
                    <w:rPr>
                      <w:rFonts w:hint="eastAsia"/>
                    </w:rPr>
                    <w:t>75</w:t>
                  </w:r>
                  <w:r>
                    <w:t>户，</w:t>
                  </w:r>
                  <w:r>
                    <w:rPr>
                      <w:rFonts w:hint="eastAsia"/>
                    </w:rPr>
                    <w:t>225</w:t>
                  </w:r>
                  <w:r>
                    <w:t>人</w:t>
                  </w:r>
                </w:p>
              </w:tc>
              <w:tc>
                <w:tcPr>
                  <w:tcW w:w="903" w:type="pct"/>
                  <w:vMerge w:val="continue"/>
                  <w:tcBorders>
                    <w:tl2br w:val="nil"/>
                    <w:tr2bl w:val="nil"/>
                  </w:tcBorders>
                  <w:vAlign w:val="center"/>
                </w:tcPr>
                <w:p>
                  <w:pPr>
                    <w:adjustRightInd w:val="0"/>
                    <w:snapToGrid w:val="0"/>
                    <w:jc w:val="center"/>
                    <w:textAlignment w:val="baseline"/>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trHeight w:val="499" w:hRule="atLeast"/>
                <w:jc w:val="center"/>
              </w:trPr>
              <w:tc>
                <w:tcPr>
                  <w:tcW w:w="414" w:type="pct"/>
                  <w:vMerge w:val="continue"/>
                  <w:tcBorders>
                    <w:bottom w:val="single" w:color="auto" w:sz="4" w:space="0"/>
                    <w:tl2br w:val="nil"/>
                    <w:tr2bl w:val="nil"/>
                  </w:tcBorders>
                  <w:vAlign w:val="center"/>
                </w:tcPr>
                <w:p>
                  <w:pPr>
                    <w:adjustRightInd w:val="0"/>
                    <w:snapToGrid w:val="0"/>
                    <w:jc w:val="center"/>
                    <w:textAlignment w:val="baseline"/>
                  </w:pPr>
                </w:p>
              </w:tc>
              <w:tc>
                <w:tcPr>
                  <w:tcW w:w="651" w:type="pct"/>
                  <w:tcBorders>
                    <w:top w:val="single" w:color="auto" w:sz="4" w:space="0"/>
                    <w:bottom w:val="single" w:color="auto" w:sz="4" w:space="0"/>
                    <w:tl2br w:val="nil"/>
                    <w:tr2bl w:val="nil"/>
                  </w:tcBorders>
                  <w:vAlign w:val="center"/>
                </w:tcPr>
                <w:p>
                  <w:pPr>
                    <w:adjustRightInd w:val="0"/>
                    <w:snapToGrid w:val="0"/>
                    <w:jc w:val="center"/>
                    <w:textAlignment w:val="baseline"/>
                  </w:pPr>
                  <w:r>
                    <w:rPr>
                      <w:rFonts w:hint="eastAsia"/>
                    </w:rPr>
                    <w:t>挂兰村散户居民</w:t>
                  </w:r>
                </w:p>
              </w:tc>
              <w:tc>
                <w:tcPr>
                  <w:tcW w:w="958" w:type="pct"/>
                  <w:tcBorders>
                    <w:tl2br w:val="nil"/>
                    <w:tr2bl w:val="nil"/>
                  </w:tcBorders>
                  <w:vAlign w:val="center"/>
                </w:tcPr>
                <w:p>
                  <w:pPr>
                    <w:adjustRightInd w:val="0"/>
                    <w:snapToGrid w:val="0"/>
                    <w:jc w:val="center"/>
                    <w:textAlignment w:val="baseline"/>
                  </w:pPr>
                  <w:r>
                    <w:rPr>
                      <w:rFonts w:hint="eastAsia"/>
                    </w:rPr>
                    <w:t>南侧134m-500m</w:t>
                  </w:r>
                </w:p>
              </w:tc>
              <w:tc>
                <w:tcPr>
                  <w:tcW w:w="1390" w:type="pct"/>
                  <w:tcBorders>
                    <w:tl2br w:val="nil"/>
                    <w:tr2bl w:val="nil"/>
                  </w:tcBorders>
                  <w:vAlign w:val="center"/>
                </w:tcPr>
                <w:p>
                  <w:pPr>
                    <w:adjustRightInd w:val="0"/>
                    <w:snapToGrid w:val="0"/>
                    <w:jc w:val="center"/>
                    <w:textAlignment w:val="baseline"/>
                  </w:pPr>
                  <w:r>
                    <w:t>经度：112.243944207</w:t>
                  </w:r>
                </w:p>
                <w:p>
                  <w:pPr>
                    <w:adjustRightInd w:val="0"/>
                    <w:snapToGrid w:val="0"/>
                    <w:jc w:val="center"/>
                    <w:textAlignment w:val="baseline"/>
                  </w:pPr>
                  <w:r>
                    <w:t>纬度：25.944114272</w:t>
                  </w:r>
                </w:p>
              </w:tc>
              <w:tc>
                <w:tcPr>
                  <w:tcW w:w="682" w:type="pct"/>
                  <w:tcBorders>
                    <w:top w:val="single" w:color="auto" w:sz="4" w:space="0"/>
                    <w:bottom w:val="single" w:color="auto" w:sz="4" w:space="0"/>
                    <w:tl2br w:val="nil"/>
                    <w:tr2bl w:val="nil"/>
                  </w:tcBorders>
                  <w:vAlign w:val="center"/>
                </w:tcPr>
                <w:p>
                  <w:pPr>
                    <w:adjustRightInd w:val="0"/>
                    <w:snapToGrid w:val="0"/>
                    <w:jc w:val="center"/>
                    <w:textAlignment w:val="baseline"/>
                  </w:pPr>
                  <w:r>
                    <w:t>约7户，2</w:t>
                  </w:r>
                  <w:r>
                    <w:rPr>
                      <w:rFonts w:hint="eastAsia"/>
                    </w:rPr>
                    <w:t>1</w:t>
                  </w:r>
                  <w:r>
                    <w:t>人</w:t>
                  </w:r>
                </w:p>
              </w:tc>
              <w:tc>
                <w:tcPr>
                  <w:tcW w:w="903" w:type="pct"/>
                  <w:vMerge w:val="continue"/>
                  <w:tcBorders>
                    <w:bottom w:val="single" w:color="auto" w:sz="4" w:space="0"/>
                    <w:tl2br w:val="nil"/>
                    <w:tr2bl w:val="nil"/>
                  </w:tcBorders>
                  <w:vAlign w:val="center"/>
                </w:tcPr>
                <w:p>
                  <w:pPr>
                    <w:adjustRightInd w:val="0"/>
                    <w:snapToGrid w:val="0"/>
                    <w:jc w:val="center"/>
                    <w:textAlignment w:val="baseline"/>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trHeight w:val="283" w:hRule="atLeast"/>
                <w:jc w:val="center"/>
              </w:trPr>
              <w:tc>
                <w:tcPr>
                  <w:tcW w:w="414" w:type="pct"/>
                  <w:tcBorders>
                    <w:bottom w:val="single" w:color="auto" w:sz="4" w:space="0"/>
                    <w:tl2br w:val="nil"/>
                    <w:tr2bl w:val="nil"/>
                  </w:tcBorders>
                  <w:vAlign w:val="center"/>
                </w:tcPr>
                <w:p>
                  <w:pPr>
                    <w:adjustRightInd w:val="0"/>
                    <w:snapToGrid w:val="0"/>
                    <w:jc w:val="center"/>
                    <w:textAlignment w:val="baseline"/>
                  </w:pPr>
                  <w:r>
                    <w:t>地表水环境</w:t>
                  </w:r>
                </w:p>
              </w:tc>
              <w:tc>
                <w:tcPr>
                  <w:tcW w:w="651" w:type="pct"/>
                  <w:tcBorders>
                    <w:top w:val="single" w:color="auto" w:sz="4" w:space="0"/>
                    <w:bottom w:val="single" w:color="auto" w:sz="4" w:space="0"/>
                    <w:tl2br w:val="nil"/>
                    <w:tr2bl w:val="nil"/>
                  </w:tcBorders>
                  <w:vAlign w:val="center"/>
                </w:tcPr>
                <w:p>
                  <w:pPr>
                    <w:adjustRightInd w:val="0"/>
                    <w:snapToGrid w:val="0"/>
                    <w:jc w:val="center"/>
                    <w:textAlignment w:val="baseline"/>
                  </w:pPr>
                  <w:r>
                    <w:rPr>
                      <w:rFonts w:hint="eastAsia"/>
                    </w:rPr>
                    <w:t>日东河</w:t>
                  </w:r>
                </w:p>
              </w:tc>
              <w:tc>
                <w:tcPr>
                  <w:tcW w:w="958" w:type="pct"/>
                  <w:tcBorders>
                    <w:tl2br w:val="nil"/>
                    <w:tr2bl w:val="nil"/>
                  </w:tcBorders>
                  <w:vAlign w:val="center"/>
                </w:tcPr>
                <w:p>
                  <w:pPr>
                    <w:adjustRightInd w:val="0"/>
                    <w:snapToGrid w:val="0"/>
                    <w:jc w:val="center"/>
                    <w:textAlignment w:val="baseline"/>
                  </w:pPr>
                  <w:r>
                    <w:rPr>
                      <w:rFonts w:hint="eastAsia"/>
                    </w:rPr>
                    <w:t>西侧14m</w:t>
                  </w:r>
                </w:p>
              </w:tc>
              <w:tc>
                <w:tcPr>
                  <w:tcW w:w="1390" w:type="pct"/>
                  <w:tcBorders>
                    <w:tl2br w:val="nil"/>
                    <w:tr2bl w:val="nil"/>
                  </w:tcBorders>
                  <w:vAlign w:val="center"/>
                </w:tcPr>
                <w:p>
                  <w:pPr>
                    <w:adjustRightInd w:val="0"/>
                    <w:snapToGrid w:val="0"/>
                    <w:jc w:val="center"/>
                    <w:textAlignment w:val="baseline"/>
                  </w:pPr>
                  <w:r>
                    <w:t>经度：112.243581193</w:t>
                  </w:r>
                </w:p>
                <w:p>
                  <w:pPr>
                    <w:adjustRightInd w:val="0"/>
                    <w:snapToGrid w:val="0"/>
                    <w:jc w:val="center"/>
                    <w:textAlignment w:val="baseline"/>
                  </w:pPr>
                  <w:r>
                    <w:t>纬度：25.948784521</w:t>
                  </w:r>
                </w:p>
              </w:tc>
              <w:tc>
                <w:tcPr>
                  <w:tcW w:w="682" w:type="pct"/>
                  <w:tcBorders>
                    <w:top w:val="single" w:color="auto" w:sz="4" w:space="0"/>
                    <w:bottom w:val="single" w:color="auto" w:sz="4" w:space="0"/>
                    <w:tl2br w:val="nil"/>
                    <w:tr2bl w:val="nil"/>
                  </w:tcBorders>
                  <w:vAlign w:val="center"/>
                </w:tcPr>
                <w:p>
                  <w:pPr>
                    <w:adjustRightInd w:val="0"/>
                    <w:snapToGrid w:val="0"/>
                    <w:jc w:val="center"/>
                    <w:textAlignment w:val="baseline"/>
                  </w:pPr>
                  <w:r>
                    <w:t>新田河金陵～龙泉保留区</w:t>
                  </w:r>
                </w:p>
              </w:tc>
              <w:tc>
                <w:tcPr>
                  <w:tcW w:w="903" w:type="pct"/>
                  <w:tcBorders>
                    <w:bottom w:val="single" w:color="auto" w:sz="4" w:space="0"/>
                    <w:tl2br w:val="nil"/>
                    <w:tr2bl w:val="nil"/>
                  </w:tcBorders>
                  <w:vAlign w:val="center"/>
                </w:tcPr>
                <w:p>
                  <w:pPr>
                    <w:adjustRightInd w:val="0"/>
                    <w:snapToGrid w:val="0"/>
                    <w:jc w:val="center"/>
                    <w:textAlignment w:val="baseline"/>
                  </w:pPr>
                  <w:r>
                    <w:t>《地表水环境质量标准》(GB3838-2002)Ⅲ类标准</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trHeight w:val="283" w:hRule="atLeast"/>
                <w:jc w:val="center"/>
              </w:trPr>
              <w:tc>
                <w:tcPr>
                  <w:tcW w:w="414" w:type="pct"/>
                  <w:tcBorders>
                    <w:bottom w:val="single" w:color="auto" w:sz="4" w:space="0"/>
                    <w:tl2br w:val="nil"/>
                    <w:tr2bl w:val="nil"/>
                  </w:tcBorders>
                  <w:vAlign w:val="center"/>
                </w:tcPr>
                <w:p>
                  <w:pPr>
                    <w:adjustRightInd w:val="0"/>
                    <w:snapToGrid w:val="0"/>
                    <w:jc w:val="center"/>
                    <w:textAlignment w:val="baseline"/>
                  </w:pPr>
                  <w:r>
                    <w:rPr>
                      <w:rFonts w:hint="eastAsia"/>
                    </w:rPr>
                    <w:t>声环境</w:t>
                  </w:r>
                </w:p>
              </w:tc>
              <w:tc>
                <w:tcPr>
                  <w:tcW w:w="651" w:type="pct"/>
                  <w:tcBorders>
                    <w:top w:val="single" w:color="auto" w:sz="4" w:space="0"/>
                    <w:bottom w:val="single" w:color="auto" w:sz="4" w:space="0"/>
                    <w:tl2br w:val="nil"/>
                    <w:tr2bl w:val="nil"/>
                  </w:tcBorders>
                  <w:vAlign w:val="center"/>
                </w:tcPr>
                <w:p>
                  <w:pPr>
                    <w:adjustRightInd w:val="0"/>
                    <w:snapToGrid w:val="0"/>
                    <w:jc w:val="center"/>
                    <w:textAlignment w:val="baseline"/>
                  </w:pPr>
                  <w:r>
                    <w:rPr>
                      <w:rFonts w:hint="eastAsia"/>
                    </w:rPr>
                    <w:t>钩挂山居民</w:t>
                  </w:r>
                </w:p>
              </w:tc>
              <w:tc>
                <w:tcPr>
                  <w:tcW w:w="958" w:type="pct"/>
                  <w:tcBorders>
                    <w:tl2br w:val="nil"/>
                    <w:tr2bl w:val="nil"/>
                  </w:tcBorders>
                  <w:vAlign w:val="center"/>
                </w:tcPr>
                <w:p>
                  <w:pPr>
                    <w:adjustRightInd w:val="0"/>
                    <w:snapToGrid w:val="0"/>
                    <w:jc w:val="center"/>
                    <w:textAlignment w:val="baseline"/>
                  </w:pPr>
                  <w:r>
                    <w:rPr>
                      <w:rFonts w:hint="eastAsia"/>
                    </w:rPr>
                    <w:t>东南侧9m-50m</w:t>
                  </w:r>
                </w:p>
              </w:tc>
              <w:tc>
                <w:tcPr>
                  <w:tcW w:w="1390" w:type="pct"/>
                  <w:tcBorders>
                    <w:tl2br w:val="nil"/>
                    <w:tr2bl w:val="nil"/>
                  </w:tcBorders>
                  <w:vAlign w:val="center"/>
                </w:tcPr>
                <w:p>
                  <w:pPr>
                    <w:adjustRightInd w:val="0"/>
                    <w:snapToGrid w:val="0"/>
                    <w:jc w:val="center"/>
                    <w:textAlignment w:val="baseline"/>
                  </w:pPr>
                  <w:r>
                    <w:t>经度：112.245898622</w:t>
                  </w:r>
                </w:p>
                <w:p>
                  <w:pPr>
                    <w:adjustRightInd w:val="0"/>
                    <w:snapToGrid w:val="0"/>
                    <w:jc w:val="center"/>
                    <w:textAlignment w:val="baseline"/>
                  </w:pPr>
                  <w:r>
                    <w:t>纬度：25.946096947</w:t>
                  </w:r>
                </w:p>
              </w:tc>
              <w:tc>
                <w:tcPr>
                  <w:tcW w:w="682" w:type="pct"/>
                  <w:tcBorders>
                    <w:top w:val="single" w:color="auto" w:sz="4" w:space="0"/>
                    <w:bottom w:val="single" w:color="auto" w:sz="4" w:space="0"/>
                    <w:tl2br w:val="nil"/>
                    <w:tr2bl w:val="nil"/>
                  </w:tcBorders>
                  <w:vAlign w:val="center"/>
                </w:tcPr>
                <w:p>
                  <w:pPr>
                    <w:adjustRightInd w:val="0"/>
                    <w:snapToGrid w:val="0"/>
                    <w:jc w:val="center"/>
                    <w:textAlignment w:val="baseline"/>
                  </w:pPr>
                  <w:r>
                    <w:t>约</w:t>
                  </w:r>
                  <w:r>
                    <w:rPr>
                      <w:rFonts w:hint="eastAsia"/>
                    </w:rPr>
                    <w:t>9</w:t>
                  </w:r>
                  <w:r>
                    <w:t>户，</w:t>
                  </w:r>
                  <w:r>
                    <w:rPr>
                      <w:rFonts w:hint="eastAsia"/>
                    </w:rPr>
                    <w:t>27</w:t>
                  </w:r>
                  <w:r>
                    <w:t>人</w:t>
                  </w:r>
                </w:p>
              </w:tc>
              <w:tc>
                <w:tcPr>
                  <w:tcW w:w="903" w:type="pct"/>
                  <w:tcBorders>
                    <w:bottom w:val="single" w:color="auto" w:sz="4" w:space="0"/>
                    <w:tl2br w:val="nil"/>
                    <w:tr2bl w:val="nil"/>
                  </w:tcBorders>
                  <w:vAlign w:val="center"/>
                </w:tcPr>
                <w:p>
                  <w:pPr>
                    <w:adjustRightInd w:val="0"/>
                    <w:snapToGrid w:val="0"/>
                    <w:jc w:val="center"/>
                    <w:textAlignment w:val="baseline"/>
                  </w:pPr>
                  <w:r>
                    <w:t>《声环境质量标准》（GB3096-2008）中2类标准</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trHeight w:val="283" w:hRule="atLeast"/>
                <w:jc w:val="center"/>
              </w:trPr>
              <w:tc>
                <w:tcPr>
                  <w:tcW w:w="414" w:type="pct"/>
                  <w:tcBorders>
                    <w:top w:val="single" w:color="auto" w:sz="4" w:space="0"/>
                    <w:tl2br w:val="nil"/>
                    <w:tr2bl w:val="nil"/>
                  </w:tcBorders>
                  <w:vAlign w:val="center"/>
                </w:tcPr>
                <w:p>
                  <w:pPr>
                    <w:adjustRightInd w:val="0"/>
                    <w:snapToGrid w:val="0"/>
                    <w:jc w:val="center"/>
                    <w:textAlignment w:val="baseline"/>
                  </w:pPr>
                  <w:r>
                    <w:t>生态环境</w:t>
                  </w:r>
                </w:p>
              </w:tc>
              <w:tc>
                <w:tcPr>
                  <w:tcW w:w="3682" w:type="pct"/>
                  <w:gridSpan w:val="4"/>
                  <w:tcBorders>
                    <w:top w:val="single" w:color="auto" w:sz="4" w:space="0"/>
                    <w:tl2br w:val="nil"/>
                    <w:tr2bl w:val="nil"/>
                  </w:tcBorders>
                  <w:vAlign w:val="center"/>
                </w:tcPr>
                <w:p>
                  <w:pPr>
                    <w:adjustRightInd w:val="0"/>
                    <w:snapToGrid w:val="0"/>
                    <w:jc w:val="center"/>
                    <w:textAlignment w:val="baseline"/>
                  </w:pPr>
                  <w:r>
                    <w:t>项目所在地周围的动植物、土壤植被、农田、水土流失等</w:t>
                  </w:r>
                </w:p>
              </w:tc>
              <w:tc>
                <w:tcPr>
                  <w:tcW w:w="903" w:type="pct"/>
                  <w:tcBorders>
                    <w:top w:val="single" w:color="auto" w:sz="4" w:space="0"/>
                    <w:tl2br w:val="nil"/>
                    <w:tr2bl w:val="nil"/>
                  </w:tcBorders>
                  <w:vAlign w:val="center"/>
                </w:tcPr>
                <w:p>
                  <w:pPr>
                    <w:adjustRightInd w:val="0"/>
                    <w:snapToGrid w:val="0"/>
                    <w:jc w:val="center"/>
                    <w:textAlignment w:val="baseline"/>
                  </w:pPr>
                  <w:r>
                    <w:rPr>
                      <w:lang w:val="zh-CN"/>
                    </w:rPr>
                    <w:t>防治水土流失</w:t>
                  </w:r>
                </w:p>
              </w:tc>
            </w:tr>
          </w:tbl>
          <w:p>
            <w:pPr>
              <w:pStyle w:val="30"/>
              <w:rPr>
                <w:rFonts w:hint="default"/>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84" w:type="pct"/>
            <w:tcBorders>
              <w:tl2br w:val="nil"/>
              <w:tr2bl w:val="nil"/>
            </w:tcBorders>
            <w:vAlign w:val="center"/>
          </w:tcPr>
          <w:p>
            <w:pPr>
              <w:adjustRightInd w:val="0"/>
              <w:snapToGrid w:val="0"/>
              <w:jc w:val="center"/>
              <w:rPr>
                <w:kern w:val="0"/>
                <w:sz w:val="24"/>
              </w:rPr>
            </w:pPr>
            <w:r>
              <w:rPr>
                <w:kern w:val="0"/>
                <w:sz w:val="24"/>
              </w:rPr>
              <w:t>评价</w:t>
            </w:r>
          </w:p>
          <w:p>
            <w:pPr>
              <w:adjustRightInd w:val="0"/>
              <w:snapToGrid w:val="0"/>
              <w:jc w:val="center"/>
              <w:rPr>
                <w:kern w:val="0"/>
                <w:sz w:val="24"/>
              </w:rPr>
            </w:pPr>
            <w:r>
              <w:rPr>
                <w:kern w:val="0"/>
                <w:sz w:val="24"/>
              </w:rPr>
              <w:t>标准</w:t>
            </w:r>
          </w:p>
        </w:tc>
        <w:tc>
          <w:tcPr>
            <w:tcW w:w="4515" w:type="pct"/>
            <w:tcBorders>
              <w:tl2br w:val="nil"/>
              <w:tr2bl w:val="nil"/>
            </w:tcBorders>
            <w:vAlign w:val="center"/>
          </w:tcPr>
          <w:p>
            <w:pPr>
              <w:adjustRightInd w:val="0"/>
              <w:snapToGrid w:val="0"/>
              <w:spacing w:line="360" w:lineRule="auto"/>
              <w:ind w:firstLine="482" w:firstLineChars="200"/>
              <w:rPr>
                <w:b/>
                <w:bCs/>
                <w:sz w:val="24"/>
              </w:rPr>
            </w:pPr>
            <w:r>
              <w:rPr>
                <w:rFonts w:hint="eastAsia"/>
                <w:b/>
                <w:bCs/>
                <w:sz w:val="24"/>
              </w:rPr>
              <w:t>1、</w:t>
            </w:r>
            <w:r>
              <w:rPr>
                <w:b/>
                <w:bCs/>
                <w:sz w:val="24"/>
              </w:rPr>
              <w:t>环境质量标准</w:t>
            </w:r>
          </w:p>
          <w:p>
            <w:pPr>
              <w:adjustRightInd w:val="0"/>
              <w:snapToGrid w:val="0"/>
              <w:spacing w:line="360" w:lineRule="auto"/>
              <w:ind w:firstLine="480" w:firstLineChars="200"/>
              <w:rPr>
                <w:sz w:val="24"/>
                <w:szCs w:val="20"/>
              </w:rPr>
            </w:pPr>
            <w:r>
              <w:rPr>
                <w:sz w:val="24"/>
                <w:szCs w:val="20"/>
              </w:rPr>
              <w:t>（1）大气环境：执行《环境空气质量标准》（</w:t>
            </w:r>
            <w:r>
              <w:rPr>
                <w:rFonts w:eastAsia="Times New Roman"/>
                <w:sz w:val="24"/>
                <w:szCs w:val="20"/>
              </w:rPr>
              <w:t>GB3095-2012</w:t>
            </w:r>
            <w:r>
              <w:rPr>
                <w:sz w:val="24"/>
                <w:szCs w:val="20"/>
              </w:rPr>
              <w:t>）中的二级标准，具体标准值见表3-</w:t>
            </w:r>
            <w:r>
              <w:rPr>
                <w:rFonts w:hint="eastAsia"/>
                <w:sz w:val="24"/>
                <w:szCs w:val="20"/>
              </w:rPr>
              <w:t>5</w:t>
            </w:r>
            <w:r>
              <w:rPr>
                <w:sz w:val="24"/>
                <w:szCs w:val="20"/>
              </w:rPr>
              <w:t>。</w:t>
            </w:r>
          </w:p>
          <w:p>
            <w:pPr>
              <w:adjustRightInd w:val="0"/>
              <w:snapToGrid w:val="0"/>
              <w:jc w:val="center"/>
              <w:rPr>
                <w:b/>
                <w:szCs w:val="13"/>
              </w:rPr>
            </w:pPr>
            <w:r>
              <w:rPr>
                <w:b/>
                <w:szCs w:val="13"/>
              </w:rPr>
              <w:t>表3-</w:t>
            </w:r>
            <w:r>
              <w:rPr>
                <w:rFonts w:hint="eastAsia"/>
                <w:b/>
                <w:szCs w:val="13"/>
              </w:rPr>
              <w:t xml:space="preserve">5 </w:t>
            </w:r>
            <w:r>
              <w:rPr>
                <w:b/>
                <w:szCs w:val="13"/>
              </w:rPr>
              <w:t xml:space="preserve"> 《环境空气质量标准》（GB3095-2012）</w:t>
            </w:r>
          </w:p>
          <w:tbl>
            <w:tblPr>
              <w:tblStyle w:val="2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1"/>
              <w:gridCol w:w="1500"/>
              <w:gridCol w:w="2931"/>
              <w:gridCol w:w="2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8" w:type="pct"/>
                  <w:tcBorders>
                    <w:tl2br w:val="nil"/>
                    <w:tr2bl w:val="nil"/>
                  </w:tcBorders>
                  <w:vAlign w:val="center"/>
                </w:tcPr>
                <w:p>
                  <w:pPr>
                    <w:adjustRightInd w:val="0"/>
                    <w:snapToGrid w:val="0"/>
                    <w:jc w:val="center"/>
                    <w:rPr>
                      <w:kern w:val="0"/>
                      <w:szCs w:val="21"/>
                    </w:rPr>
                  </w:pPr>
                  <w:r>
                    <w:rPr>
                      <w:kern w:val="0"/>
                      <w:szCs w:val="21"/>
                    </w:rPr>
                    <w:t>污染物</w:t>
                  </w:r>
                </w:p>
              </w:tc>
              <w:tc>
                <w:tcPr>
                  <w:tcW w:w="943" w:type="pct"/>
                  <w:tcBorders>
                    <w:tl2br w:val="nil"/>
                    <w:tr2bl w:val="nil"/>
                  </w:tcBorders>
                  <w:vAlign w:val="center"/>
                </w:tcPr>
                <w:p>
                  <w:pPr>
                    <w:adjustRightInd w:val="0"/>
                    <w:snapToGrid w:val="0"/>
                    <w:jc w:val="center"/>
                    <w:rPr>
                      <w:kern w:val="0"/>
                      <w:szCs w:val="21"/>
                    </w:rPr>
                  </w:pPr>
                  <w:r>
                    <w:rPr>
                      <w:kern w:val="0"/>
                      <w:szCs w:val="21"/>
                    </w:rPr>
                    <w:t>取值时间</w:t>
                  </w:r>
                </w:p>
              </w:tc>
              <w:tc>
                <w:tcPr>
                  <w:tcW w:w="1843" w:type="pct"/>
                  <w:tcBorders>
                    <w:tl2br w:val="nil"/>
                    <w:tr2bl w:val="nil"/>
                  </w:tcBorders>
                  <w:vAlign w:val="center"/>
                </w:tcPr>
                <w:p>
                  <w:pPr>
                    <w:adjustRightInd w:val="0"/>
                    <w:snapToGrid w:val="0"/>
                    <w:jc w:val="center"/>
                    <w:rPr>
                      <w:kern w:val="0"/>
                      <w:szCs w:val="21"/>
                    </w:rPr>
                  </w:pPr>
                  <w:r>
                    <w:rPr>
                      <w:kern w:val="0"/>
                      <w:szCs w:val="21"/>
                    </w:rPr>
                    <w:t>二级标准浓度限值(μg/m</w:t>
                  </w:r>
                  <w:r>
                    <w:rPr>
                      <w:kern w:val="0"/>
                      <w:szCs w:val="21"/>
                      <w:vertAlign w:val="superscript"/>
                    </w:rPr>
                    <w:t>3</w:t>
                  </w:r>
                  <w:r>
                    <w:rPr>
                      <w:kern w:val="0"/>
                      <w:szCs w:val="21"/>
                    </w:rPr>
                    <w:t>)</w:t>
                  </w:r>
                </w:p>
              </w:tc>
              <w:tc>
                <w:tcPr>
                  <w:tcW w:w="1665" w:type="pct"/>
                  <w:tcBorders>
                    <w:tl2br w:val="nil"/>
                    <w:tr2bl w:val="nil"/>
                  </w:tcBorders>
                  <w:vAlign w:val="center"/>
                </w:tcPr>
                <w:p>
                  <w:pPr>
                    <w:adjustRightInd w:val="0"/>
                    <w:snapToGrid w:val="0"/>
                    <w:jc w:val="center"/>
                    <w:rPr>
                      <w:kern w:val="0"/>
                      <w:szCs w:val="21"/>
                    </w:rPr>
                  </w:pPr>
                  <w:r>
                    <w:rPr>
                      <w:kern w:val="0"/>
                      <w:szCs w:val="21"/>
                    </w:rPr>
                    <w:t>依  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jc w:val="center"/>
              </w:trPr>
              <w:tc>
                <w:tcPr>
                  <w:tcW w:w="548" w:type="pct"/>
                  <w:vMerge w:val="restart"/>
                  <w:tcBorders>
                    <w:tl2br w:val="nil"/>
                    <w:tr2bl w:val="nil"/>
                  </w:tcBorders>
                  <w:vAlign w:val="center"/>
                </w:tcPr>
                <w:p>
                  <w:pPr>
                    <w:adjustRightInd w:val="0"/>
                    <w:snapToGrid w:val="0"/>
                    <w:jc w:val="center"/>
                    <w:rPr>
                      <w:kern w:val="0"/>
                      <w:szCs w:val="21"/>
                    </w:rPr>
                  </w:pPr>
                  <w:r>
                    <w:rPr>
                      <w:kern w:val="0"/>
                      <w:szCs w:val="21"/>
                    </w:rPr>
                    <w:t>SO</w:t>
                  </w:r>
                  <w:r>
                    <w:rPr>
                      <w:kern w:val="0"/>
                      <w:szCs w:val="21"/>
                      <w:vertAlign w:val="subscript"/>
                    </w:rPr>
                    <w:t>2</w:t>
                  </w:r>
                </w:p>
              </w:tc>
              <w:tc>
                <w:tcPr>
                  <w:tcW w:w="943" w:type="pct"/>
                  <w:tcBorders>
                    <w:tl2br w:val="nil"/>
                    <w:tr2bl w:val="nil"/>
                  </w:tcBorders>
                  <w:vAlign w:val="center"/>
                </w:tcPr>
                <w:p>
                  <w:pPr>
                    <w:adjustRightInd w:val="0"/>
                    <w:snapToGrid w:val="0"/>
                    <w:jc w:val="center"/>
                    <w:rPr>
                      <w:kern w:val="0"/>
                      <w:szCs w:val="21"/>
                    </w:rPr>
                  </w:pPr>
                  <w:r>
                    <w:rPr>
                      <w:kern w:val="0"/>
                      <w:szCs w:val="21"/>
                    </w:rPr>
                    <w:t>年平均</w:t>
                  </w:r>
                </w:p>
              </w:tc>
              <w:tc>
                <w:tcPr>
                  <w:tcW w:w="1843" w:type="pct"/>
                  <w:tcBorders>
                    <w:tl2br w:val="nil"/>
                    <w:tr2bl w:val="nil"/>
                  </w:tcBorders>
                  <w:vAlign w:val="center"/>
                </w:tcPr>
                <w:p>
                  <w:pPr>
                    <w:adjustRightInd w:val="0"/>
                    <w:snapToGrid w:val="0"/>
                    <w:jc w:val="center"/>
                    <w:rPr>
                      <w:kern w:val="0"/>
                      <w:szCs w:val="21"/>
                    </w:rPr>
                  </w:pPr>
                  <w:r>
                    <w:rPr>
                      <w:kern w:val="0"/>
                      <w:szCs w:val="21"/>
                    </w:rPr>
                    <w:t>60</w:t>
                  </w:r>
                </w:p>
              </w:tc>
              <w:tc>
                <w:tcPr>
                  <w:tcW w:w="1665" w:type="pct"/>
                  <w:vMerge w:val="restart"/>
                  <w:tcBorders>
                    <w:tl2br w:val="nil"/>
                    <w:tr2bl w:val="nil"/>
                  </w:tcBorders>
                  <w:vAlign w:val="center"/>
                </w:tcPr>
                <w:p>
                  <w:pPr>
                    <w:adjustRightInd w:val="0"/>
                    <w:snapToGrid w:val="0"/>
                    <w:jc w:val="center"/>
                    <w:rPr>
                      <w:kern w:val="0"/>
                      <w:szCs w:val="21"/>
                    </w:rPr>
                  </w:pPr>
                  <w:r>
                    <w:rPr>
                      <w:kern w:val="0"/>
                      <w:szCs w:val="21"/>
                    </w:rPr>
                    <w:t>《环境空气质量标准》（GB3095-2012）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 w:hRule="atLeast"/>
                <w:jc w:val="center"/>
              </w:trPr>
              <w:tc>
                <w:tcPr>
                  <w:tcW w:w="548" w:type="pct"/>
                  <w:vMerge w:val="continue"/>
                  <w:tcBorders>
                    <w:tl2br w:val="nil"/>
                    <w:tr2bl w:val="nil"/>
                  </w:tcBorders>
                  <w:vAlign w:val="center"/>
                </w:tcPr>
                <w:p>
                  <w:pPr>
                    <w:adjustRightInd w:val="0"/>
                    <w:snapToGrid w:val="0"/>
                    <w:jc w:val="center"/>
                    <w:rPr>
                      <w:b/>
                      <w:bCs/>
                      <w:kern w:val="0"/>
                      <w:szCs w:val="21"/>
                    </w:rPr>
                  </w:pPr>
                </w:p>
              </w:tc>
              <w:tc>
                <w:tcPr>
                  <w:tcW w:w="943" w:type="pct"/>
                  <w:tcBorders>
                    <w:tl2br w:val="nil"/>
                    <w:tr2bl w:val="nil"/>
                  </w:tcBorders>
                  <w:vAlign w:val="center"/>
                </w:tcPr>
                <w:p>
                  <w:pPr>
                    <w:adjustRightInd w:val="0"/>
                    <w:snapToGrid w:val="0"/>
                    <w:jc w:val="center"/>
                    <w:rPr>
                      <w:kern w:val="0"/>
                      <w:szCs w:val="21"/>
                    </w:rPr>
                  </w:pPr>
                  <w:r>
                    <w:rPr>
                      <w:kern w:val="0"/>
                      <w:szCs w:val="21"/>
                    </w:rPr>
                    <w:t>日平均</w:t>
                  </w:r>
                </w:p>
              </w:tc>
              <w:tc>
                <w:tcPr>
                  <w:tcW w:w="1843" w:type="pct"/>
                  <w:tcBorders>
                    <w:tl2br w:val="nil"/>
                    <w:tr2bl w:val="nil"/>
                  </w:tcBorders>
                  <w:vAlign w:val="center"/>
                </w:tcPr>
                <w:p>
                  <w:pPr>
                    <w:adjustRightInd w:val="0"/>
                    <w:snapToGrid w:val="0"/>
                    <w:jc w:val="center"/>
                    <w:rPr>
                      <w:kern w:val="0"/>
                      <w:szCs w:val="21"/>
                    </w:rPr>
                  </w:pPr>
                  <w:r>
                    <w:rPr>
                      <w:kern w:val="0"/>
                      <w:szCs w:val="21"/>
                    </w:rPr>
                    <w:t>150</w:t>
                  </w:r>
                </w:p>
              </w:tc>
              <w:tc>
                <w:tcPr>
                  <w:tcW w:w="1665" w:type="pct"/>
                  <w:vMerge w:val="continue"/>
                  <w:tcBorders>
                    <w:tl2br w:val="nil"/>
                    <w:tr2bl w:val="nil"/>
                  </w:tcBorders>
                  <w:vAlign w:val="center"/>
                </w:tcPr>
                <w:p>
                  <w:pPr>
                    <w:adjustRightInd w:val="0"/>
                    <w:snapToGrid w:val="0"/>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8" w:type="pct"/>
                  <w:vMerge w:val="continue"/>
                  <w:tcBorders>
                    <w:tl2br w:val="nil"/>
                    <w:tr2bl w:val="nil"/>
                  </w:tcBorders>
                  <w:vAlign w:val="center"/>
                </w:tcPr>
                <w:p>
                  <w:pPr>
                    <w:adjustRightInd w:val="0"/>
                    <w:snapToGrid w:val="0"/>
                    <w:jc w:val="center"/>
                    <w:rPr>
                      <w:b/>
                      <w:bCs/>
                      <w:kern w:val="0"/>
                      <w:szCs w:val="21"/>
                    </w:rPr>
                  </w:pPr>
                </w:p>
              </w:tc>
              <w:tc>
                <w:tcPr>
                  <w:tcW w:w="943" w:type="pct"/>
                  <w:tcBorders>
                    <w:tl2br w:val="nil"/>
                    <w:tr2bl w:val="nil"/>
                  </w:tcBorders>
                  <w:vAlign w:val="center"/>
                </w:tcPr>
                <w:p>
                  <w:pPr>
                    <w:adjustRightInd w:val="0"/>
                    <w:snapToGrid w:val="0"/>
                    <w:jc w:val="center"/>
                    <w:rPr>
                      <w:kern w:val="0"/>
                      <w:szCs w:val="21"/>
                    </w:rPr>
                  </w:pPr>
                  <w:r>
                    <w:rPr>
                      <w:kern w:val="0"/>
                      <w:szCs w:val="21"/>
                    </w:rPr>
                    <w:t>1小时平均</w:t>
                  </w:r>
                </w:p>
              </w:tc>
              <w:tc>
                <w:tcPr>
                  <w:tcW w:w="1843" w:type="pct"/>
                  <w:tcBorders>
                    <w:tl2br w:val="nil"/>
                    <w:tr2bl w:val="nil"/>
                  </w:tcBorders>
                  <w:vAlign w:val="center"/>
                </w:tcPr>
                <w:p>
                  <w:pPr>
                    <w:adjustRightInd w:val="0"/>
                    <w:snapToGrid w:val="0"/>
                    <w:jc w:val="center"/>
                    <w:rPr>
                      <w:kern w:val="0"/>
                      <w:szCs w:val="21"/>
                    </w:rPr>
                  </w:pPr>
                  <w:r>
                    <w:rPr>
                      <w:kern w:val="0"/>
                      <w:szCs w:val="21"/>
                    </w:rPr>
                    <w:t>500</w:t>
                  </w:r>
                </w:p>
              </w:tc>
              <w:tc>
                <w:tcPr>
                  <w:tcW w:w="1665" w:type="pct"/>
                  <w:vMerge w:val="continue"/>
                  <w:tcBorders>
                    <w:tl2br w:val="nil"/>
                    <w:tr2bl w:val="nil"/>
                  </w:tcBorders>
                  <w:vAlign w:val="center"/>
                </w:tcPr>
                <w:p>
                  <w:pPr>
                    <w:adjustRightInd w:val="0"/>
                    <w:snapToGrid w:val="0"/>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8" w:type="pct"/>
                  <w:vMerge w:val="restart"/>
                  <w:tcBorders>
                    <w:tl2br w:val="nil"/>
                    <w:tr2bl w:val="nil"/>
                  </w:tcBorders>
                  <w:vAlign w:val="center"/>
                </w:tcPr>
                <w:p>
                  <w:pPr>
                    <w:adjustRightInd w:val="0"/>
                    <w:snapToGrid w:val="0"/>
                    <w:jc w:val="center"/>
                    <w:rPr>
                      <w:kern w:val="0"/>
                      <w:szCs w:val="21"/>
                    </w:rPr>
                  </w:pPr>
                  <w:r>
                    <w:rPr>
                      <w:kern w:val="0"/>
                      <w:szCs w:val="21"/>
                    </w:rPr>
                    <w:t>NO</w:t>
                  </w:r>
                  <w:r>
                    <w:rPr>
                      <w:kern w:val="0"/>
                      <w:szCs w:val="21"/>
                      <w:vertAlign w:val="subscript"/>
                    </w:rPr>
                    <w:t>2</w:t>
                  </w:r>
                </w:p>
              </w:tc>
              <w:tc>
                <w:tcPr>
                  <w:tcW w:w="943" w:type="pct"/>
                  <w:tcBorders>
                    <w:tl2br w:val="nil"/>
                    <w:tr2bl w:val="nil"/>
                  </w:tcBorders>
                  <w:vAlign w:val="center"/>
                </w:tcPr>
                <w:p>
                  <w:pPr>
                    <w:adjustRightInd w:val="0"/>
                    <w:snapToGrid w:val="0"/>
                    <w:jc w:val="center"/>
                    <w:rPr>
                      <w:kern w:val="0"/>
                      <w:szCs w:val="21"/>
                    </w:rPr>
                  </w:pPr>
                  <w:r>
                    <w:rPr>
                      <w:kern w:val="0"/>
                      <w:szCs w:val="21"/>
                    </w:rPr>
                    <w:t>年平均</w:t>
                  </w:r>
                </w:p>
              </w:tc>
              <w:tc>
                <w:tcPr>
                  <w:tcW w:w="1843" w:type="pct"/>
                  <w:tcBorders>
                    <w:tl2br w:val="nil"/>
                    <w:tr2bl w:val="nil"/>
                  </w:tcBorders>
                  <w:vAlign w:val="center"/>
                </w:tcPr>
                <w:p>
                  <w:pPr>
                    <w:adjustRightInd w:val="0"/>
                    <w:snapToGrid w:val="0"/>
                    <w:jc w:val="center"/>
                    <w:rPr>
                      <w:kern w:val="0"/>
                      <w:szCs w:val="21"/>
                    </w:rPr>
                  </w:pPr>
                  <w:r>
                    <w:rPr>
                      <w:kern w:val="0"/>
                      <w:szCs w:val="21"/>
                    </w:rPr>
                    <w:t>40</w:t>
                  </w:r>
                </w:p>
              </w:tc>
              <w:tc>
                <w:tcPr>
                  <w:tcW w:w="1665" w:type="pct"/>
                  <w:vMerge w:val="continue"/>
                  <w:tcBorders>
                    <w:tl2br w:val="nil"/>
                    <w:tr2bl w:val="nil"/>
                  </w:tcBorders>
                  <w:vAlign w:val="center"/>
                </w:tcPr>
                <w:p>
                  <w:pPr>
                    <w:adjustRightInd w:val="0"/>
                    <w:snapToGrid w:val="0"/>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8" w:type="pct"/>
                  <w:vMerge w:val="continue"/>
                  <w:tcBorders>
                    <w:tl2br w:val="nil"/>
                    <w:tr2bl w:val="nil"/>
                  </w:tcBorders>
                  <w:vAlign w:val="center"/>
                </w:tcPr>
                <w:p>
                  <w:pPr>
                    <w:adjustRightInd w:val="0"/>
                    <w:snapToGrid w:val="0"/>
                    <w:jc w:val="center"/>
                    <w:rPr>
                      <w:b/>
                      <w:bCs/>
                      <w:kern w:val="0"/>
                      <w:szCs w:val="21"/>
                    </w:rPr>
                  </w:pPr>
                </w:p>
              </w:tc>
              <w:tc>
                <w:tcPr>
                  <w:tcW w:w="943" w:type="pct"/>
                  <w:tcBorders>
                    <w:tl2br w:val="nil"/>
                    <w:tr2bl w:val="nil"/>
                  </w:tcBorders>
                  <w:vAlign w:val="center"/>
                </w:tcPr>
                <w:p>
                  <w:pPr>
                    <w:adjustRightInd w:val="0"/>
                    <w:snapToGrid w:val="0"/>
                    <w:jc w:val="center"/>
                    <w:rPr>
                      <w:kern w:val="0"/>
                      <w:szCs w:val="21"/>
                    </w:rPr>
                  </w:pPr>
                  <w:r>
                    <w:rPr>
                      <w:kern w:val="0"/>
                      <w:szCs w:val="21"/>
                    </w:rPr>
                    <w:t>日平均</w:t>
                  </w:r>
                </w:p>
              </w:tc>
              <w:tc>
                <w:tcPr>
                  <w:tcW w:w="1843" w:type="pct"/>
                  <w:tcBorders>
                    <w:tl2br w:val="nil"/>
                    <w:tr2bl w:val="nil"/>
                  </w:tcBorders>
                  <w:vAlign w:val="center"/>
                </w:tcPr>
                <w:p>
                  <w:pPr>
                    <w:adjustRightInd w:val="0"/>
                    <w:snapToGrid w:val="0"/>
                    <w:jc w:val="center"/>
                    <w:rPr>
                      <w:kern w:val="0"/>
                      <w:szCs w:val="21"/>
                    </w:rPr>
                  </w:pPr>
                  <w:r>
                    <w:rPr>
                      <w:kern w:val="0"/>
                      <w:szCs w:val="21"/>
                    </w:rPr>
                    <w:t>80</w:t>
                  </w:r>
                </w:p>
              </w:tc>
              <w:tc>
                <w:tcPr>
                  <w:tcW w:w="1665" w:type="pct"/>
                  <w:vMerge w:val="continue"/>
                  <w:tcBorders>
                    <w:tl2br w:val="nil"/>
                    <w:tr2bl w:val="nil"/>
                  </w:tcBorders>
                  <w:vAlign w:val="center"/>
                </w:tcPr>
                <w:p>
                  <w:pPr>
                    <w:adjustRightInd w:val="0"/>
                    <w:snapToGrid w:val="0"/>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548" w:type="pct"/>
                  <w:vMerge w:val="continue"/>
                  <w:tcBorders>
                    <w:tl2br w:val="nil"/>
                    <w:tr2bl w:val="nil"/>
                  </w:tcBorders>
                  <w:vAlign w:val="center"/>
                </w:tcPr>
                <w:p>
                  <w:pPr>
                    <w:adjustRightInd w:val="0"/>
                    <w:snapToGrid w:val="0"/>
                    <w:jc w:val="center"/>
                    <w:rPr>
                      <w:b/>
                      <w:bCs/>
                      <w:kern w:val="0"/>
                      <w:szCs w:val="21"/>
                    </w:rPr>
                  </w:pPr>
                </w:p>
              </w:tc>
              <w:tc>
                <w:tcPr>
                  <w:tcW w:w="943" w:type="pct"/>
                  <w:tcBorders>
                    <w:tl2br w:val="nil"/>
                    <w:tr2bl w:val="nil"/>
                  </w:tcBorders>
                  <w:vAlign w:val="center"/>
                </w:tcPr>
                <w:p>
                  <w:pPr>
                    <w:adjustRightInd w:val="0"/>
                    <w:snapToGrid w:val="0"/>
                    <w:jc w:val="center"/>
                    <w:rPr>
                      <w:kern w:val="0"/>
                      <w:szCs w:val="21"/>
                    </w:rPr>
                  </w:pPr>
                  <w:r>
                    <w:rPr>
                      <w:kern w:val="0"/>
                      <w:szCs w:val="21"/>
                    </w:rPr>
                    <w:t>1小时平均</w:t>
                  </w:r>
                </w:p>
              </w:tc>
              <w:tc>
                <w:tcPr>
                  <w:tcW w:w="1843" w:type="pct"/>
                  <w:tcBorders>
                    <w:tl2br w:val="nil"/>
                    <w:tr2bl w:val="nil"/>
                  </w:tcBorders>
                  <w:vAlign w:val="center"/>
                </w:tcPr>
                <w:p>
                  <w:pPr>
                    <w:adjustRightInd w:val="0"/>
                    <w:snapToGrid w:val="0"/>
                    <w:jc w:val="center"/>
                    <w:rPr>
                      <w:kern w:val="0"/>
                      <w:szCs w:val="21"/>
                    </w:rPr>
                  </w:pPr>
                  <w:r>
                    <w:rPr>
                      <w:kern w:val="0"/>
                      <w:szCs w:val="21"/>
                    </w:rPr>
                    <w:t>200</w:t>
                  </w:r>
                </w:p>
              </w:tc>
              <w:tc>
                <w:tcPr>
                  <w:tcW w:w="1665" w:type="pct"/>
                  <w:vMerge w:val="continue"/>
                  <w:tcBorders>
                    <w:tl2br w:val="nil"/>
                    <w:tr2bl w:val="nil"/>
                  </w:tcBorders>
                  <w:vAlign w:val="center"/>
                </w:tcPr>
                <w:p>
                  <w:pPr>
                    <w:adjustRightInd w:val="0"/>
                    <w:snapToGrid w:val="0"/>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8" w:type="pct"/>
                  <w:vMerge w:val="restart"/>
                  <w:tcBorders>
                    <w:tl2br w:val="nil"/>
                    <w:tr2bl w:val="nil"/>
                  </w:tcBorders>
                  <w:vAlign w:val="center"/>
                </w:tcPr>
                <w:p>
                  <w:pPr>
                    <w:adjustRightInd w:val="0"/>
                    <w:snapToGrid w:val="0"/>
                    <w:jc w:val="center"/>
                    <w:rPr>
                      <w:kern w:val="0"/>
                      <w:szCs w:val="21"/>
                    </w:rPr>
                  </w:pPr>
                  <w:r>
                    <w:rPr>
                      <w:kern w:val="0"/>
                      <w:szCs w:val="21"/>
                    </w:rPr>
                    <w:t>PM</w:t>
                  </w:r>
                  <w:r>
                    <w:rPr>
                      <w:kern w:val="0"/>
                      <w:szCs w:val="21"/>
                      <w:vertAlign w:val="subscript"/>
                    </w:rPr>
                    <w:t>10</w:t>
                  </w:r>
                </w:p>
              </w:tc>
              <w:tc>
                <w:tcPr>
                  <w:tcW w:w="943" w:type="pct"/>
                  <w:tcBorders>
                    <w:tl2br w:val="nil"/>
                    <w:tr2bl w:val="nil"/>
                  </w:tcBorders>
                  <w:vAlign w:val="center"/>
                </w:tcPr>
                <w:p>
                  <w:pPr>
                    <w:adjustRightInd w:val="0"/>
                    <w:snapToGrid w:val="0"/>
                    <w:jc w:val="center"/>
                    <w:rPr>
                      <w:kern w:val="0"/>
                      <w:szCs w:val="21"/>
                    </w:rPr>
                  </w:pPr>
                  <w:r>
                    <w:rPr>
                      <w:kern w:val="0"/>
                      <w:szCs w:val="21"/>
                    </w:rPr>
                    <w:t>年平均</w:t>
                  </w:r>
                </w:p>
              </w:tc>
              <w:tc>
                <w:tcPr>
                  <w:tcW w:w="1843" w:type="pct"/>
                  <w:tcBorders>
                    <w:tl2br w:val="nil"/>
                    <w:tr2bl w:val="nil"/>
                  </w:tcBorders>
                  <w:vAlign w:val="center"/>
                </w:tcPr>
                <w:p>
                  <w:pPr>
                    <w:adjustRightInd w:val="0"/>
                    <w:snapToGrid w:val="0"/>
                    <w:jc w:val="center"/>
                    <w:rPr>
                      <w:kern w:val="0"/>
                      <w:szCs w:val="21"/>
                    </w:rPr>
                  </w:pPr>
                  <w:r>
                    <w:rPr>
                      <w:kern w:val="0"/>
                      <w:szCs w:val="21"/>
                    </w:rPr>
                    <w:t>70</w:t>
                  </w:r>
                </w:p>
              </w:tc>
              <w:tc>
                <w:tcPr>
                  <w:tcW w:w="1665" w:type="pct"/>
                  <w:vMerge w:val="continue"/>
                  <w:tcBorders>
                    <w:tl2br w:val="nil"/>
                    <w:tr2bl w:val="nil"/>
                  </w:tcBorders>
                  <w:vAlign w:val="center"/>
                </w:tcPr>
                <w:p>
                  <w:pPr>
                    <w:adjustRightInd w:val="0"/>
                    <w:snapToGrid w:val="0"/>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8" w:type="pct"/>
                  <w:vMerge w:val="continue"/>
                  <w:tcBorders>
                    <w:tl2br w:val="nil"/>
                    <w:tr2bl w:val="nil"/>
                  </w:tcBorders>
                  <w:vAlign w:val="center"/>
                </w:tcPr>
                <w:p>
                  <w:pPr>
                    <w:adjustRightInd w:val="0"/>
                    <w:snapToGrid w:val="0"/>
                    <w:jc w:val="center"/>
                    <w:rPr>
                      <w:b/>
                      <w:bCs/>
                      <w:kern w:val="0"/>
                      <w:szCs w:val="21"/>
                    </w:rPr>
                  </w:pPr>
                </w:p>
              </w:tc>
              <w:tc>
                <w:tcPr>
                  <w:tcW w:w="943" w:type="pct"/>
                  <w:tcBorders>
                    <w:tl2br w:val="nil"/>
                    <w:tr2bl w:val="nil"/>
                  </w:tcBorders>
                  <w:vAlign w:val="center"/>
                </w:tcPr>
                <w:p>
                  <w:pPr>
                    <w:adjustRightInd w:val="0"/>
                    <w:snapToGrid w:val="0"/>
                    <w:jc w:val="center"/>
                    <w:rPr>
                      <w:kern w:val="0"/>
                      <w:szCs w:val="21"/>
                    </w:rPr>
                  </w:pPr>
                  <w:r>
                    <w:rPr>
                      <w:kern w:val="0"/>
                      <w:szCs w:val="21"/>
                    </w:rPr>
                    <w:t>日平均</w:t>
                  </w:r>
                </w:p>
              </w:tc>
              <w:tc>
                <w:tcPr>
                  <w:tcW w:w="1843" w:type="pct"/>
                  <w:tcBorders>
                    <w:tl2br w:val="nil"/>
                    <w:tr2bl w:val="nil"/>
                  </w:tcBorders>
                  <w:vAlign w:val="center"/>
                </w:tcPr>
                <w:p>
                  <w:pPr>
                    <w:adjustRightInd w:val="0"/>
                    <w:snapToGrid w:val="0"/>
                    <w:jc w:val="center"/>
                    <w:rPr>
                      <w:kern w:val="0"/>
                      <w:szCs w:val="21"/>
                    </w:rPr>
                  </w:pPr>
                  <w:r>
                    <w:rPr>
                      <w:kern w:val="0"/>
                      <w:szCs w:val="21"/>
                    </w:rPr>
                    <w:t>150</w:t>
                  </w:r>
                </w:p>
              </w:tc>
              <w:tc>
                <w:tcPr>
                  <w:tcW w:w="1665" w:type="pct"/>
                  <w:vMerge w:val="continue"/>
                  <w:tcBorders>
                    <w:tl2br w:val="nil"/>
                    <w:tr2bl w:val="nil"/>
                  </w:tcBorders>
                  <w:vAlign w:val="center"/>
                </w:tcPr>
                <w:p>
                  <w:pPr>
                    <w:adjustRightInd w:val="0"/>
                    <w:snapToGrid w:val="0"/>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8" w:type="pct"/>
                  <w:vMerge w:val="restart"/>
                  <w:tcBorders>
                    <w:tl2br w:val="nil"/>
                    <w:tr2bl w:val="nil"/>
                  </w:tcBorders>
                  <w:vAlign w:val="center"/>
                </w:tcPr>
                <w:p>
                  <w:pPr>
                    <w:adjustRightInd w:val="0"/>
                    <w:snapToGrid w:val="0"/>
                    <w:jc w:val="center"/>
                    <w:rPr>
                      <w:kern w:val="0"/>
                      <w:szCs w:val="21"/>
                    </w:rPr>
                  </w:pPr>
                  <w:r>
                    <w:rPr>
                      <w:kern w:val="0"/>
                      <w:szCs w:val="21"/>
                    </w:rPr>
                    <w:t>PM</w:t>
                  </w:r>
                  <w:r>
                    <w:rPr>
                      <w:kern w:val="0"/>
                      <w:szCs w:val="21"/>
                      <w:vertAlign w:val="subscript"/>
                    </w:rPr>
                    <w:t>2.5</w:t>
                  </w:r>
                </w:p>
              </w:tc>
              <w:tc>
                <w:tcPr>
                  <w:tcW w:w="943" w:type="pct"/>
                  <w:tcBorders>
                    <w:tl2br w:val="nil"/>
                    <w:tr2bl w:val="nil"/>
                  </w:tcBorders>
                  <w:vAlign w:val="center"/>
                </w:tcPr>
                <w:p>
                  <w:pPr>
                    <w:adjustRightInd w:val="0"/>
                    <w:snapToGrid w:val="0"/>
                    <w:jc w:val="center"/>
                    <w:rPr>
                      <w:kern w:val="0"/>
                      <w:szCs w:val="21"/>
                    </w:rPr>
                  </w:pPr>
                  <w:r>
                    <w:rPr>
                      <w:kern w:val="0"/>
                      <w:szCs w:val="21"/>
                    </w:rPr>
                    <w:t>年平均</w:t>
                  </w:r>
                </w:p>
              </w:tc>
              <w:tc>
                <w:tcPr>
                  <w:tcW w:w="1843" w:type="pct"/>
                  <w:tcBorders>
                    <w:tl2br w:val="nil"/>
                    <w:tr2bl w:val="nil"/>
                  </w:tcBorders>
                  <w:vAlign w:val="center"/>
                </w:tcPr>
                <w:p>
                  <w:pPr>
                    <w:adjustRightInd w:val="0"/>
                    <w:snapToGrid w:val="0"/>
                    <w:jc w:val="center"/>
                    <w:rPr>
                      <w:kern w:val="0"/>
                      <w:szCs w:val="21"/>
                    </w:rPr>
                  </w:pPr>
                  <w:r>
                    <w:rPr>
                      <w:kern w:val="0"/>
                      <w:szCs w:val="21"/>
                    </w:rPr>
                    <w:t>35</w:t>
                  </w:r>
                </w:p>
              </w:tc>
              <w:tc>
                <w:tcPr>
                  <w:tcW w:w="1665" w:type="pct"/>
                  <w:vMerge w:val="continue"/>
                  <w:tcBorders>
                    <w:tl2br w:val="nil"/>
                    <w:tr2bl w:val="nil"/>
                  </w:tcBorders>
                  <w:vAlign w:val="center"/>
                </w:tcPr>
                <w:p>
                  <w:pPr>
                    <w:adjustRightInd w:val="0"/>
                    <w:snapToGrid w:val="0"/>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8" w:type="pct"/>
                  <w:vMerge w:val="continue"/>
                  <w:tcBorders>
                    <w:tl2br w:val="nil"/>
                    <w:tr2bl w:val="nil"/>
                  </w:tcBorders>
                  <w:vAlign w:val="center"/>
                </w:tcPr>
                <w:p>
                  <w:pPr>
                    <w:adjustRightInd w:val="0"/>
                    <w:snapToGrid w:val="0"/>
                    <w:jc w:val="center"/>
                    <w:rPr>
                      <w:b/>
                      <w:bCs/>
                      <w:kern w:val="0"/>
                      <w:szCs w:val="21"/>
                    </w:rPr>
                  </w:pPr>
                </w:p>
              </w:tc>
              <w:tc>
                <w:tcPr>
                  <w:tcW w:w="943" w:type="pct"/>
                  <w:tcBorders>
                    <w:tl2br w:val="nil"/>
                    <w:tr2bl w:val="nil"/>
                  </w:tcBorders>
                  <w:vAlign w:val="center"/>
                </w:tcPr>
                <w:p>
                  <w:pPr>
                    <w:adjustRightInd w:val="0"/>
                    <w:snapToGrid w:val="0"/>
                    <w:jc w:val="center"/>
                    <w:rPr>
                      <w:kern w:val="0"/>
                      <w:szCs w:val="21"/>
                    </w:rPr>
                  </w:pPr>
                  <w:r>
                    <w:rPr>
                      <w:kern w:val="0"/>
                      <w:szCs w:val="21"/>
                    </w:rPr>
                    <w:t>日平均</w:t>
                  </w:r>
                </w:p>
              </w:tc>
              <w:tc>
                <w:tcPr>
                  <w:tcW w:w="1843" w:type="pct"/>
                  <w:tcBorders>
                    <w:tl2br w:val="nil"/>
                    <w:tr2bl w:val="nil"/>
                  </w:tcBorders>
                  <w:vAlign w:val="center"/>
                </w:tcPr>
                <w:p>
                  <w:pPr>
                    <w:adjustRightInd w:val="0"/>
                    <w:snapToGrid w:val="0"/>
                    <w:jc w:val="center"/>
                    <w:rPr>
                      <w:kern w:val="0"/>
                      <w:szCs w:val="21"/>
                    </w:rPr>
                  </w:pPr>
                  <w:r>
                    <w:rPr>
                      <w:kern w:val="0"/>
                      <w:szCs w:val="21"/>
                    </w:rPr>
                    <w:t>75</w:t>
                  </w:r>
                </w:p>
              </w:tc>
              <w:tc>
                <w:tcPr>
                  <w:tcW w:w="1665" w:type="pct"/>
                  <w:vMerge w:val="continue"/>
                  <w:tcBorders>
                    <w:tl2br w:val="nil"/>
                    <w:tr2bl w:val="nil"/>
                  </w:tcBorders>
                  <w:vAlign w:val="center"/>
                </w:tcPr>
                <w:p>
                  <w:pPr>
                    <w:adjustRightInd w:val="0"/>
                    <w:snapToGrid w:val="0"/>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8" w:type="pct"/>
                  <w:vMerge w:val="restart"/>
                  <w:tcBorders>
                    <w:tl2br w:val="nil"/>
                    <w:tr2bl w:val="nil"/>
                  </w:tcBorders>
                  <w:vAlign w:val="center"/>
                </w:tcPr>
                <w:p>
                  <w:pPr>
                    <w:adjustRightInd w:val="0"/>
                    <w:snapToGrid w:val="0"/>
                    <w:jc w:val="center"/>
                    <w:rPr>
                      <w:kern w:val="0"/>
                      <w:szCs w:val="21"/>
                    </w:rPr>
                  </w:pPr>
                  <w:r>
                    <w:rPr>
                      <w:kern w:val="0"/>
                      <w:szCs w:val="21"/>
                    </w:rPr>
                    <w:t>TSP</w:t>
                  </w:r>
                </w:p>
              </w:tc>
              <w:tc>
                <w:tcPr>
                  <w:tcW w:w="943" w:type="pct"/>
                  <w:tcBorders>
                    <w:tl2br w:val="nil"/>
                    <w:tr2bl w:val="nil"/>
                  </w:tcBorders>
                  <w:vAlign w:val="center"/>
                </w:tcPr>
                <w:p>
                  <w:pPr>
                    <w:adjustRightInd w:val="0"/>
                    <w:snapToGrid w:val="0"/>
                    <w:jc w:val="center"/>
                    <w:rPr>
                      <w:kern w:val="0"/>
                      <w:szCs w:val="21"/>
                    </w:rPr>
                  </w:pPr>
                  <w:r>
                    <w:rPr>
                      <w:kern w:val="0"/>
                      <w:szCs w:val="21"/>
                    </w:rPr>
                    <w:t>年平均</w:t>
                  </w:r>
                </w:p>
              </w:tc>
              <w:tc>
                <w:tcPr>
                  <w:tcW w:w="1843" w:type="pct"/>
                  <w:tcBorders>
                    <w:tl2br w:val="nil"/>
                    <w:tr2bl w:val="nil"/>
                  </w:tcBorders>
                  <w:vAlign w:val="center"/>
                </w:tcPr>
                <w:p>
                  <w:pPr>
                    <w:adjustRightInd w:val="0"/>
                    <w:snapToGrid w:val="0"/>
                    <w:jc w:val="center"/>
                    <w:rPr>
                      <w:kern w:val="0"/>
                      <w:szCs w:val="21"/>
                    </w:rPr>
                  </w:pPr>
                  <w:r>
                    <w:rPr>
                      <w:kern w:val="0"/>
                      <w:szCs w:val="21"/>
                    </w:rPr>
                    <w:t>200</w:t>
                  </w:r>
                </w:p>
              </w:tc>
              <w:tc>
                <w:tcPr>
                  <w:tcW w:w="1665" w:type="pct"/>
                  <w:vMerge w:val="continue"/>
                  <w:tcBorders>
                    <w:tl2br w:val="nil"/>
                    <w:tr2bl w:val="nil"/>
                  </w:tcBorders>
                  <w:vAlign w:val="center"/>
                </w:tcPr>
                <w:p>
                  <w:pPr>
                    <w:adjustRightInd w:val="0"/>
                    <w:snapToGrid w:val="0"/>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8" w:type="pct"/>
                  <w:vMerge w:val="continue"/>
                  <w:tcBorders>
                    <w:tl2br w:val="nil"/>
                    <w:tr2bl w:val="nil"/>
                  </w:tcBorders>
                  <w:vAlign w:val="center"/>
                </w:tcPr>
                <w:p>
                  <w:pPr>
                    <w:adjustRightInd w:val="0"/>
                    <w:snapToGrid w:val="0"/>
                    <w:jc w:val="center"/>
                    <w:rPr>
                      <w:b/>
                      <w:bCs/>
                      <w:kern w:val="0"/>
                      <w:szCs w:val="21"/>
                    </w:rPr>
                  </w:pPr>
                </w:p>
              </w:tc>
              <w:tc>
                <w:tcPr>
                  <w:tcW w:w="943" w:type="pct"/>
                  <w:tcBorders>
                    <w:tl2br w:val="nil"/>
                    <w:tr2bl w:val="nil"/>
                  </w:tcBorders>
                  <w:vAlign w:val="center"/>
                </w:tcPr>
                <w:p>
                  <w:pPr>
                    <w:adjustRightInd w:val="0"/>
                    <w:snapToGrid w:val="0"/>
                    <w:jc w:val="center"/>
                    <w:rPr>
                      <w:kern w:val="0"/>
                      <w:szCs w:val="21"/>
                    </w:rPr>
                  </w:pPr>
                  <w:r>
                    <w:rPr>
                      <w:kern w:val="0"/>
                      <w:szCs w:val="21"/>
                    </w:rPr>
                    <w:t>日平均</w:t>
                  </w:r>
                </w:p>
              </w:tc>
              <w:tc>
                <w:tcPr>
                  <w:tcW w:w="1843" w:type="pct"/>
                  <w:tcBorders>
                    <w:tl2br w:val="nil"/>
                    <w:tr2bl w:val="nil"/>
                  </w:tcBorders>
                  <w:vAlign w:val="center"/>
                </w:tcPr>
                <w:p>
                  <w:pPr>
                    <w:adjustRightInd w:val="0"/>
                    <w:snapToGrid w:val="0"/>
                    <w:jc w:val="center"/>
                    <w:rPr>
                      <w:kern w:val="0"/>
                      <w:szCs w:val="21"/>
                    </w:rPr>
                  </w:pPr>
                  <w:r>
                    <w:rPr>
                      <w:kern w:val="0"/>
                      <w:szCs w:val="21"/>
                    </w:rPr>
                    <w:t>300</w:t>
                  </w:r>
                </w:p>
              </w:tc>
              <w:tc>
                <w:tcPr>
                  <w:tcW w:w="1665" w:type="pct"/>
                  <w:vMerge w:val="continue"/>
                  <w:tcBorders>
                    <w:tl2br w:val="nil"/>
                    <w:tr2bl w:val="nil"/>
                  </w:tcBorders>
                  <w:vAlign w:val="center"/>
                </w:tcPr>
                <w:p>
                  <w:pPr>
                    <w:adjustRightInd w:val="0"/>
                    <w:snapToGrid w:val="0"/>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8" w:type="pct"/>
                  <w:vMerge w:val="restart"/>
                  <w:tcBorders>
                    <w:tl2br w:val="nil"/>
                    <w:tr2bl w:val="nil"/>
                  </w:tcBorders>
                  <w:vAlign w:val="center"/>
                </w:tcPr>
                <w:p>
                  <w:pPr>
                    <w:adjustRightInd w:val="0"/>
                    <w:snapToGrid w:val="0"/>
                    <w:jc w:val="center"/>
                    <w:rPr>
                      <w:b/>
                      <w:bCs/>
                      <w:kern w:val="0"/>
                      <w:szCs w:val="21"/>
                    </w:rPr>
                  </w:pPr>
                  <w:r>
                    <w:rPr>
                      <w:kern w:val="0"/>
                      <w:szCs w:val="21"/>
                    </w:rPr>
                    <w:t>O</w:t>
                  </w:r>
                  <w:r>
                    <w:rPr>
                      <w:kern w:val="0"/>
                      <w:szCs w:val="21"/>
                      <w:vertAlign w:val="subscript"/>
                    </w:rPr>
                    <w:t>3</w:t>
                  </w:r>
                </w:p>
              </w:tc>
              <w:tc>
                <w:tcPr>
                  <w:tcW w:w="943" w:type="pct"/>
                  <w:tcBorders>
                    <w:tl2br w:val="nil"/>
                    <w:tr2bl w:val="nil"/>
                  </w:tcBorders>
                  <w:vAlign w:val="center"/>
                </w:tcPr>
                <w:p>
                  <w:pPr>
                    <w:adjustRightInd w:val="0"/>
                    <w:snapToGrid w:val="0"/>
                    <w:jc w:val="center"/>
                    <w:rPr>
                      <w:kern w:val="0"/>
                      <w:szCs w:val="21"/>
                    </w:rPr>
                  </w:pPr>
                  <w:r>
                    <w:rPr>
                      <w:kern w:val="0"/>
                      <w:szCs w:val="21"/>
                    </w:rPr>
                    <w:t>日最大8小时平均</w:t>
                  </w:r>
                </w:p>
              </w:tc>
              <w:tc>
                <w:tcPr>
                  <w:tcW w:w="1843" w:type="pct"/>
                  <w:tcBorders>
                    <w:tl2br w:val="nil"/>
                    <w:tr2bl w:val="nil"/>
                  </w:tcBorders>
                  <w:vAlign w:val="center"/>
                </w:tcPr>
                <w:p>
                  <w:pPr>
                    <w:adjustRightInd w:val="0"/>
                    <w:snapToGrid w:val="0"/>
                    <w:jc w:val="center"/>
                    <w:rPr>
                      <w:kern w:val="0"/>
                      <w:szCs w:val="21"/>
                    </w:rPr>
                  </w:pPr>
                  <w:r>
                    <w:rPr>
                      <w:kern w:val="0"/>
                      <w:szCs w:val="21"/>
                    </w:rPr>
                    <w:t>160</w:t>
                  </w:r>
                </w:p>
              </w:tc>
              <w:tc>
                <w:tcPr>
                  <w:tcW w:w="1665" w:type="pct"/>
                  <w:vMerge w:val="continue"/>
                  <w:tcBorders>
                    <w:tl2br w:val="nil"/>
                    <w:tr2bl w:val="nil"/>
                  </w:tcBorders>
                  <w:vAlign w:val="center"/>
                </w:tcPr>
                <w:p>
                  <w:pPr>
                    <w:adjustRightInd w:val="0"/>
                    <w:snapToGrid w:val="0"/>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8" w:type="pct"/>
                  <w:vMerge w:val="continue"/>
                  <w:tcBorders>
                    <w:tl2br w:val="nil"/>
                    <w:tr2bl w:val="nil"/>
                  </w:tcBorders>
                  <w:vAlign w:val="center"/>
                </w:tcPr>
                <w:p>
                  <w:pPr>
                    <w:adjustRightInd w:val="0"/>
                    <w:snapToGrid w:val="0"/>
                    <w:jc w:val="center"/>
                    <w:rPr>
                      <w:kern w:val="0"/>
                      <w:szCs w:val="21"/>
                    </w:rPr>
                  </w:pPr>
                </w:p>
              </w:tc>
              <w:tc>
                <w:tcPr>
                  <w:tcW w:w="943" w:type="pct"/>
                  <w:tcBorders>
                    <w:tl2br w:val="nil"/>
                    <w:tr2bl w:val="nil"/>
                  </w:tcBorders>
                  <w:vAlign w:val="center"/>
                </w:tcPr>
                <w:p>
                  <w:pPr>
                    <w:adjustRightInd w:val="0"/>
                    <w:snapToGrid w:val="0"/>
                    <w:jc w:val="center"/>
                    <w:rPr>
                      <w:kern w:val="0"/>
                      <w:szCs w:val="21"/>
                    </w:rPr>
                  </w:pPr>
                  <w:r>
                    <w:rPr>
                      <w:kern w:val="0"/>
                      <w:szCs w:val="21"/>
                    </w:rPr>
                    <w:t>1小时平均</w:t>
                  </w:r>
                </w:p>
              </w:tc>
              <w:tc>
                <w:tcPr>
                  <w:tcW w:w="1843" w:type="pct"/>
                  <w:tcBorders>
                    <w:tl2br w:val="nil"/>
                    <w:tr2bl w:val="nil"/>
                  </w:tcBorders>
                  <w:vAlign w:val="center"/>
                </w:tcPr>
                <w:p>
                  <w:pPr>
                    <w:adjustRightInd w:val="0"/>
                    <w:snapToGrid w:val="0"/>
                    <w:jc w:val="center"/>
                    <w:rPr>
                      <w:kern w:val="0"/>
                      <w:szCs w:val="21"/>
                    </w:rPr>
                  </w:pPr>
                  <w:r>
                    <w:rPr>
                      <w:kern w:val="0"/>
                      <w:szCs w:val="21"/>
                    </w:rPr>
                    <w:t>200</w:t>
                  </w:r>
                </w:p>
              </w:tc>
              <w:tc>
                <w:tcPr>
                  <w:tcW w:w="1665" w:type="pct"/>
                  <w:vMerge w:val="continue"/>
                  <w:tcBorders>
                    <w:tl2br w:val="nil"/>
                    <w:tr2bl w:val="nil"/>
                  </w:tcBorders>
                  <w:vAlign w:val="center"/>
                </w:tcPr>
                <w:p>
                  <w:pPr>
                    <w:adjustRightInd w:val="0"/>
                    <w:snapToGrid w:val="0"/>
                    <w:jc w:val="center"/>
                    <w:rPr>
                      <w:b/>
                      <w:bCs/>
                      <w:kern w:val="0"/>
                      <w:szCs w:val="21"/>
                    </w:rPr>
                  </w:pPr>
                </w:p>
              </w:tc>
            </w:tr>
          </w:tbl>
          <w:p>
            <w:pPr>
              <w:numPr>
                <w:ilvl w:val="0"/>
                <w:numId w:val="3"/>
              </w:numPr>
              <w:autoSpaceDE w:val="0"/>
              <w:autoSpaceDN w:val="0"/>
              <w:adjustRightInd w:val="0"/>
              <w:snapToGrid w:val="0"/>
              <w:spacing w:line="360" w:lineRule="auto"/>
              <w:ind w:firstLine="480" w:firstLineChars="200"/>
              <w:jc w:val="left"/>
              <w:rPr>
                <w:sz w:val="24"/>
                <w:szCs w:val="22"/>
              </w:rPr>
            </w:pPr>
            <w:r>
              <w:rPr>
                <w:sz w:val="24"/>
                <w:szCs w:val="22"/>
              </w:rPr>
              <w:t>地表水环境：</w:t>
            </w:r>
            <w:bookmarkStart w:id="11" w:name="OLE_LINK37"/>
            <w:r>
              <w:rPr>
                <w:sz w:val="24"/>
                <w:szCs w:val="22"/>
              </w:rPr>
              <w:t>执行《地表水环境质量标准》(GB3838-2002)Ⅲ类标准，具体标准值见表3-</w:t>
            </w:r>
            <w:r>
              <w:rPr>
                <w:rFonts w:hint="eastAsia"/>
                <w:sz w:val="24"/>
                <w:szCs w:val="22"/>
              </w:rPr>
              <w:t>6。</w:t>
            </w:r>
          </w:p>
          <w:p>
            <w:pPr>
              <w:adjustRightInd w:val="0"/>
              <w:snapToGrid w:val="0"/>
              <w:spacing w:line="271" w:lineRule="auto"/>
              <w:jc w:val="center"/>
              <w:rPr>
                <w:b/>
                <w:color w:val="000000"/>
                <w:szCs w:val="21"/>
              </w:rPr>
            </w:pPr>
            <w:r>
              <w:rPr>
                <w:b/>
                <w:color w:val="000000"/>
                <w:szCs w:val="21"/>
              </w:rPr>
              <w:t>表</w:t>
            </w:r>
            <w:r>
              <w:rPr>
                <w:rFonts w:hint="eastAsia"/>
                <w:b/>
                <w:color w:val="000000"/>
                <w:szCs w:val="21"/>
              </w:rPr>
              <w:t xml:space="preserve">3-6 </w:t>
            </w:r>
            <w:r>
              <w:rPr>
                <w:b/>
                <w:color w:val="000000"/>
                <w:szCs w:val="21"/>
              </w:rPr>
              <w:t xml:space="preserve"> 《地表水环境质量标准》（GB3838-2002）</w:t>
            </w:r>
          </w:p>
          <w:tbl>
            <w:tblPr>
              <w:tblStyle w:val="24"/>
              <w:tblW w:w="4998" w:type="pct"/>
              <w:tblInd w:w="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5"/>
              <w:gridCol w:w="1756"/>
              <w:gridCol w:w="52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582" w:type="pct"/>
                  <w:vAlign w:val="center"/>
                </w:tcPr>
                <w:p>
                  <w:pPr>
                    <w:adjustRightInd w:val="0"/>
                    <w:snapToGrid w:val="0"/>
                    <w:jc w:val="center"/>
                    <w:rPr>
                      <w:color w:val="000000"/>
                      <w:szCs w:val="21"/>
                    </w:rPr>
                  </w:pPr>
                  <w:r>
                    <w:rPr>
                      <w:color w:val="000000"/>
                      <w:szCs w:val="21"/>
                    </w:rPr>
                    <w:t>序号</w:t>
                  </w:r>
                </w:p>
              </w:tc>
              <w:tc>
                <w:tcPr>
                  <w:tcW w:w="1104" w:type="pct"/>
                  <w:vAlign w:val="center"/>
                </w:tcPr>
                <w:p>
                  <w:pPr>
                    <w:adjustRightInd w:val="0"/>
                    <w:snapToGrid w:val="0"/>
                    <w:jc w:val="center"/>
                    <w:rPr>
                      <w:color w:val="000000"/>
                      <w:szCs w:val="21"/>
                    </w:rPr>
                  </w:pPr>
                  <w:r>
                    <w:rPr>
                      <w:color w:val="000000"/>
                      <w:szCs w:val="21"/>
                    </w:rPr>
                    <w:t>项目</w:t>
                  </w:r>
                </w:p>
              </w:tc>
              <w:tc>
                <w:tcPr>
                  <w:tcW w:w="3313" w:type="pct"/>
                  <w:vAlign w:val="center"/>
                </w:tcPr>
                <w:p>
                  <w:pPr>
                    <w:adjustRightInd w:val="0"/>
                    <w:snapToGrid w:val="0"/>
                    <w:jc w:val="center"/>
                    <w:rPr>
                      <w:color w:val="000000"/>
                      <w:szCs w:val="21"/>
                    </w:rPr>
                  </w:pPr>
                  <w:r>
                    <w:rPr>
                      <w:color w:val="000000"/>
                      <w:szCs w:val="21"/>
                    </w:rPr>
                    <w:t>标准值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82" w:type="pct"/>
                  <w:vAlign w:val="center"/>
                </w:tcPr>
                <w:p>
                  <w:pPr>
                    <w:adjustRightInd w:val="0"/>
                    <w:snapToGrid w:val="0"/>
                    <w:jc w:val="center"/>
                    <w:rPr>
                      <w:color w:val="000000"/>
                      <w:szCs w:val="21"/>
                    </w:rPr>
                  </w:pPr>
                  <w:r>
                    <w:rPr>
                      <w:color w:val="000000"/>
                      <w:szCs w:val="21"/>
                    </w:rPr>
                    <w:t>1</w:t>
                  </w:r>
                </w:p>
              </w:tc>
              <w:tc>
                <w:tcPr>
                  <w:tcW w:w="1104" w:type="pct"/>
                  <w:vAlign w:val="center"/>
                </w:tcPr>
                <w:p>
                  <w:pPr>
                    <w:adjustRightInd w:val="0"/>
                    <w:snapToGrid w:val="0"/>
                    <w:jc w:val="center"/>
                    <w:rPr>
                      <w:color w:val="000000"/>
                      <w:szCs w:val="21"/>
                    </w:rPr>
                  </w:pPr>
                  <w:r>
                    <w:rPr>
                      <w:color w:val="000000"/>
                      <w:szCs w:val="21"/>
                    </w:rPr>
                    <w:t>水温</w:t>
                  </w:r>
                </w:p>
              </w:tc>
              <w:tc>
                <w:tcPr>
                  <w:tcW w:w="3313" w:type="pct"/>
                  <w:vAlign w:val="center"/>
                </w:tcPr>
                <w:p>
                  <w:pPr>
                    <w:widowControl/>
                    <w:adjustRightInd w:val="0"/>
                    <w:snapToGrid w:val="0"/>
                    <w:jc w:val="left"/>
                    <w:rPr>
                      <w:color w:val="000000"/>
                      <w:szCs w:val="21"/>
                    </w:rPr>
                  </w:pPr>
                  <w:r>
                    <w:rPr>
                      <w:color w:val="000000"/>
                      <w:szCs w:val="21"/>
                    </w:rPr>
                    <w:t>人为造成的环境水温变化应限制在：周平均最大温升≤1；周平均最大温降≤2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582" w:type="pct"/>
                  <w:vAlign w:val="center"/>
                </w:tcPr>
                <w:p>
                  <w:pPr>
                    <w:adjustRightInd w:val="0"/>
                    <w:snapToGrid w:val="0"/>
                    <w:jc w:val="center"/>
                    <w:rPr>
                      <w:color w:val="000000"/>
                      <w:szCs w:val="21"/>
                    </w:rPr>
                  </w:pPr>
                  <w:r>
                    <w:rPr>
                      <w:color w:val="000000"/>
                      <w:szCs w:val="21"/>
                    </w:rPr>
                    <w:t>2</w:t>
                  </w:r>
                </w:p>
              </w:tc>
              <w:tc>
                <w:tcPr>
                  <w:tcW w:w="1104" w:type="pct"/>
                  <w:vAlign w:val="center"/>
                </w:tcPr>
                <w:p>
                  <w:pPr>
                    <w:adjustRightInd w:val="0"/>
                    <w:snapToGrid w:val="0"/>
                    <w:jc w:val="center"/>
                    <w:rPr>
                      <w:color w:val="000000"/>
                      <w:szCs w:val="21"/>
                    </w:rPr>
                  </w:pPr>
                  <w:r>
                    <w:rPr>
                      <w:color w:val="000000"/>
                      <w:szCs w:val="21"/>
                    </w:rPr>
                    <w:t>pH</w:t>
                  </w:r>
                </w:p>
              </w:tc>
              <w:tc>
                <w:tcPr>
                  <w:tcW w:w="3313" w:type="pct"/>
                  <w:vAlign w:val="center"/>
                </w:tcPr>
                <w:p>
                  <w:pPr>
                    <w:adjustRightInd w:val="0"/>
                    <w:snapToGrid w:val="0"/>
                    <w:jc w:val="center"/>
                    <w:rPr>
                      <w:color w:val="000000"/>
                      <w:szCs w:val="21"/>
                    </w:rPr>
                  </w:pPr>
                  <w:r>
                    <w:rPr>
                      <w:rFonts w:hint="eastAsia"/>
                      <w:color w:val="000000"/>
                      <w:szCs w:val="21"/>
                    </w:rPr>
                    <w:t>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582" w:type="pct"/>
                  <w:vAlign w:val="center"/>
                </w:tcPr>
                <w:p>
                  <w:pPr>
                    <w:adjustRightInd w:val="0"/>
                    <w:snapToGrid w:val="0"/>
                    <w:jc w:val="center"/>
                    <w:rPr>
                      <w:color w:val="000000"/>
                      <w:szCs w:val="21"/>
                    </w:rPr>
                  </w:pPr>
                  <w:r>
                    <w:rPr>
                      <w:color w:val="000000"/>
                      <w:szCs w:val="21"/>
                    </w:rPr>
                    <w:t>3</w:t>
                  </w:r>
                </w:p>
              </w:tc>
              <w:tc>
                <w:tcPr>
                  <w:tcW w:w="1104" w:type="pct"/>
                  <w:vAlign w:val="center"/>
                </w:tcPr>
                <w:p>
                  <w:pPr>
                    <w:adjustRightInd w:val="0"/>
                    <w:snapToGrid w:val="0"/>
                    <w:jc w:val="center"/>
                    <w:rPr>
                      <w:color w:val="000000"/>
                      <w:szCs w:val="21"/>
                    </w:rPr>
                  </w:pPr>
                  <w:r>
                    <w:rPr>
                      <w:color w:val="000000"/>
                      <w:szCs w:val="21"/>
                    </w:rPr>
                    <w:t>COD</w:t>
                  </w:r>
                </w:p>
              </w:tc>
              <w:tc>
                <w:tcPr>
                  <w:tcW w:w="3313" w:type="pct"/>
                  <w:vAlign w:val="center"/>
                </w:tcPr>
                <w:p>
                  <w:pPr>
                    <w:adjustRightInd w:val="0"/>
                    <w:snapToGrid w:val="0"/>
                    <w:jc w:val="center"/>
                    <w:rPr>
                      <w:color w:val="000000"/>
                      <w:szCs w:val="21"/>
                    </w:rPr>
                  </w:pPr>
                  <w:r>
                    <w:rPr>
                      <w:color w:val="000000"/>
                      <w:szCs w:val="21"/>
                    </w:rPr>
                    <w:t>≤</w:t>
                  </w:r>
                  <w:r>
                    <w:rPr>
                      <w:rFonts w:hint="eastAsia"/>
                      <w:color w:val="000000"/>
                      <w:szCs w:val="21"/>
                    </w:rPr>
                    <w:t>20</w:t>
                  </w:r>
                  <w:r>
                    <w:rPr>
                      <w:color w:val="000000"/>
                      <w:szCs w:val="21"/>
                    </w:rPr>
                    <w:t>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582" w:type="pct"/>
                  <w:vAlign w:val="center"/>
                </w:tcPr>
                <w:p>
                  <w:pPr>
                    <w:adjustRightInd w:val="0"/>
                    <w:snapToGrid w:val="0"/>
                    <w:jc w:val="center"/>
                    <w:rPr>
                      <w:color w:val="000000"/>
                      <w:szCs w:val="21"/>
                    </w:rPr>
                  </w:pPr>
                  <w:r>
                    <w:rPr>
                      <w:color w:val="000000"/>
                      <w:szCs w:val="21"/>
                    </w:rPr>
                    <w:t>4</w:t>
                  </w:r>
                </w:p>
              </w:tc>
              <w:tc>
                <w:tcPr>
                  <w:tcW w:w="1104" w:type="pct"/>
                  <w:vAlign w:val="center"/>
                </w:tcPr>
                <w:p>
                  <w:pPr>
                    <w:adjustRightInd w:val="0"/>
                    <w:snapToGrid w:val="0"/>
                    <w:jc w:val="center"/>
                    <w:rPr>
                      <w:color w:val="000000"/>
                      <w:szCs w:val="21"/>
                    </w:rPr>
                  </w:pPr>
                  <w:r>
                    <w:rPr>
                      <w:color w:val="000000"/>
                      <w:szCs w:val="21"/>
                    </w:rPr>
                    <w:t>氨氮</w:t>
                  </w:r>
                </w:p>
              </w:tc>
              <w:tc>
                <w:tcPr>
                  <w:tcW w:w="3313" w:type="pct"/>
                  <w:vAlign w:val="center"/>
                </w:tcPr>
                <w:p>
                  <w:pPr>
                    <w:adjustRightInd w:val="0"/>
                    <w:snapToGrid w:val="0"/>
                    <w:jc w:val="center"/>
                    <w:rPr>
                      <w:color w:val="000000"/>
                      <w:szCs w:val="21"/>
                    </w:rPr>
                  </w:pPr>
                  <w:r>
                    <w:rPr>
                      <w:color w:val="000000"/>
                      <w:szCs w:val="21"/>
                    </w:rPr>
                    <w:t>≤</w:t>
                  </w:r>
                  <w:r>
                    <w:rPr>
                      <w:rFonts w:hint="eastAsia"/>
                      <w:color w:val="000000"/>
                      <w:szCs w:val="21"/>
                    </w:rPr>
                    <w:t>1.0</w:t>
                  </w:r>
                  <w:r>
                    <w:rPr>
                      <w:color w:val="000000"/>
                      <w:szCs w:val="21"/>
                    </w:rPr>
                    <w:t>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582" w:type="pct"/>
                  <w:vAlign w:val="center"/>
                </w:tcPr>
                <w:p>
                  <w:pPr>
                    <w:adjustRightInd w:val="0"/>
                    <w:snapToGrid w:val="0"/>
                    <w:jc w:val="center"/>
                    <w:rPr>
                      <w:color w:val="000000"/>
                      <w:szCs w:val="21"/>
                    </w:rPr>
                  </w:pPr>
                  <w:r>
                    <w:rPr>
                      <w:color w:val="000000"/>
                      <w:szCs w:val="21"/>
                    </w:rPr>
                    <w:t>5</w:t>
                  </w:r>
                </w:p>
              </w:tc>
              <w:tc>
                <w:tcPr>
                  <w:tcW w:w="1104" w:type="pct"/>
                  <w:vAlign w:val="center"/>
                </w:tcPr>
                <w:p>
                  <w:pPr>
                    <w:adjustRightInd w:val="0"/>
                    <w:snapToGrid w:val="0"/>
                    <w:jc w:val="center"/>
                    <w:rPr>
                      <w:color w:val="000000"/>
                      <w:szCs w:val="21"/>
                    </w:rPr>
                  </w:pPr>
                  <w:r>
                    <w:rPr>
                      <w:color w:val="000000"/>
                      <w:szCs w:val="21"/>
                    </w:rPr>
                    <w:t>BOD</w:t>
                  </w:r>
                  <w:r>
                    <w:rPr>
                      <w:color w:val="000000"/>
                      <w:szCs w:val="21"/>
                      <w:vertAlign w:val="subscript"/>
                    </w:rPr>
                    <w:t>5</w:t>
                  </w:r>
                </w:p>
              </w:tc>
              <w:tc>
                <w:tcPr>
                  <w:tcW w:w="3313" w:type="pct"/>
                  <w:vAlign w:val="center"/>
                </w:tcPr>
                <w:p>
                  <w:pPr>
                    <w:adjustRightInd w:val="0"/>
                    <w:snapToGrid w:val="0"/>
                    <w:jc w:val="center"/>
                    <w:rPr>
                      <w:color w:val="000000"/>
                      <w:szCs w:val="21"/>
                    </w:rPr>
                  </w:pPr>
                  <w:r>
                    <w:rPr>
                      <w:color w:val="000000"/>
                      <w:szCs w:val="21"/>
                    </w:rPr>
                    <w:t>≤</w:t>
                  </w:r>
                  <w:r>
                    <w:rPr>
                      <w:rFonts w:hint="eastAsia"/>
                      <w:color w:val="000000"/>
                      <w:szCs w:val="21"/>
                    </w:rPr>
                    <w:t>4</w:t>
                  </w:r>
                  <w:r>
                    <w:rPr>
                      <w:color w:val="000000"/>
                      <w:szCs w:val="21"/>
                    </w:rPr>
                    <w:t>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582" w:type="pct"/>
                  <w:vAlign w:val="center"/>
                </w:tcPr>
                <w:p>
                  <w:pPr>
                    <w:adjustRightInd w:val="0"/>
                    <w:snapToGrid w:val="0"/>
                    <w:jc w:val="center"/>
                    <w:rPr>
                      <w:color w:val="000000"/>
                      <w:szCs w:val="21"/>
                    </w:rPr>
                  </w:pPr>
                  <w:r>
                    <w:rPr>
                      <w:color w:val="000000"/>
                      <w:szCs w:val="21"/>
                    </w:rPr>
                    <w:t>6</w:t>
                  </w:r>
                </w:p>
              </w:tc>
              <w:tc>
                <w:tcPr>
                  <w:tcW w:w="1104" w:type="pct"/>
                  <w:vAlign w:val="center"/>
                </w:tcPr>
                <w:p>
                  <w:pPr>
                    <w:adjustRightInd w:val="0"/>
                    <w:snapToGrid w:val="0"/>
                    <w:jc w:val="center"/>
                    <w:rPr>
                      <w:color w:val="000000"/>
                      <w:szCs w:val="21"/>
                    </w:rPr>
                  </w:pPr>
                  <w:r>
                    <w:rPr>
                      <w:color w:val="000000"/>
                      <w:szCs w:val="21"/>
                    </w:rPr>
                    <w:t>TN</w:t>
                  </w:r>
                </w:p>
              </w:tc>
              <w:tc>
                <w:tcPr>
                  <w:tcW w:w="3313" w:type="pct"/>
                  <w:vAlign w:val="center"/>
                </w:tcPr>
                <w:p>
                  <w:pPr>
                    <w:adjustRightInd w:val="0"/>
                    <w:snapToGrid w:val="0"/>
                    <w:jc w:val="center"/>
                    <w:rPr>
                      <w:color w:val="000000"/>
                      <w:szCs w:val="21"/>
                    </w:rPr>
                  </w:pPr>
                  <w:r>
                    <w:rPr>
                      <w:color w:val="000000"/>
                      <w:szCs w:val="21"/>
                    </w:rPr>
                    <w:t>≤</w:t>
                  </w:r>
                  <w:r>
                    <w:rPr>
                      <w:rFonts w:hint="eastAsia"/>
                      <w:color w:val="000000"/>
                      <w:szCs w:val="21"/>
                    </w:rPr>
                    <w:t>1.0</w:t>
                  </w:r>
                  <w:r>
                    <w:rPr>
                      <w:color w:val="000000"/>
                      <w:szCs w:val="21"/>
                    </w:rPr>
                    <w:t>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582" w:type="pct"/>
                  <w:vAlign w:val="center"/>
                </w:tcPr>
                <w:p>
                  <w:pPr>
                    <w:adjustRightInd w:val="0"/>
                    <w:snapToGrid w:val="0"/>
                    <w:jc w:val="center"/>
                    <w:rPr>
                      <w:color w:val="000000"/>
                      <w:szCs w:val="21"/>
                    </w:rPr>
                  </w:pPr>
                  <w:r>
                    <w:rPr>
                      <w:color w:val="000000"/>
                      <w:szCs w:val="21"/>
                    </w:rPr>
                    <w:t>7</w:t>
                  </w:r>
                </w:p>
              </w:tc>
              <w:tc>
                <w:tcPr>
                  <w:tcW w:w="1104" w:type="pct"/>
                  <w:vAlign w:val="center"/>
                </w:tcPr>
                <w:p>
                  <w:pPr>
                    <w:adjustRightInd w:val="0"/>
                    <w:snapToGrid w:val="0"/>
                    <w:jc w:val="center"/>
                    <w:rPr>
                      <w:color w:val="000000"/>
                      <w:szCs w:val="21"/>
                    </w:rPr>
                  </w:pPr>
                  <w:r>
                    <w:rPr>
                      <w:color w:val="000000"/>
                      <w:szCs w:val="21"/>
                    </w:rPr>
                    <w:t>TP</w:t>
                  </w:r>
                </w:p>
              </w:tc>
              <w:tc>
                <w:tcPr>
                  <w:tcW w:w="3313" w:type="pct"/>
                  <w:vAlign w:val="center"/>
                </w:tcPr>
                <w:p>
                  <w:pPr>
                    <w:adjustRightInd w:val="0"/>
                    <w:snapToGrid w:val="0"/>
                    <w:jc w:val="center"/>
                    <w:rPr>
                      <w:color w:val="000000"/>
                      <w:szCs w:val="21"/>
                    </w:rPr>
                  </w:pPr>
                  <w:r>
                    <w:rPr>
                      <w:color w:val="000000"/>
                      <w:szCs w:val="21"/>
                    </w:rPr>
                    <w:t>≤0.</w:t>
                  </w:r>
                  <w:r>
                    <w:rPr>
                      <w:rFonts w:hint="eastAsia"/>
                      <w:color w:val="000000"/>
                      <w:szCs w:val="21"/>
                    </w:rPr>
                    <w:t>2</w:t>
                  </w:r>
                  <w:r>
                    <w:rPr>
                      <w:color w:val="000000"/>
                      <w:szCs w:val="21"/>
                    </w:rPr>
                    <w:t>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582" w:type="pct"/>
                  <w:vAlign w:val="center"/>
                </w:tcPr>
                <w:p>
                  <w:pPr>
                    <w:adjustRightInd w:val="0"/>
                    <w:snapToGrid w:val="0"/>
                    <w:jc w:val="center"/>
                    <w:rPr>
                      <w:color w:val="000000"/>
                      <w:szCs w:val="21"/>
                    </w:rPr>
                  </w:pPr>
                  <w:r>
                    <w:rPr>
                      <w:color w:val="000000"/>
                      <w:szCs w:val="21"/>
                    </w:rPr>
                    <w:t>8</w:t>
                  </w:r>
                </w:p>
              </w:tc>
              <w:tc>
                <w:tcPr>
                  <w:tcW w:w="1104" w:type="pct"/>
                  <w:vAlign w:val="center"/>
                </w:tcPr>
                <w:p>
                  <w:pPr>
                    <w:adjustRightInd w:val="0"/>
                    <w:snapToGrid w:val="0"/>
                    <w:jc w:val="center"/>
                    <w:rPr>
                      <w:color w:val="000000"/>
                      <w:szCs w:val="21"/>
                    </w:rPr>
                  </w:pPr>
                  <w:r>
                    <w:rPr>
                      <w:color w:val="000000"/>
                      <w:szCs w:val="21"/>
                    </w:rPr>
                    <w:t>粪大肠菌群</w:t>
                  </w:r>
                </w:p>
              </w:tc>
              <w:tc>
                <w:tcPr>
                  <w:tcW w:w="3313" w:type="pct"/>
                  <w:vAlign w:val="center"/>
                </w:tcPr>
                <w:p>
                  <w:pPr>
                    <w:adjustRightInd w:val="0"/>
                    <w:snapToGrid w:val="0"/>
                    <w:jc w:val="center"/>
                    <w:rPr>
                      <w:color w:val="000000"/>
                      <w:szCs w:val="21"/>
                    </w:rPr>
                  </w:pPr>
                  <w:r>
                    <w:rPr>
                      <w:color w:val="000000"/>
                      <w:szCs w:val="21"/>
                    </w:rPr>
                    <w:t>≤</w:t>
                  </w:r>
                  <w:r>
                    <w:rPr>
                      <w:rFonts w:hint="eastAsia"/>
                      <w:color w:val="000000"/>
                      <w:szCs w:val="21"/>
                    </w:rPr>
                    <w:t>10</w:t>
                  </w:r>
                  <w:r>
                    <w:rPr>
                      <w:color w:val="000000"/>
                      <w:szCs w:val="21"/>
                    </w:rPr>
                    <w:t>000个/L</w:t>
                  </w:r>
                </w:p>
              </w:tc>
            </w:tr>
          </w:tbl>
          <w:p>
            <w:pPr>
              <w:autoSpaceDE w:val="0"/>
              <w:autoSpaceDN w:val="0"/>
              <w:adjustRightInd w:val="0"/>
              <w:snapToGrid w:val="0"/>
              <w:spacing w:line="360" w:lineRule="auto"/>
              <w:ind w:firstLine="480" w:firstLineChars="200"/>
              <w:jc w:val="left"/>
              <w:rPr>
                <w:sz w:val="24"/>
                <w:szCs w:val="20"/>
              </w:rPr>
            </w:pPr>
            <w:r>
              <w:rPr>
                <w:sz w:val="24"/>
                <w:szCs w:val="20"/>
              </w:rPr>
              <w:t>（3）声环境：执行《声环境质量标准》（GB3096-2008）中的2类标准</w:t>
            </w:r>
            <w:bookmarkEnd w:id="11"/>
            <w:r>
              <w:rPr>
                <w:sz w:val="24"/>
                <w:szCs w:val="20"/>
              </w:rPr>
              <w:t>，具体标准见表3-</w:t>
            </w:r>
            <w:r>
              <w:rPr>
                <w:rFonts w:hint="eastAsia"/>
                <w:sz w:val="24"/>
                <w:szCs w:val="20"/>
              </w:rPr>
              <w:t>7</w:t>
            </w:r>
            <w:r>
              <w:rPr>
                <w:sz w:val="24"/>
                <w:szCs w:val="20"/>
              </w:rPr>
              <w:t>。</w:t>
            </w:r>
          </w:p>
          <w:p>
            <w:pPr>
              <w:autoSpaceDE w:val="0"/>
              <w:autoSpaceDN w:val="0"/>
              <w:adjustRightInd w:val="0"/>
              <w:snapToGrid w:val="0"/>
              <w:jc w:val="center"/>
              <w:rPr>
                <w:rFonts w:eastAsia="黑体"/>
                <w:kern w:val="0"/>
                <w:szCs w:val="21"/>
              </w:rPr>
            </w:pPr>
            <w:r>
              <w:rPr>
                <w:b/>
                <w:szCs w:val="21"/>
              </w:rPr>
              <w:t>表</w:t>
            </w:r>
            <w:r>
              <w:rPr>
                <w:rFonts w:hint="eastAsia"/>
                <w:b/>
                <w:szCs w:val="21"/>
              </w:rPr>
              <w:t>3-7</w:t>
            </w:r>
            <w:r>
              <w:rPr>
                <w:b/>
                <w:szCs w:val="21"/>
              </w:rPr>
              <w:t xml:space="preserve"> 《声环境质量标准》（GB3096-2008） 单位：dB（A）</w:t>
            </w:r>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51"/>
              <w:gridCol w:w="2651"/>
              <w:gridCol w:w="26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66" w:type="pct"/>
                  <w:tcBorders>
                    <w:tl2br w:val="nil"/>
                    <w:tr2bl w:val="nil"/>
                  </w:tcBorders>
                  <w:tcMar>
                    <w:left w:w="57" w:type="dxa"/>
                    <w:right w:w="57" w:type="dxa"/>
                  </w:tcMar>
                  <w:vAlign w:val="center"/>
                </w:tcPr>
                <w:p>
                  <w:pPr>
                    <w:adjustRightInd w:val="0"/>
                    <w:snapToGrid w:val="0"/>
                    <w:jc w:val="center"/>
                    <w:rPr>
                      <w:szCs w:val="21"/>
                    </w:rPr>
                  </w:pPr>
                  <w:r>
                    <w:rPr>
                      <w:szCs w:val="21"/>
                    </w:rPr>
                    <w:t>声环境功能区类别</w:t>
                  </w:r>
                </w:p>
              </w:tc>
              <w:tc>
                <w:tcPr>
                  <w:tcW w:w="1666" w:type="pct"/>
                  <w:tcBorders>
                    <w:tl2br w:val="nil"/>
                    <w:tr2bl w:val="nil"/>
                  </w:tcBorders>
                  <w:tcMar>
                    <w:left w:w="57" w:type="dxa"/>
                    <w:right w:w="57" w:type="dxa"/>
                  </w:tcMar>
                  <w:vAlign w:val="center"/>
                </w:tcPr>
                <w:p>
                  <w:pPr>
                    <w:adjustRightInd w:val="0"/>
                    <w:snapToGrid w:val="0"/>
                    <w:jc w:val="center"/>
                    <w:rPr>
                      <w:szCs w:val="21"/>
                    </w:rPr>
                  </w:pPr>
                  <w:r>
                    <w:rPr>
                      <w:szCs w:val="21"/>
                    </w:rPr>
                    <w:t>昼  间</w:t>
                  </w:r>
                </w:p>
              </w:tc>
              <w:tc>
                <w:tcPr>
                  <w:tcW w:w="1666" w:type="pct"/>
                  <w:tcBorders>
                    <w:tl2br w:val="nil"/>
                    <w:tr2bl w:val="nil"/>
                  </w:tcBorders>
                  <w:tcMar>
                    <w:left w:w="57" w:type="dxa"/>
                    <w:right w:w="57" w:type="dxa"/>
                  </w:tcMar>
                  <w:vAlign w:val="center"/>
                </w:tcPr>
                <w:p>
                  <w:pPr>
                    <w:adjustRightInd w:val="0"/>
                    <w:snapToGrid w:val="0"/>
                    <w:jc w:val="center"/>
                    <w:rPr>
                      <w:szCs w:val="21"/>
                    </w:rPr>
                  </w:pPr>
                  <w:r>
                    <w:rPr>
                      <w:szCs w:val="21"/>
                    </w:rPr>
                    <w:t>夜  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66" w:type="pct"/>
                  <w:tcBorders>
                    <w:tl2br w:val="nil"/>
                    <w:tr2bl w:val="nil"/>
                  </w:tcBorders>
                  <w:tcMar>
                    <w:left w:w="57" w:type="dxa"/>
                    <w:right w:w="57" w:type="dxa"/>
                  </w:tcMar>
                  <w:vAlign w:val="center"/>
                </w:tcPr>
                <w:p>
                  <w:pPr>
                    <w:adjustRightInd w:val="0"/>
                    <w:snapToGrid w:val="0"/>
                    <w:jc w:val="center"/>
                    <w:rPr>
                      <w:szCs w:val="21"/>
                    </w:rPr>
                  </w:pPr>
                  <w:r>
                    <w:rPr>
                      <w:szCs w:val="21"/>
                    </w:rPr>
                    <w:t>2类</w:t>
                  </w:r>
                </w:p>
              </w:tc>
              <w:tc>
                <w:tcPr>
                  <w:tcW w:w="1666" w:type="pct"/>
                  <w:tcBorders>
                    <w:tl2br w:val="nil"/>
                    <w:tr2bl w:val="nil"/>
                  </w:tcBorders>
                  <w:tcMar>
                    <w:left w:w="57" w:type="dxa"/>
                    <w:right w:w="57" w:type="dxa"/>
                  </w:tcMar>
                  <w:vAlign w:val="center"/>
                </w:tcPr>
                <w:p>
                  <w:pPr>
                    <w:adjustRightInd w:val="0"/>
                    <w:snapToGrid w:val="0"/>
                    <w:jc w:val="center"/>
                    <w:rPr>
                      <w:szCs w:val="21"/>
                    </w:rPr>
                  </w:pPr>
                  <w:r>
                    <w:rPr>
                      <w:szCs w:val="21"/>
                    </w:rPr>
                    <w:t>60</w:t>
                  </w:r>
                </w:p>
              </w:tc>
              <w:tc>
                <w:tcPr>
                  <w:tcW w:w="1666" w:type="pct"/>
                  <w:tcBorders>
                    <w:tl2br w:val="nil"/>
                    <w:tr2bl w:val="nil"/>
                  </w:tcBorders>
                  <w:tcMar>
                    <w:left w:w="57" w:type="dxa"/>
                    <w:right w:w="57" w:type="dxa"/>
                  </w:tcMar>
                  <w:vAlign w:val="center"/>
                </w:tcPr>
                <w:p>
                  <w:pPr>
                    <w:adjustRightInd w:val="0"/>
                    <w:snapToGrid w:val="0"/>
                    <w:jc w:val="center"/>
                    <w:rPr>
                      <w:szCs w:val="21"/>
                    </w:rPr>
                  </w:pPr>
                  <w:r>
                    <w:rPr>
                      <w:szCs w:val="21"/>
                    </w:rPr>
                    <w:t>50</w:t>
                  </w:r>
                </w:p>
              </w:tc>
            </w:tr>
          </w:tbl>
          <w:p>
            <w:pPr>
              <w:pStyle w:val="30"/>
              <w:snapToGrid w:val="0"/>
              <w:spacing w:line="360" w:lineRule="auto"/>
              <w:ind w:firstLine="482" w:firstLineChars="200"/>
              <w:rPr>
                <w:rFonts w:hint="default" w:ascii="Times New Roman"/>
                <w:b/>
                <w:bCs/>
                <w:color w:val="auto"/>
              </w:rPr>
            </w:pPr>
            <w:r>
              <w:rPr>
                <w:rFonts w:hint="default" w:ascii="Times New Roman"/>
                <w:b/>
                <w:bCs/>
                <w:color w:val="auto"/>
              </w:rPr>
              <w:t>2、污染物排放标准</w:t>
            </w:r>
          </w:p>
          <w:p>
            <w:pPr>
              <w:pStyle w:val="30"/>
              <w:snapToGrid w:val="0"/>
              <w:spacing w:line="360" w:lineRule="auto"/>
              <w:ind w:firstLine="480" w:firstLineChars="200"/>
              <w:rPr>
                <w:rFonts w:hint="default" w:ascii="Times New Roman"/>
                <w:color w:val="auto"/>
              </w:rPr>
            </w:pPr>
            <w:r>
              <w:rPr>
                <w:rFonts w:ascii="Times New Roman"/>
                <w:color w:val="auto"/>
              </w:rPr>
              <w:t>（1）</w:t>
            </w:r>
            <w:r>
              <w:rPr>
                <w:rFonts w:hint="default" w:ascii="Times New Roman"/>
                <w:color w:val="auto"/>
              </w:rPr>
              <w:t>废水</w:t>
            </w:r>
          </w:p>
          <w:p>
            <w:pPr>
              <w:adjustRightInd w:val="0"/>
              <w:snapToGrid w:val="0"/>
              <w:spacing w:line="360" w:lineRule="auto"/>
              <w:ind w:firstLine="480" w:firstLineChars="200"/>
              <w:rPr>
                <w:color w:val="000000"/>
                <w:sz w:val="24"/>
                <w:u w:val="single"/>
              </w:rPr>
            </w:pPr>
            <w:r>
              <w:rPr>
                <w:color w:val="000000"/>
                <w:sz w:val="24"/>
                <w:u w:val="single"/>
              </w:rPr>
              <w:t>施工废水</w:t>
            </w:r>
            <w:r>
              <w:rPr>
                <w:color w:val="000000"/>
                <w:sz w:val="24"/>
                <w:u w:val="single"/>
                <w:lang w:val="zh-CN"/>
              </w:rPr>
              <w:t>经隔油沉淀处理后用于</w:t>
            </w:r>
            <w:r>
              <w:rPr>
                <w:color w:val="000000"/>
                <w:sz w:val="24"/>
                <w:u w:val="single"/>
              </w:rPr>
              <w:t>洒水抑尘不外排，生产废水经沉淀处理后，回用做生产用水，不外排。</w:t>
            </w:r>
          </w:p>
          <w:p>
            <w:pPr>
              <w:adjustRightInd w:val="0"/>
              <w:snapToGrid w:val="0"/>
              <w:spacing w:line="360" w:lineRule="auto"/>
              <w:ind w:firstLine="480" w:firstLineChars="200"/>
              <w:rPr>
                <w:color w:val="000000"/>
                <w:sz w:val="24"/>
                <w:u w:val="single"/>
              </w:rPr>
            </w:pPr>
            <w:r>
              <w:rPr>
                <w:rFonts w:hint="eastAsia"/>
                <w:color w:val="000000"/>
                <w:sz w:val="24"/>
                <w:u w:val="single"/>
              </w:rPr>
              <w:t>运营期</w:t>
            </w:r>
            <w:r>
              <w:rPr>
                <w:color w:val="000000"/>
                <w:sz w:val="24"/>
                <w:u w:val="single"/>
              </w:rPr>
              <w:t>生活污水经</w:t>
            </w:r>
            <w:r>
              <w:rPr>
                <w:rFonts w:hint="eastAsia"/>
                <w:color w:val="000000"/>
                <w:sz w:val="24"/>
                <w:u w:val="single"/>
              </w:rPr>
              <w:t>三格</w:t>
            </w:r>
            <w:r>
              <w:rPr>
                <w:color w:val="000000"/>
                <w:sz w:val="24"/>
                <w:u w:val="single"/>
              </w:rPr>
              <w:t>化粪池处理达《农田灌溉水质标准》（GB5084-20</w:t>
            </w:r>
            <w:r>
              <w:rPr>
                <w:rFonts w:hint="eastAsia"/>
                <w:color w:val="000000"/>
                <w:sz w:val="24"/>
                <w:u w:val="single"/>
              </w:rPr>
              <w:t>21</w:t>
            </w:r>
            <w:r>
              <w:rPr>
                <w:color w:val="000000"/>
                <w:sz w:val="24"/>
                <w:u w:val="single"/>
              </w:rPr>
              <w:t>）旱作类标准后用于周边农田</w:t>
            </w:r>
            <w:r>
              <w:rPr>
                <w:rFonts w:hint="eastAsia"/>
                <w:color w:val="000000"/>
                <w:sz w:val="24"/>
                <w:u w:val="single"/>
              </w:rPr>
              <w:t>施肥；养殖废水经污水处理系统处理达到《水产养殖尾水污染物排放标准》（DB43/1752-2020）表1中的一级标准、《淡水池塘养殖水排放要求》（SC/T9101-2007）表1中的二级标准，详见下表。</w:t>
            </w:r>
          </w:p>
          <w:p>
            <w:pPr>
              <w:adjustRightInd w:val="0"/>
              <w:snapToGrid w:val="0"/>
              <w:jc w:val="center"/>
              <w:rPr>
                <w:b/>
                <w:szCs w:val="21"/>
                <w:u w:val="single"/>
              </w:rPr>
            </w:pPr>
          </w:p>
          <w:p>
            <w:pPr>
              <w:adjustRightInd w:val="0"/>
              <w:snapToGrid w:val="0"/>
              <w:jc w:val="center"/>
              <w:rPr>
                <w:b/>
                <w:szCs w:val="21"/>
                <w:u w:val="single"/>
              </w:rPr>
            </w:pPr>
          </w:p>
          <w:p>
            <w:pPr>
              <w:adjustRightInd w:val="0"/>
              <w:snapToGrid w:val="0"/>
              <w:jc w:val="center"/>
              <w:rPr>
                <w:b/>
                <w:szCs w:val="21"/>
                <w:u w:val="single"/>
              </w:rPr>
            </w:pPr>
          </w:p>
          <w:p>
            <w:pPr>
              <w:adjustRightInd w:val="0"/>
              <w:snapToGrid w:val="0"/>
              <w:jc w:val="center"/>
              <w:rPr>
                <w:b/>
                <w:szCs w:val="21"/>
                <w:u w:val="single"/>
              </w:rPr>
            </w:pPr>
          </w:p>
          <w:p>
            <w:pPr>
              <w:adjustRightInd w:val="0"/>
              <w:snapToGrid w:val="0"/>
              <w:jc w:val="center"/>
              <w:rPr>
                <w:b/>
                <w:szCs w:val="21"/>
                <w:u w:val="single"/>
              </w:rPr>
            </w:pPr>
          </w:p>
          <w:p>
            <w:pPr>
              <w:adjustRightInd w:val="0"/>
              <w:snapToGrid w:val="0"/>
              <w:jc w:val="center"/>
              <w:rPr>
                <w:b/>
                <w:szCs w:val="21"/>
                <w:u w:val="single"/>
              </w:rPr>
            </w:pPr>
          </w:p>
          <w:p>
            <w:pPr>
              <w:adjustRightInd w:val="0"/>
              <w:snapToGrid w:val="0"/>
              <w:jc w:val="center"/>
              <w:rPr>
                <w:b/>
                <w:szCs w:val="21"/>
                <w:u w:val="single"/>
              </w:rPr>
            </w:pPr>
          </w:p>
          <w:p>
            <w:pPr>
              <w:adjustRightInd w:val="0"/>
              <w:snapToGrid w:val="0"/>
              <w:jc w:val="center"/>
              <w:rPr>
                <w:b/>
                <w:szCs w:val="21"/>
                <w:u w:val="single"/>
              </w:rPr>
            </w:pPr>
          </w:p>
          <w:p>
            <w:pPr>
              <w:adjustRightInd w:val="0"/>
              <w:snapToGrid w:val="0"/>
              <w:jc w:val="center"/>
              <w:rPr>
                <w:b/>
                <w:szCs w:val="21"/>
                <w:u w:val="single"/>
              </w:rPr>
            </w:pPr>
            <w:r>
              <w:rPr>
                <w:b/>
                <w:szCs w:val="21"/>
                <w:u w:val="single"/>
              </w:rPr>
              <w:t>表</w:t>
            </w:r>
            <w:r>
              <w:rPr>
                <w:rFonts w:hint="eastAsia"/>
                <w:b/>
                <w:szCs w:val="21"/>
                <w:u w:val="single"/>
              </w:rPr>
              <w:t>3</w:t>
            </w:r>
            <w:r>
              <w:rPr>
                <w:b/>
                <w:szCs w:val="21"/>
                <w:u w:val="single"/>
              </w:rPr>
              <w:t>-</w:t>
            </w:r>
            <w:r>
              <w:rPr>
                <w:rFonts w:hint="eastAsia"/>
                <w:b/>
                <w:szCs w:val="21"/>
                <w:u w:val="single"/>
              </w:rPr>
              <w:t>8</w:t>
            </w:r>
            <w:r>
              <w:rPr>
                <w:b/>
                <w:szCs w:val="21"/>
                <w:u w:val="single"/>
              </w:rPr>
              <w:t xml:space="preserve"> </w:t>
            </w:r>
            <w:r>
              <w:rPr>
                <w:rFonts w:hint="eastAsia"/>
                <w:b/>
                <w:szCs w:val="21"/>
                <w:u w:val="single"/>
              </w:rPr>
              <w:t>《农田灌溉水质标准》</w:t>
            </w:r>
            <w:r>
              <w:rPr>
                <w:b/>
                <w:szCs w:val="21"/>
                <w:u w:val="single"/>
              </w:rPr>
              <w:t xml:space="preserve">  单位：mg/L（pH无量纲）</w:t>
            </w:r>
          </w:p>
          <w:tbl>
            <w:tblPr>
              <w:tblStyle w:val="2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19"/>
              <w:gridCol w:w="3640"/>
              <w:gridCol w:w="26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18" w:type="pct"/>
                  <w:vMerge w:val="restart"/>
                  <w:shd w:val="clear" w:color="auto" w:fill="auto"/>
                  <w:vAlign w:val="center"/>
                </w:tcPr>
                <w:p>
                  <w:pPr>
                    <w:adjustRightInd w:val="0"/>
                    <w:snapToGrid w:val="0"/>
                    <w:jc w:val="center"/>
                    <w:rPr>
                      <w:bCs/>
                      <w:color w:val="000000"/>
                      <w:szCs w:val="21"/>
                      <w:u w:val="single"/>
                    </w:rPr>
                  </w:pPr>
                  <w:r>
                    <w:rPr>
                      <w:bCs/>
                      <w:color w:val="000000"/>
                      <w:szCs w:val="21"/>
                      <w:u w:val="single"/>
                    </w:rPr>
                    <w:t>序号</w:t>
                  </w:r>
                </w:p>
              </w:tc>
              <w:tc>
                <w:tcPr>
                  <w:tcW w:w="2289" w:type="pct"/>
                  <w:vMerge w:val="restart"/>
                  <w:shd w:val="clear" w:color="auto" w:fill="auto"/>
                  <w:vAlign w:val="center"/>
                </w:tcPr>
                <w:p>
                  <w:pPr>
                    <w:adjustRightInd w:val="0"/>
                    <w:snapToGrid w:val="0"/>
                    <w:jc w:val="center"/>
                    <w:rPr>
                      <w:bCs/>
                      <w:color w:val="000000"/>
                      <w:szCs w:val="21"/>
                      <w:u w:val="single"/>
                    </w:rPr>
                  </w:pPr>
                  <w:r>
                    <w:rPr>
                      <w:bCs/>
                      <w:color w:val="000000"/>
                      <w:szCs w:val="21"/>
                      <w:u w:val="single"/>
                    </w:rPr>
                    <w:t>项目</w:t>
                  </w:r>
                  <w:r>
                    <w:rPr>
                      <w:rFonts w:hint="eastAsia"/>
                      <w:bCs/>
                      <w:color w:val="000000"/>
                      <w:szCs w:val="21"/>
                      <w:u w:val="single"/>
                    </w:rPr>
                    <w:t>类别</w:t>
                  </w:r>
                </w:p>
              </w:tc>
              <w:tc>
                <w:tcPr>
                  <w:tcW w:w="1692" w:type="pct"/>
                  <w:shd w:val="clear" w:color="auto" w:fill="auto"/>
                  <w:vAlign w:val="center"/>
                </w:tcPr>
                <w:p>
                  <w:pPr>
                    <w:adjustRightInd w:val="0"/>
                    <w:snapToGrid w:val="0"/>
                    <w:jc w:val="center"/>
                    <w:rPr>
                      <w:bCs/>
                      <w:color w:val="000000"/>
                      <w:szCs w:val="21"/>
                      <w:u w:val="single"/>
                    </w:rPr>
                  </w:pPr>
                  <w:r>
                    <w:rPr>
                      <w:rFonts w:hint="eastAsia"/>
                      <w:bCs/>
                      <w:color w:val="000000"/>
                      <w:szCs w:val="21"/>
                      <w:u w:val="single"/>
                    </w:rPr>
                    <w:t>作物种类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18" w:type="pct"/>
                  <w:vMerge w:val="continue"/>
                  <w:shd w:val="clear" w:color="auto" w:fill="auto"/>
                  <w:vAlign w:val="center"/>
                </w:tcPr>
                <w:p>
                  <w:pPr>
                    <w:adjustRightInd w:val="0"/>
                    <w:snapToGrid w:val="0"/>
                    <w:jc w:val="center"/>
                    <w:rPr>
                      <w:bCs/>
                      <w:color w:val="000000"/>
                      <w:szCs w:val="21"/>
                      <w:u w:val="single"/>
                    </w:rPr>
                  </w:pPr>
                </w:p>
              </w:tc>
              <w:tc>
                <w:tcPr>
                  <w:tcW w:w="2289" w:type="pct"/>
                  <w:vMerge w:val="continue"/>
                  <w:shd w:val="clear" w:color="auto" w:fill="auto"/>
                  <w:vAlign w:val="center"/>
                </w:tcPr>
                <w:p>
                  <w:pPr>
                    <w:adjustRightInd w:val="0"/>
                    <w:snapToGrid w:val="0"/>
                    <w:jc w:val="center"/>
                    <w:rPr>
                      <w:bCs/>
                      <w:color w:val="000000"/>
                      <w:szCs w:val="21"/>
                      <w:u w:val="single"/>
                    </w:rPr>
                  </w:pPr>
                </w:p>
              </w:tc>
              <w:tc>
                <w:tcPr>
                  <w:tcW w:w="1692" w:type="pct"/>
                  <w:shd w:val="clear" w:color="auto" w:fill="auto"/>
                  <w:vAlign w:val="center"/>
                </w:tcPr>
                <w:p>
                  <w:pPr>
                    <w:adjustRightInd w:val="0"/>
                    <w:snapToGrid w:val="0"/>
                    <w:jc w:val="center"/>
                    <w:rPr>
                      <w:bCs/>
                      <w:color w:val="000000"/>
                      <w:szCs w:val="21"/>
                      <w:u w:val="single"/>
                    </w:rPr>
                  </w:pPr>
                  <w:r>
                    <w:rPr>
                      <w:rFonts w:hint="eastAsia"/>
                      <w:bCs/>
                      <w:color w:val="000000"/>
                      <w:szCs w:val="21"/>
                      <w:u w:val="single"/>
                    </w:rPr>
                    <w:t>旱地作物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18" w:type="pct"/>
                  <w:shd w:val="clear" w:color="auto" w:fill="auto"/>
                  <w:vAlign w:val="center"/>
                </w:tcPr>
                <w:p>
                  <w:pPr>
                    <w:adjustRightInd w:val="0"/>
                    <w:snapToGrid w:val="0"/>
                    <w:jc w:val="center"/>
                    <w:rPr>
                      <w:bCs/>
                      <w:color w:val="000000"/>
                      <w:szCs w:val="21"/>
                      <w:u w:val="single"/>
                    </w:rPr>
                  </w:pPr>
                  <w:r>
                    <w:rPr>
                      <w:bCs/>
                      <w:color w:val="000000"/>
                      <w:szCs w:val="21"/>
                      <w:u w:val="single"/>
                    </w:rPr>
                    <w:t>1</w:t>
                  </w:r>
                </w:p>
              </w:tc>
              <w:tc>
                <w:tcPr>
                  <w:tcW w:w="2289" w:type="pct"/>
                  <w:shd w:val="clear" w:color="auto" w:fill="auto"/>
                  <w:vAlign w:val="center"/>
                </w:tcPr>
                <w:p>
                  <w:pPr>
                    <w:adjustRightInd w:val="0"/>
                    <w:snapToGrid w:val="0"/>
                    <w:jc w:val="center"/>
                    <w:rPr>
                      <w:bCs/>
                      <w:color w:val="000000"/>
                      <w:szCs w:val="21"/>
                      <w:u w:val="single"/>
                    </w:rPr>
                  </w:pPr>
                  <w:r>
                    <w:rPr>
                      <w:bCs/>
                      <w:color w:val="000000"/>
                      <w:szCs w:val="21"/>
                      <w:u w:val="single"/>
                    </w:rPr>
                    <w:t>pH</w:t>
                  </w:r>
                </w:p>
              </w:tc>
              <w:tc>
                <w:tcPr>
                  <w:tcW w:w="1692" w:type="pct"/>
                  <w:shd w:val="clear" w:color="auto" w:fill="auto"/>
                  <w:vAlign w:val="center"/>
                </w:tcPr>
                <w:p>
                  <w:pPr>
                    <w:adjustRightInd w:val="0"/>
                    <w:snapToGrid w:val="0"/>
                    <w:jc w:val="center"/>
                    <w:rPr>
                      <w:bCs/>
                      <w:color w:val="000000"/>
                      <w:szCs w:val="21"/>
                      <w:u w:val="single"/>
                    </w:rPr>
                  </w:pPr>
                  <w:r>
                    <w:rPr>
                      <w:bCs/>
                      <w:color w:val="000000"/>
                      <w:szCs w:val="21"/>
                      <w:u w:val="single"/>
                    </w:rPr>
                    <w:t>5.5~8.5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18" w:type="pct"/>
                  <w:shd w:val="clear" w:color="auto" w:fill="auto"/>
                  <w:vAlign w:val="center"/>
                </w:tcPr>
                <w:p>
                  <w:pPr>
                    <w:adjustRightInd w:val="0"/>
                    <w:snapToGrid w:val="0"/>
                    <w:jc w:val="center"/>
                    <w:rPr>
                      <w:bCs/>
                      <w:color w:val="000000"/>
                      <w:szCs w:val="21"/>
                      <w:u w:val="single"/>
                    </w:rPr>
                  </w:pPr>
                  <w:r>
                    <w:rPr>
                      <w:bCs/>
                      <w:color w:val="000000"/>
                      <w:szCs w:val="21"/>
                      <w:u w:val="single"/>
                    </w:rPr>
                    <w:t>2</w:t>
                  </w:r>
                </w:p>
              </w:tc>
              <w:tc>
                <w:tcPr>
                  <w:tcW w:w="2289" w:type="pct"/>
                  <w:shd w:val="clear" w:color="auto" w:fill="auto"/>
                  <w:vAlign w:val="center"/>
                </w:tcPr>
                <w:p>
                  <w:pPr>
                    <w:adjustRightInd w:val="0"/>
                    <w:snapToGrid w:val="0"/>
                    <w:jc w:val="center"/>
                    <w:rPr>
                      <w:bCs/>
                      <w:color w:val="000000"/>
                      <w:szCs w:val="21"/>
                      <w:u w:val="single"/>
                    </w:rPr>
                  </w:pPr>
                  <w:r>
                    <w:rPr>
                      <w:rFonts w:hint="eastAsia"/>
                      <w:bCs/>
                      <w:color w:val="000000"/>
                      <w:szCs w:val="21"/>
                      <w:u w:val="single"/>
                    </w:rPr>
                    <w:t>悬浮物</w:t>
                  </w:r>
                </w:p>
              </w:tc>
              <w:tc>
                <w:tcPr>
                  <w:tcW w:w="1692" w:type="pct"/>
                  <w:shd w:val="clear" w:color="auto" w:fill="auto"/>
                  <w:vAlign w:val="center"/>
                </w:tcPr>
                <w:p>
                  <w:pPr>
                    <w:adjustRightInd w:val="0"/>
                    <w:snapToGrid w:val="0"/>
                    <w:jc w:val="center"/>
                    <w:rPr>
                      <w:bCs/>
                      <w:color w:val="000000"/>
                      <w:szCs w:val="21"/>
                      <w:u w:val="single"/>
                    </w:rPr>
                  </w:pPr>
                  <w:r>
                    <w:rPr>
                      <w:bCs/>
                      <w:color w:val="000000"/>
                      <w:szCs w:val="21"/>
                      <w:u w:val="singl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18" w:type="pct"/>
                  <w:shd w:val="clear" w:color="auto" w:fill="auto"/>
                  <w:vAlign w:val="center"/>
                </w:tcPr>
                <w:p>
                  <w:pPr>
                    <w:adjustRightInd w:val="0"/>
                    <w:snapToGrid w:val="0"/>
                    <w:jc w:val="center"/>
                    <w:rPr>
                      <w:bCs/>
                      <w:color w:val="000000"/>
                      <w:szCs w:val="21"/>
                      <w:u w:val="single"/>
                    </w:rPr>
                  </w:pPr>
                  <w:r>
                    <w:rPr>
                      <w:rFonts w:hint="eastAsia"/>
                      <w:bCs/>
                      <w:color w:val="000000"/>
                      <w:szCs w:val="21"/>
                      <w:u w:val="single"/>
                    </w:rPr>
                    <w:t>3</w:t>
                  </w:r>
                </w:p>
              </w:tc>
              <w:tc>
                <w:tcPr>
                  <w:tcW w:w="2289" w:type="pct"/>
                  <w:shd w:val="clear" w:color="auto" w:fill="auto"/>
                  <w:vAlign w:val="center"/>
                </w:tcPr>
                <w:p>
                  <w:pPr>
                    <w:adjustRightInd w:val="0"/>
                    <w:snapToGrid w:val="0"/>
                    <w:jc w:val="center"/>
                    <w:rPr>
                      <w:bCs/>
                      <w:color w:val="000000"/>
                      <w:szCs w:val="21"/>
                      <w:u w:val="single"/>
                    </w:rPr>
                  </w:pPr>
                  <w:r>
                    <w:rPr>
                      <w:rFonts w:hint="eastAsia"/>
                      <w:bCs/>
                      <w:color w:val="000000"/>
                      <w:szCs w:val="21"/>
                      <w:u w:val="single"/>
                    </w:rPr>
                    <w:t>BOD</w:t>
                  </w:r>
                  <w:r>
                    <w:rPr>
                      <w:rFonts w:hint="eastAsia"/>
                      <w:bCs/>
                      <w:color w:val="000000"/>
                      <w:szCs w:val="21"/>
                      <w:u w:val="single"/>
                      <w:vertAlign w:val="subscript"/>
                    </w:rPr>
                    <w:t>5</w:t>
                  </w:r>
                </w:p>
              </w:tc>
              <w:tc>
                <w:tcPr>
                  <w:tcW w:w="1692" w:type="pct"/>
                  <w:shd w:val="clear" w:color="auto" w:fill="auto"/>
                  <w:vAlign w:val="center"/>
                </w:tcPr>
                <w:p>
                  <w:pPr>
                    <w:adjustRightInd w:val="0"/>
                    <w:snapToGrid w:val="0"/>
                    <w:jc w:val="center"/>
                    <w:rPr>
                      <w:bCs/>
                      <w:color w:val="000000"/>
                      <w:szCs w:val="21"/>
                      <w:u w:val="single"/>
                    </w:rPr>
                  </w:pPr>
                  <w:r>
                    <w:rPr>
                      <w:bCs/>
                      <w:color w:val="000000"/>
                      <w:szCs w:val="21"/>
                      <w:u w:val="singl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18" w:type="pct"/>
                  <w:shd w:val="clear" w:color="auto" w:fill="auto"/>
                  <w:vAlign w:val="center"/>
                </w:tcPr>
                <w:p>
                  <w:pPr>
                    <w:adjustRightInd w:val="0"/>
                    <w:snapToGrid w:val="0"/>
                    <w:jc w:val="center"/>
                    <w:rPr>
                      <w:bCs/>
                      <w:color w:val="000000"/>
                      <w:szCs w:val="21"/>
                      <w:u w:val="single"/>
                    </w:rPr>
                  </w:pPr>
                  <w:r>
                    <w:rPr>
                      <w:rFonts w:hint="eastAsia"/>
                      <w:bCs/>
                      <w:color w:val="000000"/>
                      <w:szCs w:val="21"/>
                      <w:u w:val="single"/>
                    </w:rPr>
                    <w:t>4</w:t>
                  </w:r>
                </w:p>
              </w:tc>
              <w:tc>
                <w:tcPr>
                  <w:tcW w:w="2289" w:type="pct"/>
                  <w:shd w:val="clear" w:color="auto" w:fill="auto"/>
                  <w:vAlign w:val="center"/>
                </w:tcPr>
                <w:p>
                  <w:pPr>
                    <w:adjustRightInd w:val="0"/>
                    <w:snapToGrid w:val="0"/>
                    <w:jc w:val="center"/>
                    <w:rPr>
                      <w:bCs/>
                      <w:color w:val="000000"/>
                      <w:szCs w:val="21"/>
                      <w:u w:val="single"/>
                    </w:rPr>
                  </w:pPr>
                  <w:r>
                    <w:rPr>
                      <w:bCs/>
                      <w:color w:val="000000"/>
                      <w:szCs w:val="21"/>
                      <w:u w:val="single"/>
                    </w:rPr>
                    <w:t>COD</w:t>
                  </w:r>
                  <w:r>
                    <w:rPr>
                      <w:rFonts w:hint="eastAsia"/>
                      <w:bCs/>
                      <w:color w:val="000000"/>
                      <w:szCs w:val="21"/>
                      <w:u w:val="single"/>
                      <w:vertAlign w:val="subscript"/>
                    </w:rPr>
                    <w:t>cr</w:t>
                  </w:r>
                </w:p>
              </w:tc>
              <w:tc>
                <w:tcPr>
                  <w:tcW w:w="1692" w:type="pct"/>
                  <w:shd w:val="clear" w:color="auto" w:fill="auto"/>
                  <w:vAlign w:val="center"/>
                </w:tcPr>
                <w:p>
                  <w:pPr>
                    <w:adjustRightInd w:val="0"/>
                    <w:snapToGrid w:val="0"/>
                    <w:jc w:val="center"/>
                    <w:rPr>
                      <w:bCs/>
                      <w:color w:val="000000"/>
                      <w:szCs w:val="21"/>
                      <w:u w:val="single"/>
                    </w:rPr>
                  </w:pPr>
                  <w:r>
                    <w:rPr>
                      <w:bCs/>
                      <w:color w:val="000000"/>
                      <w:szCs w:val="21"/>
                      <w:u w:val="single"/>
                    </w:rPr>
                    <w:t>≤200</w:t>
                  </w:r>
                </w:p>
              </w:tc>
            </w:tr>
          </w:tbl>
          <w:p>
            <w:pPr>
              <w:adjustRightInd w:val="0"/>
              <w:snapToGrid w:val="0"/>
              <w:jc w:val="center"/>
              <w:rPr>
                <w:b/>
                <w:szCs w:val="21"/>
                <w:u w:val="single"/>
              </w:rPr>
            </w:pPr>
          </w:p>
          <w:p>
            <w:pPr>
              <w:adjustRightInd w:val="0"/>
              <w:snapToGrid w:val="0"/>
              <w:jc w:val="center"/>
              <w:rPr>
                <w:b/>
                <w:szCs w:val="21"/>
                <w:u w:val="single"/>
              </w:rPr>
            </w:pPr>
            <w:r>
              <w:rPr>
                <w:b/>
                <w:szCs w:val="21"/>
                <w:u w:val="single"/>
              </w:rPr>
              <w:t>表</w:t>
            </w:r>
            <w:r>
              <w:rPr>
                <w:rFonts w:hint="eastAsia"/>
                <w:b/>
                <w:szCs w:val="21"/>
                <w:u w:val="single"/>
              </w:rPr>
              <w:t>3</w:t>
            </w:r>
            <w:r>
              <w:rPr>
                <w:b/>
                <w:szCs w:val="21"/>
                <w:u w:val="single"/>
              </w:rPr>
              <w:t>-</w:t>
            </w:r>
            <w:r>
              <w:rPr>
                <w:rFonts w:hint="eastAsia"/>
                <w:b/>
                <w:szCs w:val="21"/>
                <w:u w:val="single"/>
              </w:rPr>
              <w:t>9</w:t>
            </w:r>
            <w:r>
              <w:rPr>
                <w:b/>
                <w:szCs w:val="21"/>
                <w:u w:val="single"/>
              </w:rPr>
              <w:t xml:space="preserve"> </w:t>
            </w:r>
            <w:r>
              <w:rPr>
                <w:rFonts w:hint="eastAsia"/>
                <w:b/>
                <w:szCs w:val="21"/>
                <w:u w:val="single"/>
              </w:rPr>
              <w:t>废水污染物排放标准</w:t>
            </w:r>
            <w:r>
              <w:rPr>
                <w:b/>
                <w:szCs w:val="21"/>
                <w:u w:val="single"/>
              </w:rPr>
              <w:t xml:space="preserve">  单位：mg/L（pH无量纲）</w:t>
            </w:r>
          </w:p>
          <w:tbl>
            <w:tblPr>
              <w:tblStyle w:val="2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6"/>
              <w:gridCol w:w="2193"/>
              <w:gridCol w:w="1622"/>
              <w:gridCol w:w="31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14" w:type="pct"/>
                  <w:shd w:val="clear" w:color="auto" w:fill="auto"/>
                  <w:vAlign w:val="center"/>
                </w:tcPr>
                <w:p>
                  <w:pPr>
                    <w:adjustRightInd w:val="0"/>
                    <w:snapToGrid w:val="0"/>
                    <w:jc w:val="center"/>
                    <w:rPr>
                      <w:bCs/>
                      <w:color w:val="000000"/>
                      <w:szCs w:val="21"/>
                      <w:u w:val="single"/>
                    </w:rPr>
                  </w:pPr>
                  <w:r>
                    <w:rPr>
                      <w:bCs/>
                      <w:color w:val="000000"/>
                      <w:szCs w:val="21"/>
                      <w:u w:val="single"/>
                    </w:rPr>
                    <w:t>序号</w:t>
                  </w:r>
                </w:p>
              </w:tc>
              <w:tc>
                <w:tcPr>
                  <w:tcW w:w="1379" w:type="pct"/>
                  <w:shd w:val="clear" w:color="auto" w:fill="auto"/>
                  <w:vAlign w:val="center"/>
                </w:tcPr>
                <w:p>
                  <w:pPr>
                    <w:adjustRightInd w:val="0"/>
                    <w:snapToGrid w:val="0"/>
                    <w:jc w:val="center"/>
                    <w:rPr>
                      <w:bCs/>
                      <w:color w:val="000000"/>
                      <w:szCs w:val="21"/>
                      <w:u w:val="single"/>
                    </w:rPr>
                  </w:pPr>
                  <w:r>
                    <w:rPr>
                      <w:bCs/>
                      <w:color w:val="000000"/>
                      <w:szCs w:val="21"/>
                      <w:u w:val="single"/>
                    </w:rPr>
                    <w:t>项目</w:t>
                  </w:r>
                </w:p>
              </w:tc>
              <w:tc>
                <w:tcPr>
                  <w:tcW w:w="1020" w:type="pct"/>
                  <w:shd w:val="clear" w:color="auto" w:fill="auto"/>
                  <w:vAlign w:val="center"/>
                </w:tcPr>
                <w:p>
                  <w:pPr>
                    <w:adjustRightInd w:val="0"/>
                    <w:snapToGrid w:val="0"/>
                    <w:jc w:val="center"/>
                    <w:rPr>
                      <w:bCs/>
                      <w:color w:val="000000"/>
                      <w:szCs w:val="21"/>
                      <w:u w:val="single"/>
                    </w:rPr>
                  </w:pPr>
                  <w:r>
                    <w:rPr>
                      <w:bCs/>
                      <w:color w:val="000000"/>
                      <w:szCs w:val="21"/>
                      <w:u w:val="single"/>
                    </w:rPr>
                    <w:t>标准</w:t>
                  </w:r>
                  <w:r>
                    <w:rPr>
                      <w:rFonts w:hint="eastAsia"/>
                      <w:bCs/>
                      <w:color w:val="000000"/>
                      <w:szCs w:val="21"/>
                      <w:u w:val="single"/>
                    </w:rPr>
                    <w:t>限值</w:t>
                  </w:r>
                </w:p>
              </w:tc>
              <w:tc>
                <w:tcPr>
                  <w:tcW w:w="1986" w:type="pct"/>
                  <w:shd w:val="clear" w:color="auto" w:fill="auto"/>
                  <w:vAlign w:val="center"/>
                </w:tcPr>
                <w:p>
                  <w:pPr>
                    <w:adjustRightInd w:val="0"/>
                    <w:snapToGrid w:val="0"/>
                    <w:jc w:val="center"/>
                    <w:rPr>
                      <w:bCs/>
                      <w:color w:val="000000"/>
                      <w:szCs w:val="21"/>
                      <w:u w:val="single"/>
                    </w:rPr>
                  </w:pPr>
                  <w:r>
                    <w:rPr>
                      <w:rFonts w:hint="eastAsia"/>
                      <w:bCs/>
                      <w:color w:val="000000"/>
                      <w:szCs w:val="21"/>
                      <w:u w:val="single"/>
                    </w:rPr>
                    <w:t>限值来源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14" w:type="pct"/>
                  <w:shd w:val="clear" w:color="auto" w:fill="auto"/>
                  <w:vAlign w:val="center"/>
                </w:tcPr>
                <w:p>
                  <w:pPr>
                    <w:adjustRightInd w:val="0"/>
                    <w:snapToGrid w:val="0"/>
                    <w:jc w:val="center"/>
                    <w:rPr>
                      <w:bCs/>
                      <w:color w:val="000000"/>
                      <w:szCs w:val="21"/>
                      <w:u w:val="single"/>
                    </w:rPr>
                  </w:pPr>
                  <w:r>
                    <w:rPr>
                      <w:bCs/>
                      <w:color w:val="000000"/>
                      <w:szCs w:val="21"/>
                      <w:u w:val="single"/>
                    </w:rPr>
                    <w:t>1</w:t>
                  </w:r>
                </w:p>
              </w:tc>
              <w:tc>
                <w:tcPr>
                  <w:tcW w:w="1379" w:type="pct"/>
                  <w:shd w:val="clear" w:color="auto" w:fill="auto"/>
                  <w:vAlign w:val="center"/>
                </w:tcPr>
                <w:p>
                  <w:pPr>
                    <w:adjustRightInd w:val="0"/>
                    <w:snapToGrid w:val="0"/>
                    <w:jc w:val="center"/>
                    <w:rPr>
                      <w:bCs/>
                      <w:color w:val="000000"/>
                      <w:szCs w:val="21"/>
                      <w:u w:val="single"/>
                    </w:rPr>
                  </w:pPr>
                  <w:r>
                    <w:rPr>
                      <w:bCs/>
                      <w:color w:val="000000"/>
                      <w:szCs w:val="21"/>
                      <w:u w:val="single"/>
                    </w:rPr>
                    <w:t>pH</w:t>
                  </w:r>
                </w:p>
              </w:tc>
              <w:tc>
                <w:tcPr>
                  <w:tcW w:w="1020" w:type="pct"/>
                  <w:shd w:val="clear" w:color="auto" w:fill="auto"/>
                  <w:vAlign w:val="center"/>
                </w:tcPr>
                <w:p>
                  <w:pPr>
                    <w:adjustRightInd w:val="0"/>
                    <w:snapToGrid w:val="0"/>
                    <w:jc w:val="center"/>
                    <w:rPr>
                      <w:bCs/>
                      <w:color w:val="000000"/>
                      <w:szCs w:val="21"/>
                      <w:u w:val="single"/>
                    </w:rPr>
                  </w:pPr>
                  <w:r>
                    <w:rPr>
                      <w:bCs/>
                      <w:color w:val="000000"/>
                      <w:szCs w:val="21"/>
                      <w:u w:val="single"/>
                    </w:rPr>
                    <w:t>6.0</w:t>
                  </w:r>
                  <w:r>
                    <w:rPr>
                      <w:szCs w:val="21"/>
                      <w:u w:val="single"/>
                    </w:rPr>
                    <w:t>～</w:t>
                  </w:r>
                  <w:r>
                    <w:rPr>
                      <w:bCs/>
                      <w:color w:val="000000"/>
                      <w:szCs w:val="21"/>
                      <w:u w:val="single"/>
                    </w:rPr>
                    <w:t>9.0</w:t>
                  </w:r>
                </w:p>
              </w:tc>
              <w:tc>
                <w:tcPr>
                  <w:tcW w:w="1986" w:type="pct"/>
                  <w:vMerge w:val="restart"/>
                  <w:shd w:val="clear" w:color="auto" w:fill="auto"/>
                  <w:vAlign w:val="center"/>
                </w:tcPr>
                <w:p>
                  <w:pPr>
                    <w:adjustRightInd w:val="0"/>
                    <w:snapToGrid w:val="0"/>
                    <w:jc w:val="center"/>
                    <w:rPr>
                      <w:bCs/>
                      <w:color w:val="000000"/>
                      <w:szCs w:val="21"/>
                      <w:u w:val="single"/>
                    </w:rPr>
                  </w:pPr>
                  <w:r>
                    <w:rPr>
                      <w:rFonts w:hint="eastAsia"/>
                      <w:bCs/>
                      <w:color w:val="000000"/>
                      <w:szCs w:val="21"/>
                      <w:u w:val="single"/>
                    </w:rPr>
                    <w:t>《水产养殖尾水污染物排放标准》（DB43/1752-2020）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14" w:type="pct"/>
                  <w:shd w:val="clear" w:color="auto" w:fill="auto"/>
                  <w:vAlign w:val="center"/>
                </w:tcPr>
                <w:p>
                  <w:pPr>
                    <w:adjustRightInd w:val="0"/>
                    <w:snapToGrid w:val="0"/>
                    <w:jc w:val="center"/>
                    <w:rPr>
                      <w:bCs/>
                      <w:color w:val="000000"/>
                      <w:szCs w:val="21"/>
                      <w:u w:val="single"/>
                    </w:rPr>
                  </w:pPr>
                  <w:r>
                    <w:rPr>
                      <w:bCs/>
                      <w:color w:val="000000"/>
                      <w:szCs w:val="21"/>
                      <w:u w:val="single"/>
                    </w:rPr>
                    <w:t>2</w:t>
                  </w:r>
                </w:p>
              </w:tc>
              <w:tc>
                <w:tcPr>
                  <w:tcW w:w="1379" w:type="pct"/>
                  <w:shd w:val="clear" w:color="auto" w:fill="auto"/>
                  <w:vAlign w:val="center"/>
                </w:tcPr>
                <w:p>
                  <w:pPr>
                    <w:adjustRightInd w:val="0"/>
                    <w:snapToGrid w:val="0"/>
                    <w:jc w:val="center"/>
                    <w:rPr>
                      <w:bCs/>
                      <w:color w:val="000000"/>
                      <w:szCs w:val="21"/>
                      <w:u w:val="single"/>
                    </w:rPr>
                  </w:pPr>
                  <w:r>
                    <w:rPr>
                      <w:bCs/>
                      <w:color w:val="000000"/>
                      <w:szCs w:val="21"/>
                      <w:u w:val="single"/>
                    </w:rPr>
                    <w:t>SS</w:t>
                  </w:r>
                </w:p>
              </w:tc>
              <w:tc>
                <w:tcPr>
                  <w:tcW w:w="1020" w:type="pct"/>
                  <w:shd w:val="clear" w:color="auto" w:fill="auto"/>
                  <w:vAlign w:val="center"/>
                </w:tcPr>
                <w:p>
                  <w:pPr>
                    <w:adjustRightInd w:val="0"/>
                    <w:snapToGrid w:val="0"/>
                    <w:jc w:val="center"/>
                    <w:rPr>
                      <w:bCs/>
                      <w:color w:val="000000"/>
                      <w:szCs w:val="21"/>
                      <w:u w:val="single"/>
                    </w:rPr>
                  </w:pPr>
                  <w:r>
                    <w:rPr>
                      <w:rFonts w:hint="eastAsia" w:ascii="宋体" w:hAnsi="宋体" w:cs="宋体"/>
                      <w:bCs/>
                      <w:color w:val="000000"/>
                      <w:szCs w:val="21"/>
                      <w:u w:val="single"/>
                    </w:rPr>
                    <w:t>≦</w:t>
                  </w:r>
                  <w:r>
                    <w:rPr>
                      <w:rFonts w:hint="eastAsia"/>
                      <w:bCs/>
                      <w:color w:val="000000"/>
                      <w:szCs w:val="21"/>
                      <w:u w:val="single"/>
                    </w:rPr>
                    <w:t>45</w:t>
                  </w:r>
                </w:p>
              </w:tc>
              <w:tc>
                <w:tcPr>
                  <w:tcW w:w="1986" w:type="pct"/>
                  <w:vMerge w:val="continue"/>
                  <w:shd w:val="clear" w:color="auto" w:fill="auto"/>
                  <w:vAlign w:val="center"/>
                </w:tcPr>
                <w:p>
                  <w:pPr>
                    <w:adjustRightInd w:val="0"/>
                    <w:snapToGrid w:val="0"/>
                    <w:jc w:val="center"/>
                    <w:rPr>
                      <w:rFonts w:ascii="宋体" w:hAnsi="宋体" w:cs="宋体"/>
                      <w:bCs/>
                      <w:color w:val="00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14" w:type="pct"/>
                  <w:shd w:val="clear" w:color="auto" w:fill="auto"/>
                  <w:vAlign w:val="center"/>
                </w:tcPr>
                <w:p>
                  <w:pPr>
                    <w:adjustRightInd w:val="0"/>
                    <w:snapToGrid w:val="0"/>
                    <w:jc w:val="center"/>
                    <w:rPr>
                      <w:bCs/>
                      <w:color w:val="000000"/>
                      <w:szCs w:val="21"/>
                      <w:u w:val="single"/>
                    </w:rPr>
                  </w:pPr>
                  <w:r>
                    <w:rPr>
                      <w:bCs/>
                      <w:color w:val="000000"/>
                      <w:szCs w:val="21"/>
                      <w:u w:val="single"/>
                    </w:rPr>
                    <w:t>3</w:t>
                  </w:r>
                </w:p>
              </w:tc>
              <w:tc>
                <w:tcPr>
                  <w:tcW w:w="1379" w:type="pct"/>
                  <w:shd w:val="clear" w:color="auto" w:fill="auto"/>
                  <w:vAlign w:val="center"/>
                </w:tcPr>
                <w:p>
                  <w:pPr>
                    <w:adjustRightInd w:val="0"/>
                    <w:snapToGrid w:val="0"/>
                    <w:jc w:val="center"/>
                    <w:rPr>
                      <w:bCs/>
                      <w:color w:val="000000"/>
                      <w:szCs w:val="21"/>
                      <w:u w:val="single"/>
                    </w:rPr>
                  </w:pPr>
                  <w:r>
                    <w:rPr>
                      <w:bCs/>
                      <w:color w:val="000000"/>
                      <w:szCs w:val="21"/>
                      <w:u w:val="single"/>
                    </w:rPr>
                    <w:t>COD</w:t>
                  </w:r>
                  <w:r>
                    <w:rPr>
                      <w:rFonts w:hint="eastAsia"/>
                      <w:bCs/>
                      <w:color w:val="000000"/>
                      <w:szCs w:val="21"/>
                      <w:u w:val="single"/>
                      <w:vertAlign w:val="subscript"/>
                    </w:rPr>
                    <w:t>Mn</w:t>
                  </w:r>
                </w:p>
              </w:tc>
              <w:tc>
                <w:tcPr>
                  <w:tcW w:w="1020" w:type="pct"/>
                  <w:shd w:val="clear" w:color="auto" w:fill="auto"/>
                  <w:vAlign w:val="center"/>
                </w:tcPr>
                <w:p>
                  <w:pPr>
                    <w:adjustRightInd w:val="0"/>
                    <w:snapToGrid w:val="0"/>
                    <w:jc w:val="center"/>
                    <w:rPr>
                      <w:bCs/>
                      <w:color w:val="000000"/>
                      <w:szCs w:val="21"/>
                      <w:u w:val="single"/>
                    </w:rPr>
                  </w:pPr>
                  <w:r>
                    <w:rPr>
                      <w:rFonts w:hint="eastAsia"/>
                      <w:bCs/>
                      <w:color w:val="000000"/>
                      <w:szCs w:val="21"/>
                      <w:u w:val="single"/>
                    </w:rPr>
                    <w:t>≦1</w:t>
                  </w:r>
                  <w:r>
                    <w:rPr>
                      <w:bCs/>
                      <w:color w:val="000000"/>
                      <w:szCs w:val="21"/>
                      <w:u w:val="single"/>
                    </w:rPr>
                    <w:t>5</w:t>
                  </w:r>
                </w:p>
              </w:tc>
              <w:tc>
                <w:tcPr>
                  <w:tcW w:w="1986" w:type="pct"/>
                  <w:vMerge w:val="continue"/>
                  <w:shd w:val="clear" w:color="auto" w:fill="auto"/>
                  <w:vAlign w:val="center"/>
                </w:tcPr>
                <w:p>
                  <w:pPr>
                    <w:adjustRightInd w:val="0"/>
                    <w:snapToGrid w:val="0"/>
                    <w:jc w:val="center"/>
                    <w:rPr>
                      <w:bCs/>
                      <w:color w:val="00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14" w:type="pct"/>
                  <w:shd w:val="clear" w:color="auto" w:fill="auto"/>
                  <w:vAlign w:val="center"/>
                </w:tcPr>
                <w:p>
                  <w:pPr>
                    <w:adjustRightInd w:val="0"/>
                    <w:snapToGrid w:val="0"/>
                    <w:jc w:val="center"/>
                    <w:rPr>
                      <w:bCs/>
                      <w:color w:val="000000"/>
                      <w:szCs w:val="21"/>
                      <w:u w:val="single"/>
                    </w:rPr>
                  </w:pPr>
                  <w:r>
                    <w:rPr>
                      <w:rFonts w:hint="eastAsia"/>
                      <w:bCs/>
                      <w:color w:val="000000"/>
                      <w:szCs w:val="21"/>
                      <w:u w:val="single"/>
                    </w:rPr>
                    <w:t>4</w:t>
                  </w:r>
                </w:p>
              </w:tc>
              <w:tc>
                <w:tcPr>
                  <w:tcW w:w="1379" w:type="pct"/>
                  <w:shd w:val="clear" w:color="auto" w:fill="auto"/>
                  <w:vAlign w:val="center"/>
                </w:tcPr>
                <w:p>
                  <w:pPr>
                    <w:adjustRightInd w:val="0"/>
                    <w:snapToGrid w:val="0"/>
                    <w:jc w:val="center"/>
                    <w:rPr>
                      <w:bCs/>
                      <w:color w:val="000000"/>
                      <w:szCs w:val="21"/>
                      <w:u w:val="single"/>
                    </w:rPr>
                  </w:pPr>
                  <w:r>
                    <w:rPr>
                      <w:bCs/>
                      <w:color w:val="000000"/>
                      <w:szCs w:val="21"/>
                      <w:u w:val="single"/>
                    </w:rPr>
                    <w:t>总磷</w:t>
                  </w:r>
                </w:p>
              </w:tc>
              <w:tc>
                <w:tcPr>
                  <w:tcW w:w="1020" w:type="pct"/>
                  <w:shd w:val="clear" w:color="auto" w:fill="auto"/>
                  <w:vAlign w:val="center"/>
                </w:tcPr>
                <w:p>
                  <w:pPr>
                    <w:adjustRightInd w:val="0"/>
                    <w:snapToGrid w:val="0"/>
                    <w:jc w:val="center"/>
                    <w:rPr>
                      <w:bCs/>
                      <w:color w:val="000000"/>
                      <w:szCs w:val="21"/>
                      <w:u w:val="single"/>
                    </w:rPr>
                  </w:pPr>
                  <w:r>
                    <w:rPr>
                      <w:rFonts w:hint="eastAsia"/>
                      <w:bCs/>
                      <w:color w:val="000000"/>
                      <w:szCs w:val="21"/>
                      <w:u w:val="single"/>
                    </w:rPr>
                    <w:t>≦0.4</w:t>
                  </w:r>
                </w:p>
              </w:tc>
              <w:tc>
                <w:tcPr>
                  <w:tcW w:w="1986" w:type="pct"/>
                  <w:vMerge w:val="continue"/>
                  <w:shd w:val="clear" w:color="auto" w:fill="auto"/>
                  <w:vAlign w:val="center"/>
                </w:tcPr>
                <w:p>
                  <w:pPr>
                    <w:adjustRightInd w:val="0"/>
                    <w:snapToGrid w:val="0"/>
                    <w:jc w:val="center"/>
                    <w:rPr>
                      <w:bCs/>
                      <w:color w:val="00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14" w:type="pct"/>
                  <w:shd w:val="clear" w:color="auto" w:fill="auto"/>
                  <w:vAlign w:val="center"/>
                </w:tcPr>
                <w:p>
                  <w:pPr>
                    <w:adjustRightInd w:val="0"/>
                    <w:snapToGrid w:val="0"/>
                    <w:jc w:val="center"/>
                    <w:rPr>
                      <w:bCs/>
                      <w:color w:val="000000"/>
                      <w:szCs w:val="21"/>
                      <w:u w:val="single"/>
                    </w:rPr>
                  </w:pPr>
                  <w:r>
                    <w:rPr>
                      <w:rFonts w:hint="eastAsia"/>
                      <w:bCs/>
                      <w:color w:val="000000"/>
                      <w:szCs w:val="21"/>
                      <w:u w:val="single"/>
                    </w:rPr>
                    <w:t>5</w:t>
                  </w:r>
                </w:p>
              </w:tc>
              <w:tc>
                <w:tcPr>
                  <w:tcW w:w="1379" w:type="pct"/>
                  <w:shd w:val="clear" w:color="auto" w:fill="auto"/>
                  <w:vAlign w:val="center"/>
                </w:tcPr>
                <w:p>
                  <w:pPr>
                    <w:adjustRightInd w:val="0"/>
                    <w:snapToGrid w:val="0"/>
                    <w:jc w:val="center"/>
                    <w:rPr>
                      <w:bCs/>
                      <w:color w:val="000000"/>
                      <w:szCs w:val="21"/>
                      <w:u w:val="single"/>
                    </w:rPr>
                  </w:pPr>
                  <w:r>
                    <w:rPr>
                      <w:bCs/>
                      <w:color w:val="000000"/>
                      <w:szCs w:val="21"/>
                      <w:u w:val="single"/>
                    </w:rPr>
                    <w:t>总氮</w:t>
                  </w:r>
                </w:p>
              </w:tc>
              <w:tc>
                <w:tcPr>
                  <w:tcW w:w="1020" w:type="pct"/>
                  <w:shd w:val="clear" w:color="auto" w:fill="auto"/>
                  <w:vAlign w:val="center"/>
                </w:tcPr>
                <w:p>
                  <w:pPr>
                    <w:adjustRightInd w:val="0"/>
                    <w:snapToGrid w:val="0"/>
                    <w:jc w:val="center"/>
                    <w:rPr>
                      <w:bCs/>
                      <w:color w:val="000000"/>
                      <w:szCs w:val="21"/>
                      <w:u w:val="single"/>
                    </w:rPr>
                  </w:pPr>
                  <w:r>
                    <w:rPr>
                      <w:rFonts w:hint="eastAsia"/>
                      <w:bCs/>
                      <w:color w:val="000000"/>
                      <w:szCs w:val="21"/>
                      <w:u w:val="single"/>
                    </w:rPr>
                    <w:t>≦2.5</w:t>
                  </w:r>
                </w:p>
              </w:tc>
              <w:tc>
                <w:tcPr>
                  <w:tcW w:w="1986" w:type="pct"/>
                  <w:vMerge w:val="continue"/>
                  <w:shd w:val="clear" w:color="auto" w:fill="auto"/>
                  <w:vAlign w:val="center"/>
                </w:tcPr>
                <w:p>
                  <w:pPr>
                    <w:adjustRightInd w:val="0"/>
                    <w:snapToGrid w:val="0"/>
                    <w:jc w:val="center"/>
                    <w:rPr>
                      <w:bCs/>
                      <w:color w:val="00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14" w:type="pct"/>
                  <w:shd w:val="clear" w:color="auto" w:fill="auto"/>
                  <w:vAlign w:val="center"/>
                </w:tcPr>
                <w:p>
                  <w:pPr>
                    <w:adjustRightInd w:val="0"/>
                    <w:snapToGrid w:val="0"/>
                    <w:jc w:val="center"/>
                    <w:rPr>
                      <w:bCs/>
                      <w:color w:val="000000"/>
                      <w:szCs w:val="21"/>
                      <w:u w:val="single"/>
                    </w:rPr>
                  </w:pPr>
                  <w:r>
                    <w:rPr>
                      <w:rFonts w:hint="eastAsia"/>
                      <w:bCs/>
                      <w:color w:val="000000"/>
                      <w:szCs w:val="21"/>
                      <w:u w:val="single"/>
                    </w:rPr>
                    <w:t>6</w:t>
                  </w:r>
                </w:p>
              </w:tc>
              <w:tc>
                <w:tcPr>
                  <w:tcW w:w="1379" w:type="pct"/>
                  <w:shd w:val="clear" w:color="auto" w:fill="auto"/>
                  <w:vAlign w:val="center"/>
                </w:tcPr>
                <w:p>
                  <w:pPr>
                    <w:adjustRightInd w:val="0"/>
                    <w:snapToGrid w:val="0"/>
                    <w:jc w:val="center"/>
                    <w:rPr>
                      <w:bCs/>
                      <w:color w:val="000000"/>
                      <w:szCs w:val="21"/>
                      <w:u w:val="single"/>
                    </w:rPr>
                  </w:pPr>
                  <w:r>
                    <w:rPr>
                      <w:bCs/>
                      <w:color w:val="000000"/>
                      <w:szCs w:val="21"/>
                      <w:u w:val="single"/>
                    </w:rPr>
                    <w:t>BOD</w:t>
                  </w:r>
                  <w:r>
                    <w:rPr>
                      <w:bCs/>
                      <w:color w:val="000000"/>
                      <w:szCs w:val="21"/>
                      <w:u w:val="single"/>
                      <w:vertAlign w:val="subscript"/>
                    </w:rPr>
                    <w:t>5</w:t>
                  </w:r>
                </w:p>
              </w:tc>
              <w:tc>
                <w:tcPr>
                  <w:tcW w:w="1020" w:type="pct"/>
                  <w:shd w:val="clear" w:color="auto" w:fill="auto"/>
                  <w:vAlign w:val="center"/>
                </w:tcPr>
                <w:p>
                  <w:pPr>
                    <w:adjustRightInd w:val="0"/>
                    <w:snapToGrid w:val="0"/>
                    <w:jc w:val="center"/>
                    <w:rPr>
                      <w:bCs/>
                      <w:color w:val="000000"/>
                      <w:szCs w:val="21"/>
                      <w:u w:val="single"/>
                    </w:rPr>
                  </w:pPr>
                  <w:r>
                    <w:rPr>
                      <w:rFonts w:hint="eastAsia"/>
                      <w:bCs/>
                      <w:color w:val="000000"/>
                      <w:szCs w:val="21"/>
                      <w:u w:val="single"/>
                    </w:rPr>
                    <w:t>≦15</w:t>
                  </w:r>
                </w:p>
              </w:tc>
              <w:tc>
                <w:tcPr>
                  <w:tcW w:w="1986" w:type="pct"/>
                  <w:vMerge w:val="restart"/>
                  <w:shd w:val="clear" w:color="auto" w:fill="auto"/>
                  <w:vAlign w:val="center"/>
                </w:tcPr>
                <w:p>
                  <w:pPr>
                    <w:adjustRightInd w:val="0"/>
                    <w:snapToGrid w:val="0"/>
                    <w:jc w:val="center"/>
                    <w:rPr>
                      <w:bCs/>
                      <w:color w:val="000000"/>
                      <w:szCs w:val="21"/>
                      <w:u w:val="single"/>
                    </w:rPr>
                  </w:pPr>
                  <w:r>
                    <w:rPr>
                      <w:rFonts w:hint="eastAsia"/>
                      <w:bCs/>
                      <w:color w:val="000000"/>
                      <w:szCs w:val="21"/>
                      <w:u w:val="single"/>
                    </w:rPr>
                    <w:t>《淡水池塘养殖水排放要求》（SC/T9101-2007）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14" w:type="pct"/>
                  <w:shd w:val="clear" w:color="auto" w:fill="auto"/>
                  <w:vAlign w:val="center"/>
                </w:tcPr>
                <w:p>
                  <w:pPr>
                    <w:adjustRightInd w:val="0"/>
                    <w:snapToGrid w:val="0"/>
                    <w:jc w:val="center"/>
                    <w:rPr>
                      <w:bCs/>
                      <w:color w:val="000000"/>
                      <w:szCs w:val="21"/>
                      <w:u w:val="single"/>
                    </w:rPr>
                  </w:pPr>
                  <w:r>
                    <w:rPr>
                      <w:rFonts w:hint="eastAsia"/>
                      <w:bCs/>
                      <w:color w:val="000000"/>
                      <w:szCs w:val="21"/>
                      <w:u w:val="single"/>
                    </w:rPr>
                    <w:t>7</w:t>
                  </w:r>
                </w:p>
              </w:tc>
              <w:tc>
                <w:tcPr>
                  <w:tcW w:w="1379" w:type="pct"/>
                  <w:shd w:val="clear" w:color="auto" w:fill="auto"/>
                  <w:vAlign w:val="center"/>
                </w:tcPr>
                <w:p>
                  <w:pPr>
                    <w:adjustRightInd w:val="0"/>
                    <w:snapToGrid w:val="0"/>
                    <w:jc w:val="center"/>
                    <w:rPr>
                      <w:bCs/>
                      <w:color w:val="000000"/>
                      <w:szCs w:val="21"/>
                      <w:u w:val="single"/>
                    </w:rPr>
                  </w:pPr>
                  <w:r>
                    <w:rPr>
                      <w:bCs/>
                      <w:color w:val="000000"/>
                      <w:szCs w:val="21"/>
                      <w:u w:val="single"/>
                    </w:rPr>
                    <w:t>锌</w:t>
                  </w:r>
                </w:p>
              </w:tc>
              <w:tc>
                <w:tcPr>
                  <w:tcW w:w="1020" w:type="pct"/>
                  <w:shd w:val="clear" w:color="auto" w:fill="auto"/>
                  <w:vAlign w:val="center"/>
                </w:tcPr>
                <w:p>
                  <w:pPr>
                    <w:adjustRightInd w:val="0"/>
                    <w:snapToGrid w:val="0"/>
                    <w:jc w:val="center"/>
                    <w:rPr>
                      <w:bCs/>
                      <w:color w:val="000000"/>
                      <w:szCs w:val="21"/>
                      <w:u w:val="single"/>
                    </w:rPr>
                  </w:pPr>
                  <w:r>
                    <w:rPr>
                      <w:rFonts w:hint="eastAsia"/>
                      <w:bCs/>
                      <w:color w:val="000000"/>
                      <w:szCs w:val="21"/>
                      <w:u w:val="single"/>
                    </w:rPr>
                    <w:t>≦1.0</w:t>
                  </w:r>
                </w:p>
              </w:tc>
              <w:tc>
                <w:tcPr>
                  <w:tcW w:w="1986" w:type="pct"/>
                  <w:vMerge w:val="continue"/>
                  <w:shd w:val="clear" w:color="auto" w:fill="auto"/>
                  <w:vAlign w:val="center"/>
                </w:tcPr>
                <w:p>
                  <w:pPr>
                    <w:adjustRightInd w:val="0"/>
                    <w:snapToGrid w:val="0"/>
                    <w:jc w:val="center"/>
                    <w:rPr>
                      <w:bCs/>
                      <w:color w:val="00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14" w:type="pct"/>
                  <w:shd w:val="clear" w:color="auto" w:fill="auto"/>
                  <w:vAlign w:val="center"/>
                </w:tcPr>
                <w:p>
                  <w:pPr>
                    <w:adjustRightInd w:val="0"/>
                    <w:snapToGrid w:val="0"/>
                    <w:jc w:val="center"/>
                    <w:rPr>
                      <w:bCs/>
                      <w:color w:val="000000"/>
                      <w:szCs w:val="21"/>
                      <w:u w:val="single"/>
                    </w:rPr>
                  </w:pPr>
                  <w:r>
                    <w:rPr>
                      <w:rFonts w:hint="eastAsia"/>
                      <w:bCs/>
                      <w:color w:val="000000"/>
                      <w:szCs w:val="21"/>
                      <w:u w:val="single"/>
                    </w:rPr>
                    <w:t>8</w:t>
                  </w:r>
                </w:p>
              </w:tc>
              <w:tc>
                <w:tcPr>
                  <w:tcW w:w="1379" w:type="pct"/>
                  <w:shd w:val="clear" w:color="auto" w:fill="auto"/>
                  <w:vAlign w:val="center"/>
                </w:tcPr>
                <w:p>
                  <w:pPr>
                    <w:adjustRightInd w:val="0"/>
                    <w:snapToGrid w:val="0"/>
                    <w:jc w:val="center"/>
                    <w:rPr>
                      <w:bCs/>
                      <w:color w:val="000000"/>
                      <w:szCs w:val="21"/>
                      <w:u w:val="single"/>
                    </w:rPr>
                  </w:pPr>
                  <w:r>
                    <w:rPr>
                      <w:bCs/>
                      <w:color w:val="000000"/>
                      <w:szCs w:val="21"/>
                      <w:u w:val="single"/>
                    </w:rPr>
                    <w:t>铜</w:t>
                  </w:r>
                </w:p>
              </w:tc>
              <w:tc>
                <w:tcPr>
                  <w:tcW w:w="1020" w:type="pct"/>
                  <w:shd w:val="clear" w:color="auto" w:fill="auto"/>
                  <w:vAlign w:val="center"/>
                </w:tcPr>
                <w:p>
                  <w:pPr>
                    <w:adjustRightInd w:val="0"/>
                    <w:snapToGrid w:val="0"/>
                    <w:jc w:val="center"/>
                    <w:rPr>
                      <w:bCs/>
                      <w:color w:val="000000"/>
                      <w:szCs w:val="21"/>
                      <w:u w:val="single"/>
                    </w:rPr>
                  </w:pPr>
                  <w:r>
                    <w:rPr>
                      <w:rFonts w:hint="eastAsia"/>
                      <w:bCs/>
                      <w:color w:val="000000"/>
                      <w:szCs w:val="21"/>
                      <w:u w:val="single"/>
                    </w:rPr>
                    <w:t>≦0.2</w:t>
                  </w:r>
                </w:p>
              </w:tc>
              <w:tc>
                <w:tcPr>
                  <w:tcW w:w="1986" w:type="pct"/>
                  <w:vMerge w:val="continue"/>
                  <w:shd w:val="clear" w:color="auto" w:fill="auto"/>
                  <w:vAlign w:val="center"/>
                </w:tcPr>
                <w:p>
                  <w:pPr>
                    <w:adjustRightInd w:val="0"/>
                    <w:snapToGrid w:val="0"/>
                    <w:jc w:val="center"/>
                    <w:rPr>
                      <w:bCs/>
                      <w:color w:val="00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14" w:type="pct"/>
                  <w:shd w:val="clear" w:color="auto" w:fill="auto"/>
                  <w:vAlign w:val="center"/>
                </w:tcPr>
                <w:p>
                  <w:pPr>
                    <w:adjustRightInd w:val="0"/>
                    <w:snapToGrid w:val="0"/>
                    <w:jc w:val="center"/>
                    <w:rPr>
                      <w:bCs/>
                      <w:color w:val="000000"/>
                      <w:szCs w:val="21"/>
                      <w:u w:val="single"/>
                    </w:rPr>
                  </w:pPr>
                  <w:r>
                    <w:rPr>
                      <w:rFonts w:hint="eastAsia"/>
                      <w:bCs/>
                      <w:color w:val="000000"/>
                      <w:szCs w:val="21"/>
                      <w:u w:val="single"/>
                    </w:rPr>
                    <w:t>9</w:t>
                  </w:r>
                </w:p>
              </w:tc>
              <w:tc>
                <w:tcPr>
                  <w:tcW w:w="1379" w:type="pct"/>
                  <w:shd w:val="clear" w:color="auto" w:fill="auto"/>
                  <w:vAlign w:val="center"/>
                </w:tcPr>
                <w:p>
                  <w:pPr>
                    <w:adjustRightInd w:val="0"/>
                    <w:snapToGrid w:val="0"/>
                    <w:jc w:val="center"/>
                    <w:rPr>
                      <w:bCs/>
                      <w:color w:val="000000"/>
                      <w:szCs w:val="21"/>
                      <w:u w:val="single"/>
                    </w:rPr>
                  </w:pPr>
                  <w:r>
                    <w:rPr>
                      <w:bCs/>
                      <w:color w:val="000000"/>
                      <w:szCs w:val="21"/>
                      <w:u w:val="single"/>
                    </w:rPr>
                    <w:t>总余氯</w:t>
                  </w:r>
                </w:p>
              </w:tc>
              <w:tc>
                <w:tcPr>
                  <w:tcW w:w="1020" w:type="pct"/>
                  <w:shd w:val="clear" w:color="auto" w:fill="auto"/>
                  <w:vAlign w:val="center"/>
                </w:tcPr>
                <w:p>
                  <w:pPr>
                    <w:adjustRightInd w:val="0"/>
                    <w:snapToGrid w:val="0"/>
                    <w:jc w:val="center"/>
                    <w:rPr>
                      <w:bCs/>
                      <w:color w:val="000000"/>
                      <w:szCs w:val="21"/>
                      <w:u w:val="single"/>
                    </w:rPr>
                  </w:pPr>
                  <w:r>
                    <w:rPr>
                      <w:rFonts w:hint="eastAsia"/>
                      <w:bCs/>
                      <w:color w:val="000000"/>
                      <w:szCs w:val="21"/>
                      <w:u w:val="single"/>
                    </w:rPr>
                    <w:t>≦0.2</w:t>
                  </w:r>
                </w:p>
              </w:tc>
              <w:tc>
                <w:tcPr>
                  <w:tcW w:w="1986" w:type="pct"/>
                  <w:vMerge w:val="continue"/>
                  <w:shd w:val="clear" w:color="auto" w:fill="auto"/>
                  <w:vAlign w:val="center"/>
                </w:tcPr>
                <w:p>
                  <w:pPr>
                    <w:adjustRightInd w:val="0"/>
                    <w:snapToGrid w:val="0"/>
                    <w:jc w:val="center"/>
                    <w:rPr>
                      <w:bCs/>
                      <w:color w:val="00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14" w:type="pct"/>
                  <w:shd w:val="clear" w:color="auto" w:fill="auto"/>
                  <w:vAlign w:val="center"/>
                </w:tcPr>
                <w:p>
                  <w:pPr>
                    <w:adjustRightInd w:val="0"/>
                    <w:snapToGrid w:val="0"/>
                    <w:jc w:val="center"/>
                    <w:rPr>
                      <w:bCs/>
                      <w:color w:val="000000"/>
                      <w:szCs w:val="21"/>
                      <w:u w:val="single"/>
                    </w:rPr>
                  </w:pPr>
                  <w:r>
                    <w:rPr>
                      <w:rFonts w:hint="eastAsia"/>
                      <w:bCs/>
                      <w:color w:val="000000"/>
                      <w:szCs w:val="21"/>
                      <w:u w:val="single"/>
                    </w:rPr>
                    <w:t>10</w:t>
                  </w:r>
                </w:p>
              </w:tc>
              <w:tc>
                <w:tcPr>
                  <w:tcW w:w="1379" w:type="pct"/>
                  <w:shd w:val="clear" w:color="auto" w:fill="auto"/>
                  <w:vAlign w:val="center"/>
                </w:tcPr>
                <w:p>
                  <w:pPr>
                    <w:adjustRightInd w:val="0"/>
                    <w:snapToGrid w:val="0"/>
                    <w:jc w:val="center"/>
                    <w:rPr>
                      <w:bCs/>
                      <w:color w:val="000000"/>
                      <w:szCs w:val="21"/>
                      <w:u w:val="single"/>
                    </w:rPr>
                  </w:pPr>
                  <w:r>
                    <w:rPr>
                      <w:rFonts w:hint="eastAsia"/>
                      <w:bCs/>
                      <w:color w:val="000000"/>
                      <w:szCs w:val="21"/>
                      <w:u w:val="single"/>
                    </w:rPr>
                    <w:t>硫化物</w:t>
                  </w:r>
                </w:p>
              </w:tc>
              <w:tc>
                <w:tcPr>
                  <w:tcW w:w="1020" w:type="pct"/>
                  <w:shd w:val="clear" w:color="auto" w:fill="auto"/>
                  <w:vAlign w:val="center"/>
                </w:tcPr>
                <w:p>
                  <w:pPr>
                    <w:adjustRightInd w:val="0"/>
                    <w:snapToGrid w:val="0"/>
                    <w:jc w:val="center"/>
                    <w:rPr>
                      <w:bCs/>
                      <w:color w:val="000000"/>
                      <w:szCs w:val="21"/>
                      <w:u w:val="single"/>
                    </w:rPr>
                  </w:pPr>
                  <w:r>
                    <w:rPr>
                      <w:rFonts w:hint="eastAsia"/>
                      <w:bCs/>
                      <w:color w:val="000000"/>
                      <w:szCs w:val="21"/>
                      <w:u w:val="single"/>
                    </w:rPr>
                    <w:t>≦0.5</w:t>
                  </w:r>
                </w:p>
              </w:tc>
              <w:tc>
                <w:tcPr>
                  <w:tcW w:w="1986" w:type="pct"/>
                  <w:vMerge w:val="continue"/>
                  <w:shd w:val="clear" w:color="auto" w:fill="auto"/>
                  <w:vAlign w:val="center"/>
                </w:tcPr>
                <w:p>
                  <w:pPr>
                    <w:adjustRightInd w:val="0"/>
                    <w:snapToGrid w:val="0"/>
                    <w:jc w:val="center"/>
                    <w:rPr>
                      <w:bCs/>
                      <w:color w:val="000000"/>
                      <w:szCs w:val="21"/>
                      <w:u w:val="single"/>
                    </w:rPr>
                  </w:pPr>
                </w:p>
              </w:tc>
            </w:tr>
          </w:tbl>
          <w:p>
            <w:pPr>
              <w:pStyle w:val="30"/>
              <w:snapToGrid w:val="0"/>
              <w:spacing w:line="360" w:lineRule="auto"/>
              <w:ind w:firstLine="480" w:firstLineChars="200"/>
              <w:rPr>
                <w:rFonts w:hint="default" w:ascii="Times New Roman"/>
              </w:rPr>
            </w:pPr>
            <w:r>
              <w:rPr>
                <w:rFonts w:ascii="Times New Roman"/>
              </w:rPr>
              <w:t>（2）</w:t>
            </w:r>
            <w:r>
              <w:rPr>
                <w:rFonts w:hint="default" w:ascii="Times New Roman"/>
              </w:rPr>
              <w:t>废气</w:t>
            </w:r>
          </w:p>
          <w:p>
            <w:pPr>
              <w:adjustRightInd w:val="0"/>
              <w:snapToGrid w:val="0"/>
              <w:spacing w:line="360" w:lineRule="auto"/>
              <w:ind w:firstLine="480" w:firstLineChars="200"/>
              <w:rPr>
                <w:sz w:val="24"/>
              </w:rPr>
            </w:pPr>
            <w:r>
              <w:rPr>
                <w:sz w:val="24"/>
              </w:rPr>
              <w:t>施工期扬尘执行《大气污染物综合排放标准》（GB16297-1996）表2中颗粒物无组织排放标准</w:t>
            </w:r>
            <w:r>
              <w:rPr>
                <w:rFonts w:hint="eastAsia"/>
                <w:sz w:val="24"/>
              </w:rPr>
              <w:t>。</w:t>
            </w:r>
          </w:p>
          <w:p>
            <w:pPr>
              <w:pStyle w:val="30"/>
              <w:snapToGrid w:val="0"/>
              <w:spacing w:line="360" w:lineRule="auto"/>
              <w:ind w:firstLine="480" w:firstLineChars="200"/>
              <w:rPr>
                <w:rFonts w:hint="default" w:ascii="Times New Roman"/>
              </w:rPr>
            </w:pPr>
            <w:r>
              <w:rPr>
                <w:rFonts w:hint="default" w:ascii="Times New Roman"/>
              </w:rPr>
              <w:t>营运期恶臭污染物执行《恶臭污染物排放标准》（GB14554-93）恶臭污染物厂界标准值：臭气浓度（无量纲）≤20。</w:t>
            </w:r>
          </w:p>
          <w:p>
            <w:pPr>
              <w:adjustRightInd w:val="0"/>
              <w:snapToGrid w:val="0"/>
              <w:jc w:val="center"/>
              <w:rPr>
                <w:b/>
                <w:szCs w:val="21"/>
                <w:u w:val="single"/>
              </w:rPr>
            </w:pPr>
            <w:r>
              <w:rPr>
                <w:b/>
                <w:szCs w:val="21"/>
                <w:u w:val="single"/>
              </w:rPr>
              <w:t>表</w:t>
            </w:r>
            <w:r>
              <w:rPr>
                <w:rFonts w:hint="eastAsia"/>
                <w:b/>
                <w:szCs w:val="21"/>
                <w:u w:val="single"/>
              </w:rPr>
              <w:t>3</w:t>
            </w:r>
            <w:r>
              <w:rPr>
                <w:b/>
                <w:szCs w:val="21"/>
                <w:u w:val="single"/>
              </w:rPr>
              <w:t>-</w:t>
            </w:r>
            <w:r>
              <w:rPr>
                <w:rFonts w:hint="eastAsia"/>
                <w:b/>
                <w:szCs w:val="21"/>
                <w:u w:val="single"/>
              </w:rPr>
              <w:t>9</w:t>
            </w:r>
            <w:r>
              <w:rPr>
                <w:b/>
                <w:szCs w:val="21"/>
                <w:u w:val="single"/>
              </w:rPr>
              <w:t xml:space="preserve"> </w:t>
            </w:r>
            <w:r>
              <w:rPr>
                <w:rFonts w:hint="eastAsia"/>
                <w:b/>
                <w:szCs w:val="21"/>
                <w:u w:val="single"/>
              </w:rPr>
              <w:t>废气污染物排放标准</w:t>
            </w:r>
            <w:r>
              <w:rPr>
                <w:b/>
                <w:szCs w:val="21"/>
                <w:u w:val="single"/>
              </w:rPr>
              <w:t xml:space="preserve">  单位：mg/</w:t>
            </w:r>
            <w:r>
              <w:rPr>
                <w:rFonts w:hint="eastAsia"/>
                <w:b/>
                <w:szCs w:val="21"/>
                <w:u w:val="single"/>
              </w:rPr>
              <w:t>m³</w:t>
            </w:r>
            <w:r>
              <w:rPr>
                <w:b/>
                <w:szCs w:val="21"/>
                <w:u w:val="single"/>
              </w:rPr>
              <w:t>（</w:t>
            </w:r>
            <w:r>
              <w:rPr>
                <w:rFonts w:hint="eastAsia"/>
                <w:b/>
                <w:szCs w:val="21"/>
                <w:u w:val="single"/>
              </w:rPr>
              <w:t>臭气浓度</w:t>
            </w:r>
            <w:r>
              <w:rPr>
                <w:b/>
                <w:szCs w:val="21"/>
                <w:u w:val="single"/>
              </w:rPr>
              <w:t>无量纲）</w:t>
            </w:r>
          </w:p>
          <w:tbl>
            <w:tblPr>
              <w:tblStyle w:val="2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6"/>
              <w:gridCol w:w="2193"/>
              <w:gridCol w:w="1622"/>
              <w:gridCol w:w="31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14" w:type="pct"/>
                  <w:shd w:val="clear" w:color="auto" w:fill="auto"/>
                  <w:vAlign w:val="center"/>
                </w:tcPr>
                <w:p>
                  <w:pPr>
                    <w:adjustRightInd w:val="0"/>
                    <w:snapToGrid w:val="0"/>
                    <w:jc w:val="center"/>
                    <w:rPr>
                      <w:bCs/>
                      <w:color w:val="000000"/>
                      <w:szCs w:val="21"/>
                      <w:u w:val="single"/>
                    </w:rPr>
                  </w:pPr>
                  <w:r>
                    <w:rPr>
                      <w:rFonts w:hint="eastAsia"/>
                      <w:bCs/>
                      <w:color w:val="000000"/>
                      <w:szCs w:val="21"/>
                      <w:u w:val="single"/>
                    </w:rPr>
                    <w:t>时期</w:t>
                  </w:r>
                </w:p>
              </w:tc>
              <w:tc>
                <w:tcPr>
                  <w:tcW w:w="1379" w:type="pct"/>
                  <w:shd w:val="clear" w:color="auto" w:fill="auto"/>
                  <w:vAlign w:val="center"/>
                </w:tcPr>
                <w:p>
                  <w:pPr>
                    <w:adjustRightInd w:val="0"/>
                    <w:snapToGrid w:val="0"/>
                    <w:jc w:val="center"/>
                    <w:rPr>
                      <w:bCs/>
                      <w:color w:val="000000"/>
                      <w:szCs w:val="21"/>
                      <w:u w:val="single"/>
                    </w:rPr>
                  </w:pPr>
                  <w:r>
                    <w:rPr>
                      <w:bCs/>
                      <w:color w:val="000000"/>
                      <w:szCs w:val="21"/>
                      <w:u w:val="single"/>
                    </w:rPr>
                    <w:t>项目</w:t>
                  </w:r>
                </w:p>
              </w:tc>
              <w:tc>
                <w:tcPr>
                  <w:tcW w:w="1020" w:type="pct"/>
                  <w:shd w:val="clear" w:color="auto" w:fill="auto"/>
                  <w:vAlign w:val="center"/>
                </w:tcPr>
                <w:p>
                  <w:pPr>
                    <w:adjustRightInd w:val="0"/>
                    <w:snapToGrid w:val="0"/>
                    <w:jc w:val="center"/>
                    <w:rPr>
                      <w:bCs/>
                      <w:color w:val="000000"/>
                      <w:szCs w:val="21"/>
                      <w:u w:val="single"/>
                    </w:rPr>
                  </w:pPr>
                  <w:r>
                    <w:rPr>
                      <w:rFonts w:hint="eastAsia"/>
                      <w:bCs/>
                      <w:color w:val="000000"/>
                      <w:szCs w:val="21"/>
                      <w:u w:val="single"/>
                    </w:rPr>
                    <w:t>无组织排放监控浓度限值</w:t>
                  </w:r>
                </w:p>
              </w:tc>
              <w:tc>
                <w:tcPr>
                  <w:tcW w:w="1986" w:type="pct"/>
                  <w:shd w:val="clear" w:color="auto" w:fill="auto"/>
                  <w:vAlign w:val="center"/>
                </w:tcPr>
                <w:p>
                  <w:pPr>
                    <w:adjustRightInd w:val="0"/>
                    <w:snapToGrid w:val="0"/>
                    <w:jc w:val="center"/>
                    <w:rPr>
                      <w:bCs/>
                      <w:color w:val="000000"/>
                      <w:szCs w:val="21"/>
                      <w:u w:val="single"/>
                    </w:rPr>
                  </w:pPr>
                  <w:r>
                    <w:rPr>
                      <w:rFonts w:hint="eastAsia"/>
                      <w:bCs/>
                      <w:color w:val="000000"/>
                      <w:szCs w:val="21"/>
                      <w:u w:val="single"/>
                    </w:rPr>
                    <w:t>限值来源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14" w:type="pct"/>
                  <w:shd w:val="clear" w:color="auto" w:fill="auto"/>
                  <w:vAlign w:val="center"/>
                </w:tcPr>
                <w:p>
                  <w:pPr>
                    <w:adjustRightInd w:val="0"/>
                    <w:snapToGrid w:val="0"/>
                    <w:jc w:val="center"/>
                    <w:rPr>
                      <w:bCs/>
                      <w:color w:val="000000"/>
                      <w:szCs w:val="21"/>
                      <w:u w:val="single"/>
                    </w:rPr>
                  </w:pPr>
                  <w:r>
                    <w:rPr>
                      <w:rFonts w:hint="eastAsia"/>
                      <w:bCs/>
                      <w:color w:val="000000"/>
                      <w:szCs w:val="21"/>
                      <w:u w:val="single"/>
                    </w:rPr>
                    <w:t>施工期</w:t>
                  </w:r>
                </w:p>
              </w:tc>
              <w:tc>
                <w:tcPr>
                  <w:tcW w:w="1379" w:type="pct"/>
                  <w:shd w:val="clear" w:color="auto" w:fill="auto"/>
                  <w:vAlign w:val="center"/>
                </w:tcPr>
                <w:p>
                  <w:pPr>
                    <w:adjustRightInd w:val="0"/>
                    <w:snapToGrid w:val="0"/>
                    <w:jc w:val="center"/>
                    <w:rPr>
                      <w:bCs/>
                      <w:color w:val="000000"/>
                      <w:szCs w:val="21"/>
                      <w:u w:val="single"/>
                    </w:rPr>
                  </w:pPr>
                  <w:r>
                    <w:rPr>
                      <w:bCs/>
                      <w:color w:val="000000"/>
                      <w:szCs w:val="21"/>
                      <w:u w:val="single"/>
                    </w:rPr>
                    <w:t>颗粒物</w:t>
                  </w:r>
                </w:p>
              </w:tc>
              <w:tc>
                <w:tcPr>
                  <w:tcW w:w="1020" w:type="pct"/>
                  <w:shd w:val="clear" w:color="auto" w:fill="auto"/>
                  <w:vAlign w:val="center"/>
                </w:tcPr>
                <w:p>
                  <w:pPr>
                    <w:adjustRightInd w:val="0"/>
                    <w:snapToGrid w:val="0"/>
                    <w:jc w:val="center"/>
                    <w:rPr>
                      <w:bCs/>
                      <w:color w:val="000000"/>
                      <w:szCs w:val="21"/>
                      <w:u w:val="single"/>
                    </w:rPr>
                  </w:pPr>
                  <w:r>
                    <w:rPr>
                      <w:rFonts w:hint="eastAsia"/>
                      <w:bCs/>
                      <w:color w:val="000000"/>
                      <w:szCs w:val="21"/>
                      <w:u w:val="single"/>
                    </w:rPr>
                    <w:t>1.0</w:t>
                  </w:r>
                </w:p>
              </w:tc>
              <w:tc>
                <w:tcPr>
                  <w:tcW w:w="1986" w:type="pct"/>
                  <w:shd w:val="clear" w:color="auto" w:fill="auto"/>
                  <w:vAlign w:val="center"/>
                </w:tcPr>
                <w:p>
                  <w:pPr>
                    <w:adjustRightInd w:val="0"/>
                    <w:snapToGrid w:val="0"/>
                    <w:jc w:val="center"/>
                    <w:rPr>
                      <w:bCs/>
                      <w:color w:val="000000"/>
                      <w:szCs w:val="21"/>
                      <w:u w:val="single"/>
                    </w:rPr>
                  </w:pPr>
                  <w:r>
                    <w:rPr>
                      <w:bCs/>
                      <w:color w:val="000000"/>
                      <w:szCs w:val="21"/>
                      <w:u w:val="single"/>
                    </w:rPr>
                    <w:t>《大气污染物综合排放标准》（GB16297-1996）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14" w:type="pct"/>
                  <w:shd w:val="clear" w:color="auto" w:fill="auto"/>
                  <w:vAlign w:val="center"/>
                </w:tcPr>
                <w:p>
                  <w:pPr>
                    <w:adjustRightInd w:val="0"/>
                    <w:snapToGrid w:val="0"/>
                    <w:jc w:val="center"/>
                    <w:rPr>
                      <w:bCs/>
                      <w:color w:val="000000"/>
                      <w:szCs w:val="21"/>
                      <w:u w:val="single"/>
                    </w:rPr>
                  </w:pPr>
                  <w:r>
                    <w:rPr>
                      <w:rFonts w:hint="eastAsia"/>
                      <w:bCs/>
                      <w:color w:val="000000"/>
                      <w:szCs w:val="21"/>
                      <w:u w:val="single"/>
                    </w:rPr>
                    <w:t>运营期</w:t>
                  </w:r>
                </w:p>
              </w:tc>
              <w:tc>
                <w:tcPr>
                  <w:tcW w:w="1379" w:type="pct"/>
                  <w:shd w:val="clear" w:color="auto" w:fill="auto"/>
                  <w:vAlign w:val="center"/>
                </w:tcPr>
                <w:p>
                  <w:pPr>
                    <w:adjustRightInd w:val="0"/>
                    <w:snapToGrid w:val="0"/>
                    <w:jc w:val="center"/>
                    <w:rPr>
                      <w:bCs/>
                      <w:color w:val="000000"/>
                      <w:szCs w:val="21"/>
                      <w:u w:val="single"/>
                    </w:rPr>
                  </w:pPr>
                  <w:r>
                    <w:rPr>
                      <w:bCs/>
                      <w:color w:val="000000"/>
                      <w:szCs w:val="21"/>
                      <w:u w:val="single"/>
                    </w:rPr>
                    <w:t>臭气浓度</w:t>
                  </w:r>
                </w:p>
              </w:tc>
              <w:tc>
                <w:tcPr>
                  <w:tcW w:w="1020" w:type="pct"/>
                  <w:shd w:val="clear" w:color="auto" w:fill="auto"/>
                  <w:vAlign w:val="center"/>
                </w:tcPr>
                <w:p>
                  <w:pPr>
                    <w:adjustRightInd w:val="0"/>
                    <w:snapToGrid w:val="0"/>
                    <w:jc w:val="center"/>
                    <w:rPr>
                      <w:bCs/>
                      <w:color w:val="000000"/>
                      <w:szCs w:val="21"/>
                      <w:u w:val="single"/>
                    </w:rPr>
                  </w:pPr>
                  <w:r>
                    <w:rPr>
                      <w:rFonts w:hint="eastAsia"/>
                      <w:bCs/>
                      <w:color w:val="000000"/>
                      <w:szCs w:val="21"/>
                      <w:u w:val="single"/>
                    </w:rPr>
                    <w:t>20</w:t>
                  </w:r>
                </w:p>
              </w:tc>
              <w:tc>
                <w:tcPr>
                  <w:tcW w:w="1986" w:type="pct"/>
                  <w:shd w:val="clear" w:color="auto" w:fill="auto"/>
                  <w:vAlign w:val="center"/>
                </w:tcPr>
                <w:p>
                  <w:pPr>
                    <w:adjustRightInd w:val="0"/>
                    <w:snapToGrid w:val="0"/>
                    <w:jc w:val="center"/>
                    <w:rPr>
                      <w:rFonts w:ascii="宋体" w:hAnsi="宋体" w:cs="宋体"/>
                      <w:bCs/>
                      <w:color w:val="000000"/>
                      <w:szCs w:val="21"/>
                      <w:u w:val="single"/>
                    </w:rPr>
                  </w:pPr>
                  <w:r>
                    <w:rPr>
                      <w:bCs/>
                      <w:color w:val="000000"/>
                      <w:szCs w:val="21"/>
                      <w:u w:val="single"/>
                    </w:rPr>
                    <w:t>《恶臭污染物排放标准》（GB14554-93）</w:t>
                  </w:r>
                </w:p>
              </w:tc>
            </w:tr>
          </w:tbl>
          <w:p>
            <w:pPr>
              <w:pStyle w:val="30"/>
              <w:snapToGrid w:val="0"/>
              <w:spacing w:line="360" w:lineRule="auto"/>
              <w:ind w:firstLine="480" w:firstLineChars="200"/>
              <w:rPr>
                <w:rFonts w:hint="default" w:ascii="Times New Roman"/>
              </w:rPr>
            </w:pPr>
            <w:r>
              <w:rPr>
                <w:rFonts w:ascii="Times New Roman"/>
              </w:rPr>
              <w:t>（3）</w:t>
            </w:r>
            <w:r>
              <w:rPr>
                <w:rFonts w:hint="default" w:ascii="Times New Roman"/>
              </w:rPr>
              <w:t>噪声</w:t>
            </w:r>
          </w:p>
          <w:p>
            <w:pPr>
              <w:adjustRightInd w:val="0"/>
              <w:snapToGrid w:val="0"/>
              <w:spacing w:line="360" w:lineRule="auto"/>
              <w:ind w:firstLine="480" w:firstLineChars="200"/>
              <w:rPr>
                <w:rFonts w:ascii="宋体" w:hAnsi="宋体" w:cs="宋体"/>
                <w:sz w:val="24"/>
              </w:rPr>
            </w:pPr>
            <w:r>
              <w:rPr>
                <w:sz w:val="24"/>
              </w:rPr>
              <w:t>施工期建筑施工场界噪声排放执行《建筑施工场界环境噪声排放标准》（GB12523-2011）标准</w:t>
            </w:r>
            <w:r>
              <w:rPr>
                <w:rFonts w:ascii="宋体" w:hAnsi="宋体" w:cs="宋体"/>
                <w:sz w:val="24"/>
              </w:rPr>
              <w:t>限值,夜间不进行作业</w:t>
            </w:r>
            <w:r>
              <w:rPr>
                <w:rFonts w:hint="eastAsia" w:ascii="宋体" w:hAnsi="宋体" w:cs="宋体"/>
                <w:sz w:val="24"/>
              </w:rPr>
              <w:t>。</w:t>
            </w:r>
          </w:p>
          <w:p>
            <w:pPr>
              <w:pStyle w:val="30"/>
              <w:snapToGrid w:val="0"/>
              <w:spacing w:line="360" w:lineRule="auto"/>
              <w:ind w:firstLine="480" w:firstLineChars="200"/>
              <w:rPr>
                <w:rFonts w:hint="default" w:ascii="Times New Roman"/>
              </w:rPr>
            </w:pPr>
            <w:r>
              <w:rPr>
                <w:rFonts w:hint="default" w:ascii="Times New Roman"/>
                <w:lang w:bidi="ar"/>
              </w:rPr>
              <w:t>运营期项目厂界区域噪声执行《工业企业厂界环境噪声排放标准》（GB12348-2008）2类标准。</w:t>
            </w:r>
          </w:p>
          <w:p>
            <w:pPr>
              <w:pStyle w:val="30"/>
              <w:snapToGrid w:val="0"/>
              <w:jc w:val="center"/>
              <w:rPr>
                <w:rFonts w:hint="default" w:ascii="Times New Roman"/>
                <w:b/>
                <w:bCs/>
                <w:sz w:val="21"/>
                <w:szCs w:val="21"/>
              </w:rPr>
            </w:pPr>
          </w:p>
          <w:p>
            <w:pPr>
              <w:pStyle w:val="30"/>
              <w:snapToGrid w:val="0"/>
              <w:jc w:val="center"/>
              <w:rPr>
                <w:rFonts w:hint="default" w:ascii="Times New Roman"/>
                <w:b/>
                <w:bCs/>
                <w:sz w:val="21"/>
                <w:szCs w:val="21"/>
              </w:rPr>
            </w:pPr>
          </w:p>
          <w:p>
            <w:pPr>
              <w:pStyle w:val="30"/>
              <w:snapToGrid w:val="0"/>
              <w:jc w:val="center"/>
              <w:rPr>
                <w:rFonts w:hint="default" w:ascii="Times New Roman"/>
                <w:b/>
                <w:bCs/>
                <w:sz w:val="21"/>
                <w:szCs w:val="21"/>
              </w:rPr>
            </w:pPr>
          </w:p>
          <w:p>
            <w:pPr>
              <w:pStyle w:val="30"/>
              <w:snapToGrid w:val="0"/>
              <w:jc w:val="center"/>
              <w:rPr>
                <w:rFonts w:hint="default" w:ascii="Times New Roman"/>
                <w:b/>
                <w:bCs/>
                <w:sz w:val="21"/>
                <w:szCs w:val="21"/>
              </w:rPr>
            </w:pPr>
          </w:p>
          <w:p>
            <w:pPr>
              <w:pStyle w:val="30"/>
              <w:snapToGrid w:val="0"/>
              <w:jc w:val="center"/>
              <w:rPr>
                <w:rFonts w:hint="default" w:ascii="Times New Roman"/>
                <w:b/>
                <w:bCs/>
                <w:sz w:val="21"/>
                <w:szCs w:val="21"/>
              </w:rPr>
            </w:pPr>
          </w:p>
          <w:p>
            <w:pPr>
              <w:pStyle w:val="30"/>
              <w:snapToGrid w:val="0"/>
              <w:jc w:val="center"/>
              <w:rPr>
                <w:rFonts w:hint="default" w:ascii="Times New Roman"/>
                <w:b/>
                <w:bCs/>
                <w:sz w:val="21"/>
                <w:szCs w:val="21"/>
              </w:rPr>
            </w:pPr>
            <w:r>
              <w:rPr>
                <w:rFonts w:hint="default" w:ascii="Times New Roman"/>
                <w:b/>
                <w:bCs/>
                <w:sz w:val="21"/>
                <w:szCs w:val="21"/>
              </w:rPr>
              <w:t>表</w:t>
            </w:r>
            <w:r>
              <w:rPr>
                <w:rFonts w:ascii="Times New Roman"/>
                <w:b/>
                <w:bCs/>
                <w:sz w:val="21"/>
                <w:szCs w:val="21"/>
              </w:rPr>
              <w:t>3-9</w:t>
            </w:r>
            <w:r>
              <w:rPr>
                <w:rFonts w:hint="default" w:ascii="Times New Roman"/>
                <w:b/>
                <w:bCs/>
                <w:sz w:val="21"/>
                <w:szCs w:val="21"/>
              </w:rPr>
              <w:t xml:space="preserve">  噪声排放标准 单位：dB（A）</w:t>
            </w:r>
          </w:p>
          <w:tbl>
            <w:tblPr>
              <w:tblStyle w:val="24"/>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4"/>
              <w:gridCol w:w="1687"/>
              <w:gridCol w:w="2676"/>
              <w:gridCol w:w="26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jc w:val="center"/>
              </w:trPr>
              <w:tc>
                <w:tcPr>
                  <w:tcW w:w="1636" w:type="pct"/>
                  <w:gridSpan w:val="2"/>
                  <w:tcBorders>
                    <w:tl2br w:val="nil"/>
                    <w:tr2bl w:val="nil"/>
                  </w:tcBorders>
                  <w:vAlign w:val="center"/>
                </w:tcPr>
                <w:p>
                  <w:pPr>
                    <w:pStyle w:val="30"/>
                    <w:snapToGrid w:val="0"/>
                    <w:jc w:val="center"/>
                    <w:rPr>
                      <w:rFonts w:hint="default" w:ascii="Times New Roman"/>
                      <w:sz w:val="21"/>
                      <w:szCs w:val="21"/>
                    </w:rPr>
                  </w:pPr>
                  <w:r>
                    <w:rPr>
                      <w:rFonts w:hint="default" w:ascii="Times New Roman"/>
                      <w:sz w:val="21"/>
                      <w:szCs w:val="21"/>
                    </w:rPr>
                    <w:t>类别</w:t>
                  </w:r>
                </w:p>
              </w:tc>
              <w:tc>
                <w:tcPr>
                  <w:tcW w:w="1683" w:type="pct"/>
                  <w:tcBorders>
                    <w:tl2br w:val="nil"/>
                    <w:tr2bl w:val="nil"/>
                  </w:tcBorders>
                  <w:vAlign w:val="center"/>
                </w:tcPr>
                <w:p>
                  <w:pPr>
                    <w:pStyle w:val="30"/>
                    <w:snapToGrid w:val="0"/>
                    <w:jc w:val="center"/>
                    <w:rPr>
                      <w:rFonts w:hint="default" w:ascii="Times New Roman"/>
                      <w:sz w:val="21"/>
                      <w:szCs w:val="21"/>
                    </w:rPr>
                  </w:pPr>
                  <w:r>
                    <w:rPr>
                      <w:rFonts w:hint="default" w:ascii="Times New Roman"/>
                      <w:sz w:val="21"/>
                      <w:szCs w:val="21"/>
                    </w:rPr>
                    <w:t>昼间</w:t>
                  </w:r>
                </w:p>
              </w:tc>
              <w:tc>
                <w:tcPr>
                  <w:tcW w:w="1679" w:type="pct"/>
                  <w:tcBorders>
                    <w:tl2br w:val="nil"/>
                    <w:tr2bl w:val="nil"/>
                  </w:tcBorders>
                  <w:vAlign w:val="center"/>
                </w:tcPr>
                <w:p>
                  <w:pPr>
                    <w:pStyle w:val="30"/>
                    <w:snapToGrid w:val="0"/>
                    <w:jc w:val="center"/>
                    <w:rPr>
                      <w:rFonts w:hint="default" w:ascii="Times New Roman"/>
                      <w:sz w:val="21"/>
                      <w:szCs w:val="21"/>
                    </w:rPr>
                  </w:pPr>
                  <w:r>
                    <w:rPr>
                      <w:rFonts w:hint="default" w:ascii="Times New Roman"/>
                      <w:sz w:val="21"/>
                      <w:szCs w:val="21"/>
                    </w:rPr>
                    <w:t>夜间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6" w:type="pct"/>
                  <w:gridSpan w:val="2"/>
                  <w:tcBorders>
                    <w:tl2br w:val="nil"/>
                    <w:tr2bl w:val="nil"/>
                  </w:tcBorders>
                  <w:vAlign w:val="center"/>
                </w:tcPr>
                <w:p>
                  <w:pPr>
                    <w:pStyle w:val="30"/>
                    <w:snapToGrid w:val="0"/>
                    <w:jc w:val="center"/>
                    <w:rPr>
                      <w:rFonts w:hint="default" w:ascii="Times New Roman"/>
                      <w:sz w:val="21"/>
                      <w:szCs w:val="21"/>
                    </w:rPr>
                  </w:pPr>
                  <w:r>
                    <w:rPr>
                      <w:rFonts w:hint="default" w:ascii="Times New Roman"/>
                      <w:sz w:val="21"/>
                      <w:szCs w:val="21"/>
                    </w:rPr>
                    <w:t>施工期</w:t>
                  </w:r>
                </w:p>
              </w:tc>
              <w:tc>
                <w:tcPr>
                  <w:tcW w:w="1683" w:type="pct"/>
                  <w:tcBorders>
                    <w:tl2br w:val="nil"/>
                    <w:tr2bl w:val="nil"/>
                  </w:tcBorders>
                  <w:vAlign w:val="center"/>
                </w:tcPr>
                <w:p>
                  <w:pPr>
                    <w:pStyle w:val="30"/>
                    <w:snapToGrid w:val="0"/>
                    <w:jc w:val="center"/>
                    <w:rPr>
                      <w:rFonts w:hint="default" w:ascii="Times New Roman"/>
                      <w:sz w:val="21"/>
                      <w:szCs w:val="21"/>
                    </w:rPr>
                  </w:pPr>
                  <w:r>
                    <w:rPr>
                      <w:rFonts w:hint="default" w:ascii="Times New Roman"/>
                      <w:sz w:val="21"/>
                      <w:szCs w:val="21"/>
                    </w:rPr>
                    <w:t>70</w:t>
                  </w:r>
                </w:p>
              </w:tc>
              <w:tc>
                <w:tcPr>
                  <w:tcW w:w="1679" w:type="pct"/>
                  <w:tcBorders>
                    <w:tl2br w:val="nil"/>
                    <w:tr2bl w:val="nil"/>
                  </w:tcBorders>
                  <w:vAlign w:val="center"/>
                </w:tcPr>
                <w:p>
                  <w:pPr>
                    <w:pStyle w:val="30"/>
                    <w:snapToGrid w:val="0"/>
                    <w:jc w:val="center"/>
                    <w:rPr>
                      <w:rFonts w:hint="default" w:ascii="Times New Roman"/>
                      <w:sz w:val="21"/>
                      <w:szCs w:val="21"/>
                    </w:rPr>
                  </w:pPr>
                  <w:r>
                    <w:rPr>
                      <w:rFonts w:hint="default" w:ascii="Times New Roman"/>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jc w:val="center"/>
              </w:trPr>
              <w:tc>
                <w:tcPr>
                  <w:tcW w:w="575" w:type="pct"/>
                  <w:tcBorders>
                    <w:tl2br w:val="nil"/>
                    <w:tr2bl w:val="nil"/>
                  </w:tcBorders>
                  <w:vAlign w:val="center"/>
                </w:tcPr>
                <w:p>
                  <w:pPr>
                    <w:pStyle w:val="30"/>
                    <w:snapToGrid w:val="0"/>
                    <w:jc w:val="center"/>
                    <w:rPr>
                      <w:rFonts w:hint="default" w:ascii="Times New Roman"/>
                      <w:sz w:val="21"/>
                      <w:szCs w:val="21"/>
                    </w:rPr>
                  </w:pPr>
                  <w:r>
                    <w:rPr>
                      <w:rFonts w:hint="default" w:ascii="Times New Roman"/>
                      <w:sz w:val="21"/>
                      <w:szCs w:val="21"/>
                    </w:rPr>
                    <w:t>运营期</w:t>
                  </w:r>
                </w:p>
              </w:tc>
              <w:tc>
                <w:tcPr>
                  <w:tcW w:w="1060" w:type="pct"/>
                  <w:tcBorders>
                    <w:tl2br w:val="nil"/>
                    <w:tr2bl w:val="nil"/>
                  </w:tcBorders>
                  <w:vAlign w:val="center"/>
                </w:tcPr>
                <w:p>
                  <w:pPr>
                    <w:pStyle w:val="30"/>
                    <w:snapToGrid w:val="0"/>
                    <w:jc w:val="center"/>
                    <w:rPr>
                      <w:rFonts w:hint="default" w:ascii="Times New Roman"/>
                      <w:sz w:val="21"/>
                      <w:szCs w:val="21"/>
                    </w:rPr>
                  </w:pPr>
                  <w:r>
                    <w:rPr>
                      <w:rFonts w:hint="default" w:ascii="Times New Roman"/>
                      <w:sz w:val="21"/>
                      <w:szCs w:val="21"/>
                    </w:rPr>
                    <w:t>2类</w:t>
                  </w:r>
                </w:p>
              </w:tc>
              <w:tc>
                <w:tcPr>
                  <w:tcW w:w="1683" w:type="pct"/>
                  <w:tcBorders>
                    <w:tl2br w:val="nil"/>
                    <w:tr2bl w:val="nil"/>
                  </w:tcBorders>
                  <w:vAlign w:val="center"/>
                </w:tcPr>
                <w:p>
                  <w:pPr>
                    <w:pStyle w:val="30"/>
                    <w:snapToGrid w:val="0"/>
                    <w:jc w:val="center"/>
                    <w:rPr>
                      <w:rFonts w:hint="default" w:ascii="Times New Roman"/>
                      <w:sz w:val="21"/>
                      <w:szCs w:val="21"/>
                    </w:rPr>
                  </w:pPr>
                  <w:r>
                    <w:rPr>
                      <w:rFonts w:hint="default" w:ascii="Times New Roman"/>
                      <w:sz w:val="21"/>
                      <w:szCs w:val="21"/>
                    </w:rPr>
                    <w:t>60</w:t>
                  </w:r>
                </w:p>
              </w:tc>
              <w:tc>
                <w:tcPr>
                  <w:tcW w:w="1679" w:type="pct"/>
                  <w:tcBorders>
                    <w:tl2br w:val="nil"/>
                    <w:tr2bl w:val="nil"/>
                  </w:tcBorders>
                  <w:vAlign w:val="center"/>
                </w:tcPr>
                <w:p>
                  <w:pPr>
                    <w:pStyle w:val="30"/>
                    <w:snapToGrid w:val="0"/>
                    <w:jc w:val="center"/>
                    <w:rPr>
                      <w:rFonts w:hint="default" w:ascii="Times New Roman"/>
                      <w:sz w:val="21"/>
                      <w:szCs w:val="21"/>
                    </w:rPr>
                  </w:pPr>
                  <w:r>
                    <w:rPr>
                      <w:rFonts w:hint="default" w:ascii="Times New Roman"/>
                      <w:sz w:val="21"/>
                      <w:szCs w:val="21"/>
                    </w:rPr>
                    <w:t>50</w:t>
                  </w:r>
                </w:p>
              </w:tc>
            </w:tr>
          </w:tbl>
          <w:p>
            <w:pPr>
              <w:pStyle w:val="30"/>
              <w:snapToGrid w:val="0"/>
              <w:spacing w:line="360" w:lineRule="auto"/>
              <w:ind w:firstLine="480" w:firstLineChars="200"/>
              <w:rPr>
                <w:rFonts w:hint="default" w:ascii="Times New Roman"/>
              </w:rPr>
            </w:pPr>
            <w:r>
              <w:rPr>
                <w:rFonts w:ascii="Times New Roman"/>
              </w:rPr>
              <w:t>（4）</w:t>
            </w:r>
            <w:r>
              <w:rPr>
                <w:rFonts w:hint="default" w:ascii="Times New Roman"/>
              </w:rPr>
              <w:t>固体废物</w:t>
            </w:r>
          </w:p>
          <w:p>
            <w:pPr>
              <w:adjustRightInd w:val="0"/>
              <w:snapToGrid w:val="0"/>
              <w:spacing w:line="360" w:lineRule="auto"/>
              <w:ind w:firstLine="480" w:firstLineChars="200"/>
              <w:rPr>
                <w:kern w:val="0"/>
                <w:sz w:val="24"/>
              </w:rPr>
            </w:pPr>
            <w:r>
              <w:rPr>
                <w:color w:val="000000"/>
                <w:sz w:val="24"/>
                <w:lang w:bidi="ar"/>
              </w:rPr>
              <w:t>一般固体废物执行《一般工业废物储存、处置场污染控制标准》（GB18599-20</w:t>
            </w:r>
            <w:r>
              <w:rPr>
                <w:rFonts w:hint="eastAsia"/>
                <w:color w:val="000000"/>
                <w:sz w:val="24"/>
                <w:lang w:bidi="ar"/>
              </w:rPr>
              <w:t>20</w:t>
            </w:r>
            <w:r>
              <w:rPr>
                <w:color w:val="000000"/>
                <w:sz w:val="24"/>
                <w:lang w:bidi="ar"/>
              </w:rPr>
              <w:t>）</w:t>
            </w:r>
            <w:r>
              <w:rPr>
                <w:rFonts w:hint="eastAsia"/>
                <w:color w:val="000000"/>
                <w:sz w:val="24"/>
                <w:lang w:bidi="ar"/>
              </w:rPr>
              <w:t>；</w:t>
            </w:r>
            <w:r>
              <w:rPr>
                <w:color w:val="000000"/>
                <w:sz w:val="24"/>
                <w:lang w:bidi="ar"/>
              </w:rPr>
              <w:t>生活垃圾执行《生活垃圾填埋场污染控制标准》（GB16889-2008）</w:t>
            </w:r>
            <w:r>
              <w:rPr>
                <w:color w:val="000000"/>
                <w:sz w:val="24"/>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63" w:hRule="atLeast"/>
          <w:jc w:val="center"/>
        </w:trPr>
        <w:tc>
          <w:tcPr>
            <w:tcW w:w="484" w:type="pct"/>
            <w:tcBorders>
              <w:tl2br w:val="nil"/>
              <w:tr2bl w:val="nil"/>
            </w:tcBorders>
            <w:vAlign w:val="center"/>
          </w:tcPr>
          <w:p>
            <w:pPr>
              <w:adjustRightInd w:val="0"/>
              <w:snapToGrid w:val="0"/>
              <w:jc w:val="center"/>
              <w:rPr>
                <w:kern w:val="0"/>
                <w:sz w:val="24"/>
                <w:highlight w:val="yellow"/>
              </w:rPr>
            </w:pPr>
            <w:r>
              <w:rPr>
                <w:kern w:val="0"/>
                <w:sz w:val="24"/>
              </w:rPr>
              <w:t>其他</w:t>
            </w:r>
          </w:p>
        </w:tc>
        <w:tc>
          <w:tcPr>
            <w:tcW w:w="4515" w:type="pct"/>
            <w:tcBorders>
              <w:tl2br w:val="nil"/>
              <w:tr2bl w:val="nil"/>
            </w:tcBorders>
            <w:vAlign w:val="center"/>
          </w:tcPr>
          <w:p>
            <w:pPr>
              <w:adjustRightInd w:val="0"/>
              <w:snapToGrid w:val="0"/>
              <w:spacing w:line="360" w:lineRule="auto"/>
              <w:ind w:firstLine="480" w:firstLineChars="200"/>
              <w:rPr>
                <w:color w:val="000000"/>
                <w:sz w:val="24"/>
                <w:lang w:bidi="ar"/>
              </w:rPr>
            </w:pPr>
            <w:r>
              <w:rPr>
                <w:color w:val="000000"/>
                <w:sz w:val="24"/>
                <w:lang w:bidi="ar"/>
              </w:rPr>
              <w:t>项目生活污水经三格化粪池处理后回用于周边农田施肥，不外排。养殖废水经污水处理系统设施处理</w:t>
            </w:r>
            <w:r>
              <w:rPr>
                <w:rFonts w:hint="eastAsia"/>
                <w:color w:val="000000"/>
                <w:sz w:val="24"/>
                <w:lang w:bidi="ar"/>
              </w:rPr>
              <w:t>达标后</w:t>
            </w:r>
            <w:r>
              <w:rPr>
                <w:color w:val="000000"/>
                <w:sz w:val="24"/>
                <w:lang w:bidi="ar"/>
              </w:rPr>
              <w:t>外排至日东河。评价建议项目总量指标如下：</w:t>
            </w:r>
          </w:p>
          <w:p>
            <w:pPr>
              <w:adjustRightInd w:val="0"/>
              <w:snapToGrid w:val="0"/>
              <w:spacing w:line="360" w:lineRule="auto"/>
              <w:ind w:firstLine="480" w:firstLineChars="200"/>
              <w:rPr>
                <w:kern w:val="0"/>
                <w:sz w:val="24"/>
                <w:highlight w:val="yellow"/>
              </w:rPr>
            </w:pPr>
            <w:r>
              <w:rPr>
                <w:color w:val="000000"/>
                <w:sz w:val="24"/>
                <w:lang w:bidi="ar"/>
              </w:rPr>
              <w:t>废水排放量</w:t>
            </w:r>
            <w:r>
              <w:rPr>
                <w:rFonts w:hint="eastAsia"/>
                <w:color w:val="000000"/>
                <w:sz w:val="24"/>
                <w:lang w:bidi="ar"/>
              </w:rPr>
              <w:t>6998.4</w:t>
            </w:r>
            <w:r>
              <w:rPr>
                <w:color w:val="000000"/>
                <w:sz w:val="24"/>
                <w:lang w:bidi="ar"/>
              </w:rPr>
              <w:t>m</w:t>
            </w:r>
            <w:r>
              <w:rPr>
                <w:color w:val="000000"/>
                <w:sz w:val="24"/>
                <w:vertAlign w:val="superscript"/>
                <w:lang w:bidi="ar"/>
              </w:rPr>
              <w:t>3</w:t>
            </w:r>
            <w:r>
              <w:rPr>
                <w:color w:val="000000"/>
                <w:sz w:val="24"/>
                <w:lang w:bidi="ar"/>
              </w:rPr>
              <w:t>/a，COD排放量为0.058t/a。</w:t>
            </w:r>
          </w:p>
        </w:tc>
      </w:tr>
    </w:tbl>
    <w:p>
      <w:pPr>
        <w:pStyle w:val="22"/>
        <w:adjustRightInd w:val="0"/>
        <w:snapToGrid w:val="0"/>
        <w:spacing w:before="0" w:beforeAutospacing="0" w:after="0" w:afterAutospacing="0" w:line="14" w:lineRule="auto"/>
        <w:jc w:val="center"/>
        <w:rPr>
          <w:rFonts w:ascii="Times New Roman" w:hAnsi="Times New Roman"/>
          <w:snapToGrid w:val="0"/>
          <w:kern w:val="2"/>
          <w:sz w:val="36"/>
          <w:szCs w:val="36"/>
        </w:rPr>
      </w:pPr>
    </w:p>
    <w:p>
      <w:pPr>
        <w:rPr>
          <w:b/>
          <w:bCs/>
          <w:snapToGrid w:val="0"/>
          <w:sz w:val="30"/>
          <w:szCs w:val="30"/>
        </w:rPr>
      </w:pPr>
      <w:bookmarkStart w:id="12" w:name="_Toc8673"/>
      <w:r>
        <w:rPr>
          <w:b/>
          <w:bCs/>
          <w:snapToGrid w:val="0"/>
          <w:sz w:val="30"/>
          <w:szCs w:val="30"/>
        </w:rPr>
        <w:br w:type="page"/>
      </w:r>
    </w:p>
    <w:p>
      <w:pPr>
        <w:pStyle w:val="22"/>
        <w:adjustRightInd w:val="0"/>
        <w:snapToGrid w:val="0"/>
        <w:spacing w:before="0" w:beforeAutospacing="0" w:after="0" w:afterAutospacing="0"/>
        <w:jc w:val="center"/>
        <w:outlineLvl w:val="0"/>
        <w:rPr>
          <w:rFonts w:ascii="Times New Roman" w:hAnsi="Times New Roman"/>
          <w:snapToGrid w:val="0"/>
          <w:sz w:val="30"/>
          <w:szCs w:val="30"/>
        </w:rPr>
      </w:pPr>
      <w:r>
        <w:rPr>
          <w:rFonts w:ascii="Times New Roman" w:hAnsi="Times New Roman"/>
          <w:b/>
          <w:bCs/>
          <w:snapToGrid w:val="0"/>
          <w:sz w:val="30"/>
          <w:szCs w:val="30"/>
        </w:rPr>
        <w:t>四、生态环境影响分析</w:t>
      </w:r>
      <w:bookmarkEnd w:id="12"/>
    </w:p>
    <w:tbl>
      <w:tblPr>
        <w:tblStyle w:val="24"/>
        <w:tblW w:w="4999"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53"/>
        <w:gridCol w:w="812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75" w:type="pct"/>
            <w:tcBorders>
              <w:tl2br w:val="nil"/>
              <w:tr2bl w:val="nil"/>
            </w:tcBorders>
            <w:tcMar>
              <w:left w:w="28" w:type="dxa"/>
              <w:right w:w="28" w:type="dxa"/>
            </w:tcMar>
            <w:vAlign w:val="center"/>
          </w:tcPr>
          <w:p>
            <w:pPr>
              <w:pStyle w:val="22"/>
              <w:adjustRightInd w:val="0"/>
              <w:snapToGrid w:val="0"/>
              <w:spacing w:before="0" w:beforeAutospacing="0" w:after="0" w:afterAutospacing="0"/>
              <w:jc w:val="center"/>
              <w:rPr>
                <w:rFonts w:ascii="Times New Roman" w:hAnsi="Times New Roman"/>
                <w:bCs/>
                <w:kern w:val="2"/>
              </w:rPr>
            </w:pPr>
            <w:bookmarkStart w:id="13" w:name="_Hlk49796138"/>
            <w:r>
              <w:rPr>
                <w:rFonts w:ascii="Times New Roman" w:hAnsi="Times New Roman"/>
                <w:bCs/>
                <w:spacing w:val="10"/>
                <w:kern w:val="2"/>
              </w:rPr>
              <w:t>施工期生态环境影响分析</w:t>
            </w:r>
            <w:bookmarkEnd w:id="13"/>
          </w:p>
        </w:tc>
        <w:tc>
          <w:tcPr>
            <w:tcW w:w="4524" w:type="pct"/>
            <w:tcBorders>
              <w:tl2br w:val="nil"/>
              <w:tr2bl w:val="nil"/>
            </w:tcBorders>
            <w:vAlign w:val="center"/>
          </w:tcPr>
          <w:p>
            <w:pPr>
              <w:adjustRightInd w:val="0"/>
              <w:snapToGrid w:val="0"/>
              <w:spacing w:line="360" w:lineRule="auto"/>
              <w:ind w:firstLine="480" w:firstLineChars="200"/>
              <w:rPr>
                <w:color w:val="000000"/>
                <w:sz w:val="24"/>
              </w:rPr>
            </w:pPr>
            <w:r>
              <w:rPr>
                <w:color w:val="000000"/>
                <w:sz w:val="24"/>
              </w:rPr>
              <w:t>在建设期间，各项施工活动将会对周围环境产生短期不良影响，主要影响因素有扬尘、噪声、建筑垃圾和污水等，以噪声和扬尘尤为明显；但随着施工期的结束，这些影响也将消失</w:t>
            </w:r>
            <w:r>
              <w:rPr>
                <w:rFonts w:hint="eastAsia"/>
                <w:color w:val="000000"/>
                <w:sz w:val="24"/>
              </w:rPr>
              <w:t>，</w:t>
            </w:r>
            <w:r>
              <w:rPr>
                <w:color w:val="000000"/>
                <w:sz w:val="24"/>
              </w:rPr>
              <w:t>因此，施工时应该采取有效防治措施，将施工期环境影响降至最低。</w:t>
            </w:r>
          </w:p>
          <w:p>
            <w:pPr>
              <w:adjustRightInd w:val="0"/>
              <w:snapToGrid w:val="0"/>
              <w:spacing w:line="360" w:lineRule="auto"/>
              <w:ind w:firstLine="482" w:firstLineChars="200"/>
              <w:rPr>
                <w:b/>
                <w:color w:val="000000"/>
                <w:sz w:val="24"/>
              </w:rPr>
            </w:pPr>
            <w:r>
              <w:rPr>
                <w:rFonts w:hint="eastAsia"/>
                <w:b/>
                <w:color w:val="000000"/>
                <w:sz w:val="24"/>
              </w:rPr>
              <w:t>1、</w:t>
            </w:r>
            <w:r>
              <w:rPr>
                <w:b/>
                <w:color w:val="000000"/>
                <w:sz w:val="24"/>
              </w:rPr>
              <w:t>噪声</w:t>
            </w:r>
          </w:p>
          <w:p>
            <w:pPr>
              <w:adjustRightInd w:val="0"/>
              <w:snapToGrid w:val="0"/>
              <w:spacing w:line="360" w:lineRule="auto"/>
              <w:ind w:firstLine="480" w:firstLineChars="200"/>
              <w:rPr>
                <w:color w:val="000000"/>
                <w:sz w:val="24"/>
              </w:rPr>
            </w:pPr>
            <w:bookmarkStart w:id="14" w:name="_Toc163038152"/>
            <w:bookmarkStart w:id="15" w:name="_Toc165463789"/>
            <w:r>
              <w:rPr>
                <w:sz w:val="24"/>
                <w:szCs w:val="21"/>
              </w:rPr>
              <w:t>施工现场噪声主要为机械噪声和施工作业噪声。机械噪声主要由施工机械造成，如升降机、切割机等，以点声源为主；施工作业噪声主要指一些零星的敲打声、装卸车辆的撞击声，多为瞬时噪声。在这些施工噪声中，对声环境影响最大的是机械噪声。</w:t>
            </w:r>
          </w:p>
          <w:bookmarkEnd w:id="14"/>
          <w:bookmarkEnd w:id="15"/>
          <w:p>
            <w:pPr>
              <w:adjustRightInd w:val="0"/>
              <w:snapToGrid w:val="0"/>
              <w:spacing w:line="360" w:lineRule="auto"/>
              <w:ind w:firstLine="482" w:firstLineChars="200"/>
              <w:rPr>
                <w:b/>
                <w:color w:val="000000"/>
                <w:sz w:val="24"/>
              </w:rPr>
            </w:pPr>
            <w:r>
              <w:rPr>
                <w:rFonts w:hint="eastAsia"/>
                <w:b/>
                <w:color w:val="000000"/>
                <w:sz w:val="24"/>
              </w:rPr>
              <w:t>2、废气</w:t>
            </w:r>
          </w:p>
          <w:p>
            <w:pPr>
              <w:adjustRightInd w:val="0"/>
              <w:snapToGrid w:val="0"/>
              <w:spacing w:line="360" w:lineRule="auto"/>
              <w:ind w:firstLine="480" w:firstLineChars="200"/>
              <w:rPr>
                <w:sz w:val="24"/>
              </w:rPr>
            </w:pPr>
            <w:r>
              <w:rPr>
                <w:sz w:val="24"/>
              </w:rPr>
              <w:t>施工期的废气主要是扬尘</w:t>
            </w:r>
            <w:r>
              <w:rPr>
                <w:rFonts w:hint="eastAsia"/>
                <w:sz w:val="24"/>
              </w:rPr>
              <w:t>和</w:t>
            </w:r>
            <w:r>
              <w:rPr>
                <w:sz w:val="24"/>
              </w:rPr>
              <w:t>汽车尾气。</w:t>
            </w:r>
            <w:r>
              <w:rPr>
                <w:rFonts w:hint="eastAsia"/>
                <w:sz w:val="24"/>
              </w:rPr>
              <w:t>项目施工期植被清理、蛙池围筑、废水处理区</w:t>
            </w:r>
            <w:r>
              <w:rPr>
                <w:sz w:val="24"/>
              </w:rPr>
              <w:t>土石方填挖</w:t>
            </w:r>
            <w:r>
              <w:rPr>
                <w:rFonts w:hint="eastAsia"/>
                <w:sz w:val="24"/>
              </w:rPr>
              <w:t>作业，辅助用房</w:t>
            </w:r>
            <w:r>
              <w:rPr>
                <w:sz w:val="24"/>
              </w:rPr>
              <w:t>材料的运输</w:t>
            </w:r>
            <w:r>
              <w:rPr>
                <w:rFonts w:hint="eastAsia"/>
                <w:sz w:val="24"/>
              </w:rPr>
              <w:t>、搭建；机耕道的修建</w:t>
            </w:r>
            <w:r>
              <w:rPr>
                <w:sz w:val="24"/>
              </w:rPr>
              <w:t>等作业</w:t>
            </w:r>
            <w:r>
              <w:rPr>
                <w:rFonts w:hint="eastAsia"/>
                <w:sz w:val="24"/>
              </w:rPr>
              <w:t>均有一定的扬尘产生</w:t>
            </w:r>
            <w:r>
              <w:rPr>
                <w:sz w:val="24"/>
              </w:rPr>
              <w:t>。</w:t>
            </w:r>
          </w:p>
          <w:p>
            <w:pPr>
              <w:adjustRightInd w:val="0"/>
              <w:snapToGrid w:val="0"/>
              <w:spacing w:line="360" w:lineRule="auto"/>
              <w:ind w:firstLine="480" w:firstLineChars="200"/>
              <w:rPr>
                <w:sz w:val="24"/>
              </w:rPr>
            </w:pPr>
            <w:r>
              <w:rPr>
                <w:rFonts w:hint="eastAsia"/>
                <w:sz w:val="24"/>
              </w:rPr>
              <w:t>①</w:t>
            </w:r>
            <w:r>
              <w:rPr>
                <w:sz w:val="24"/>
              </w:rPr>
              <w:t>土石方</w:t>
            </w:r>
            <w:r>
              <w:rPr>
                <w:rFonts w:hint="eastAsia"/>
                <w:sz w:val="24"/>
              </w:rPr>
              <w:t>开</w:t>
            </w:r>
            <w:r>
              <w:rPr>
                <w:sz w:val="24"/>
              </w:rPr>
              <w:t>挖扬尘</w:t>
            </w:r>
          </w:p>
          <w:p>
            <w:pPr>
              <w:adjustRightInd w:val="0"/>
              <w:snapToGrid w:val="0"/>
              <w:spacing w:line="360" w:lineRule="auto"/>
              <w:ind w:firstLine="480" w:firstLineChars="200"/>
              <w:rPr>
                <w:sz w:val="24"/>
              </w:rPr>
            </w:pPr>
            <w:r>
              <w:rPr>
                <w:rFonts w:hint="eastAsia"/>
                <w:sz w:val="24"/>
              </w:rPr>
              <w:t>废水处理区利用地势低洼处水塘进行建设，由于泥土含水率较高，废水处理区开完产生的扬尘极少。地表植被清理、蛙池围筑田埂过程中</w:t>
            </w:r>
            <w:r>
              <w:rPr>
                <w:sz w:val="24"/>
              </w:rPr>
              <w:t>挖掘破坏了地表的原有结构，会造成地面扬尘污染环境，但扬尘量的大小与施工现场条件、管理水平、机械化程度及施工季节、土质及天气条件等诸多因素有关。</w:t>
            </w:r>
            <w:r>
              <w:rPr>
                <w:rFonts w:hint="eastAsia"/>
                <w:sz w:val="24"/>
              </w:rPr>
              <w:t>在避开大风天气施工并采取洒水降尘等措施可有效减少开完扬尘。</w:t>
            </w:r>
          </w:p>
          <w:p>
            <w:pPr>
              <w:adjustRightInd w:val="0"/>
              <w:snapToGrid w:val="0"/>
              <w:spacing w:line="360" w:lineRule="auto"/>
              <w:ind w:firstLine="480" w:firstLineChars="200"/>
              <w:rPr>
                <w:sz w:val="24"/>
              </w:rPr>
            </w:pPr>
            <w:r>
              <w:rPr>
                <w:rFonts w:hint="eastAsia"/>
                <w:sz w:val="24"/>
              </w:rPr>
              <w:t>②</w:t>
            </w:r>
            <w:r>
              <w:rPr>
                <w:sz w:val="24"/>
              </w:rPr>
              <w:t>材料的运输</w:t>
            </w:r>
          </w:p>
          <w:p>
            <w:pPr>
              <w:adjustRightInd w:val="0"/>
              <w:snapToGrid w:val="0"/>
              <w:spacing w:line="360" w:lineRule="auto"/>
              <w:ind w:firstLine="480" w:firstLineChars="200"/>
              <w:rPr>
                <w:sz w:val="24"/>
              </w:rPr>
            </w:pPr>
            <w:r>
              <w:rPr>
                <w:sz w:val="24"/>
              </w:rPr>
              <w:t>在施工中，材料的运输也将给沿线环境空气造成尘污染。根据京津塘高速公路施工期车辆扬尘监测结果，施工期车辆运输扬尘在施工沿线地区所造成的污染较重，且影响范围较大，其影响范围可达下风向150m</w:t>
            </w:r>
            <w:r>
              <w:rPr>
                <w:rFonts w:hint="eastAsia"/>
                <w:sz w:val="24"/>
              </w:rPr>
              <w:t>，</w:t>
            </w:r>
            <w:r>
              <w:rPr>
                <w:sz w:val="24"/>
              </w:rPr>
              <w:t>能超过环境空气质量二级标准的4倍之多。因此，应加强运输车辆管理，可采用加盖蓬布或将物料洒水等防护措施，并加强施工计划、管理手段。</w:t>
            </w:r>
          </w:p>
          <w:p>
            <w:pPr>
              <w:adjustRightInd w:val="0"/>
              <w:snapToGrid w:val="0"/>
              <w:spacing w:line="360" w:lineRule="auto"/>
              <w:ind w:firstLine="480" w:firstLineChars="200"/>
              <w:rPr>
                <w:sz w:val="24"/>
              </w:rPr>
            </w:pPr>
            <w:r>
              <w:rPr>
                <w:rFonts w:hint="eastAsia"/>
                <w:sz w:val="24"/>
              </w:rPr>
              <w:t>③机耕道的修建</w:t>
            </w:r>
          </w:p>
          <w:p>
            <w:pPr>
              <w:adjustRightInd w:val="0"/>
              <w:snapToGrid w:val="0"/>
              <w:spacing w:line="360" w:lineRule="auto"/>
              <w:ind w:firstLine="480" w:firstLineChars="200"/>
              <w:rPr>
                <w:sz w:val="24"/>
              </w:rPr>
            </w:pPr>
            <w:r>
              <w:rPr>
                <w:rFonts w:hint="eastAsia"/>
                <w:sz w:val="24"/>
              </w:rPr>
              <w:t>机耕道的</w:t>
            </w:r>
            <w:r>
              <w:rPr>
                <w:sz w:val="24"/>
              </w:rPr>
              <w:t>施工中，多会利用已有的乡村道路，以上施工道路一般是</w:t>
            </w:r>
            <w:r>
              <w:rPr>
                <w:rFonts w:hint="eastAsia"/>
                <w:sz w:val="24"/>
              </w:rPr>
              <w:t>泥</w:t>
            </w:r>
            <w:r>
              <w:rPr>
                <w:sz w:val="24"/>
              </w:rPr>
              <w:t>路面，施工车辆将会产生运输扬尘。据有关资料介绍，扬尘属于粒径较小的降尘（0~20μm），在未铺装道路表面（泥土），粒径分布小于5μm的粉尘占8%，5~10μm的占24%，大于30μm的占68%。因此，未铺装道路和正在施工的道路极易起尘。为减少起尘量，有效地降低其对居民正常生活的不利影响，建议在人口稠密集中区域，采取经常洒水降尘措施。通过洒水可有效地减少起尘量，降低施工便道扬尘对环境空气质量的影响。</w:t>
            </w:r>
            <w:r>
              <w:rPr>
                <w:rFonts w:hint="eastAsia"/>
                <w:sz w:val="24"/>
              </w:rPr>
              <w:t>施工期内对车辆行驶的路面实施洒水抑尘，每天洒水4~5次，可使扬尘减少70%左右，可有效地控制施工扬尘，并可将TSP污染距离缩小到20~50m范围。临用地南侧居民点处设置施工围挡。</w:t>
            </w:r>
          </w:p>
          <w:p>
            <w:pPr>
              <w:adjustRightInd w:val="0"/>
              <w:snapToGrid w:val="0"/>
              <w:spacing w:line="360" w:lineRule="auto"/>
              <w:ind w:firstLine="480" w:firstLineChars="200"/>
              <w:rPr>
                <w:sz w:val="24"/>
              </w:rPr>
            </w:pPr>
            <w:r>
              <w:rPr>
                <w:rFonts w:hint="eastAsia"/>
                <w:sz w:val="24"/>
              </w:rPr>
              <w:t>④</w:t>
            </w:r>
            <w:r>
              <w:rPr>
                <w:sz w:val="24"/>
              </w:rPr>
              <w:t>运输汽车尾气和施工机械设备尾气在采取限速、限载、加强汽车和施工机械设备维护保养等措施后，也可大大降低这部分废气对当地大气环境的不利影响。</w:t>
            </w:r>
          </w:p>
          <w:p>
            <w:pPr>
              <w:adjustRightInd w:val="0"/>
              <w:snapToGrid w:val="0"/>
              <w:spacing w:line="360" w:lineRule="auto"/>
              <w:ind w:firstLine="482" w:firstLineChars="200"/>
              <w:rPr>
                <w:b/>
                <w:color w:val="000000"/>
                <w:sz w:val="24"/>
              </w:rPr>
            </w:pPr>
            <w:r>
              <w:rPr>
                <w:rFonts w:hint="eastAsia"/>
                <w:b/>
                <w:color w:val="000000"/>
                <w:sz w:val="24"/>
              </w:rPr>
              <w:t>3、</w:t>
            </w:r>
            <w:r>
              <w:rPr>
                <w:b/>
                <w:color w:val="000000"/>
                <w:sz w:val="24"/>
              </w:rPr>
              <w:t>废水</w:t>
            </w:r>
          </w:p>
          <w:p>
            <w:pPr>
              <w:adjustRightInd w:val="0"/>
              <w:snapToGrid w:val="0"/>
              <w:spacing w:line="360" w:lineRule="auto"/>
              <w:ind w:firstLine="480" w:firstLineChars="200"/>
              <w:jc w:val="left"/>
              <w:rPr>
                <w:sz w:val="24"/>
              </w:rPr>
            </w:pPr>
            <w:r>
              <w:rPr>
                <w:sz w:val="24"/>
              </w:rPr>
              <w:t>施工期的主要废水有施工生产废水和施工人员的生活污水。</w:t>
            </w:r>
          </w:p>
          <w:p>
            <w:pPr>
              <w:adjustRightInd w:val="0"/>
              <w:snapToGrid w:val="0"/>
              <w:spacing w:line="360" w:lineRule="auto"/>
              <w:ind w:firstLine="480" w:firstLineChars="200"/>
              <w:jc w:val="left"/>
              <w:rPr>
                <w:sz w:val="24"/>
              </w:rPr>
            </w:pPr>
            <w:r>
              <w:rPr>
                <w:sz w:val="24"/>
              </w:rPr>
              <w:t>施工生产废水主要产生于混凝土养护及墙面的冲洗、构件与建筑材料的保湿、材料的拌制等施工工序，废水主要污染物为泥沙、悬浮物等。施工作业使用的燃油动力机械在维护和冲洗时，将产生含少量悬浮物和石油类等污染物的废水。此外，多雨季节的持续和高强度降雨会冲刷浮土、建筑砂石、垃圾、弃土等，产生明显的地表径流，其中会夹带大量渣土和泥沙，并携带水泥、油类等各种污染物。</w:t>
            </w:r>
            <w:r>
              <w:rPr>
                <w:rFonts w:hint="eastAsia"/>
                <w:sz w:val="24"/>
              </w:rPr>
              <w:t>施工期拟建设沉淀池，施工生产废水经沉淀后回用于场地洒水降尘。</w:t>
            </w:r>
          </w:p>
          <w:p>
            <w:pPr>
              <w:adjustRightInd w:val="0"/>
              <w:snapToGrid w:val="0"/>
              <w:spacing w:line="360" w:lineRule="auto"/>
              <w:ind w:firstLine="480" w:firstLineChars="200"/>
              <w:rPr>
                <w:sz w:val="24"/>
              </w:rPr>
            </w:pPr>
            <w:r>
              <w:rPr>
                <w:sz w:val="24"/>
              </w:rPr>
              <w:t>本项目施工人员生活污水中主要污染物为化学需氧量和氨氮。项目施工期间施工人数最高峰为20人，施工人员绝大多数为当地民工，不安排集住宿。施工期间</w:t>
            </w:r>
            <w:r>
              <w:rPr>
                <w:rFonts w:hint="eastAsia"/>
                <w:sz w:val="24"/>
              </w:rPr>
              <w:t>施工人员</w:t>
            </w:r>
            <w:r>
              <w:rPr>
                <w:sz w:val="24"/>
              </w:rPr>
              <w:t>平均用水量按</w:t>
            </w:r>
            <w:r>
              <w:rPr>
                <w:rFonts w:hint="eastAsia"/>
                <w:sz w:val="24"/>
              </w:rPr>
              <w:t>38</w:t>
            </w:r>
            <w:r>
              <w:rPr>
                <w:sz w:val="24"/>
              </w:rPr>
              <w:t>L/（人·日）计，其中80%为污水排放量，则本项目施工期间施工人员排放的污水量为0.608m</w:t>
            </w:r>
            <w:r>
              <w:rPr>
                <w:sz w:val="24"/>
                <w:vertAlign w:val="superscript"/>
              </w:rPr>
              <w:t>3</w:t>
            </w:r>
            <w:r>
              <w:rPr>
                <w:sz w:val="24"/>
              </w:rPr>
              <w:t>/d。</w:t>
            </w:r>
            <w:r>
              <w:rPr>
                <w:rFonts w:hint="eastAsia"/>
                <w:sz w:val="24"/>
              </w:rPr>
              <w:t>施工人员废水通过化粪池处理后用作农肥，不外排。</w:t>
            </w:r>
          </w:p>
          <w:p>
            <w:pPr>
              <w:adjustRightInd w:val="0"/>
              <w:spacing w:line="360" w:lineRule="auto"/>
              <w:ind w:firstLine="482" w:firstLineChars="200"/>
              <w:rPr>
                <w:b/>
                <w:color w:val="000000"/>
                <w:sz w:val="24"/>
              </w:rPr>
            </w:pPr>
            <w:r>
              <w:rPr>
                <w:rFonts w:hint="eastAsia"/>
                <w:b/>
                <w:color w:val="000000"/>
                <w:sz w:val="24"/>
              </w:rPr>
              <w:t>4、</w:t>
            </w:r>
            <w:r>
              <w:rPr>
                <w:b/>
                <w:color w:val="000000"/>
                <w:sz w:val="24"/>
              </w:rPr>
              <w:t>固体废物</w:t>
            </w:r>
          </w:p>
          <w:p>
            <w:pPr>
              <w:adjustRightInd w:val="0"/>
              <w:spacing w:line="360" w:lineRule="auto"/>
              <w:ind w:firstLine="480" w:firstLineChars="200"/>
              <w:rPr>
                <w:sz w:val="24"/>
              </w:rPr>
            </w:pPr>
            <w:r>
              <w:rPr>
                <w:sz w:val="24"/>
              </w:rPr>
              <w:t>项目施工期产生的固体废物主要为建筑垃圾和生活垃圾。</w:t>
            </w:r>
          </w:p>
          <w:p>
            <w:pPr>
              <w:numPr>
                <w:ilvl w:val="0"/>
                <w:numId w:val="4"/>
              </w:numPr>
              <w:autoSpaceDE w:val="0"/>
              <w:autoSpaceDN w:val="0"/>
              <w:adjustRightInd w:val="0"/>
              <w:spacing w:line="360" w:lineRule="auto"/>
              <w:ind w:firstLine="480" w:firstLineChars="200"/>
              <w:rPr>
                <w:sz w:val="24"/>
              </w:rPr>
            </w:pPr>
            <w:r>
              <w:rPr>
                <w:sz w:val="24"/>
              </w:rPr>
              <w:t>建筑垃圾</w:t>
            </w:r>
          </w:p>
          <w:p>
            <w:pPr>
              <w:autoSpaceDE w:val="0"/>
              <w:autoSpaceDN w:val="0"/>
              <w:adjustRightInd w:val="0"/>
              <w:spacing w:line="360" w:lineRule="auto"/>
              <w:ind w:firstLine="480" w:firstLineChars="200"/>
              <w:rPr>
                <w:sz w:val="24"/>
              </w:rPr>
            </w:pPr>
            <w:r>
              <w:rPr>
                <w:sz w:val="24"/>
              </w:rPr>
              <w:t>主要包括砂石、废钢材等杂物。施工产生建筑垃圾均属于一般固废，对于这些废物，应集中处理，分类收集并尽可能的回收再利用，不能回收的统一收集后，及时清运到城建部门指定的建筑垃圾堆放点堆放。</w:t>
            </w:r>
          </w:p>
          <w:p>
            <w:pPr>
              <w:adjustRightInd w:val="0"/>
              <w:spacing w:line="360" w:lineRule="auto"/>
              <w:ind w:firstLine="480" w:firstLineChars="200"/>
              <w:rPr>
                <w:sz w:val="24"/>
              </w:rPr>
            </w:pPr>
            <w:r>
              <w:rPr>
                <w:sz w:val="24"/>
              </w:rPr>
              <w:t>（2）生活垃圾</w:t>
            </w:r>
          </w:p>
          <w:p>
            <w:pPr>
              <w:adjustRightInd w:val="0"/>
              <w:spacing w:line="360" w:lineRule="auto"/>
              <w:ind w:firstLine="480" w:firstLineChars="200"/>
              <w:rPr>
                <w:color w:val="000000"/>
                <w:sz w:val="24"/>
              </w:rPr>
            </w:pPr>
            <w:r>
              <w:rPr>
                <w:sz w:val="24"/>
              </w:rPr>
              <w:t>生活垃圾主要组成为剩饭菜、饭盒等食品或饮料包装，项目施工人员初步估算约20人</w:t>
            </w:r>
            <w:r>
              <w:rPr>
                <w:rFonts w:eastAsia="Calibri"/>
                <w:sz w:val="24"/>
              </w:rPr>
              <w:t>/</w:t>
            </w:r>
            <w:r>
              <w:rPr>
                <w:sz w:val="24"/>
              </w:rPr>
              <w:t>日，施工人员产生的生活垃圾按每人每天</w:t>
            </w:r>
            <w:r>
              <w:rPr>
                <w:rFonts w:eastAsia="Calibri"/>
                <w:sz w:val="24"/>
              </w:rPr>
              <w:t>0.5kg</w:t>
            </w:r>
            <w:r>
              <w:rPr>
                <w:sz w:val="24"/>
              </w:rPr>
              <w:t>，施工期以</w:t>
            </w:r>
            <w:r>
              <w:rPr>
                <w:rFonts w:hint="eastAsia"/>
                <w:sz w:val="24"/>
              </w:rPr>
              <w:t>1</w:t>
            </w:r>
            <w:r>
              <w:rPr>
                <w:sz w:val="24"/>
              </w:rPr>
              <w:t>个月算，施工期间施工人员产生的生活垃圾总量为</w:t>
            </w:r>
            <w:r>
              <w:rPr>
                <w:rFonts w:hint="eastAsia"/>
                <w:sz w:val="24"/>
              </w:rPr>
              <w:t>0.3</w:t>
            </w:r>
            <w:r>
              <w:rPr>
                <w:rFonts w:eastAsia="Calibri"/>
                <w:sz w:val="24"/>
              </w:rPr>
              <w:t>t/</w:t>
            </w:r>
            <w:r>
              <w:rPr>
                <w:sz w:val="24"/>
              </w:rPr>
              <w:t>施工期。由于生活垃圾有机物含量较高，若不对其采取有效的处理措施，任其在施工现场随意堆放，则可能造成这些废物的腐烂，滋生蚊、蝇、鼠、虫等，散发臭气，影响环境卫生。生活垃圾设置临时垃圾收集桶，收集的生活垃圾交环卫部门处置。</w:t>
            </w:r>
          </w:p>
          <w:p>
            <w:pPr>
              <w:adjustRightInd w:val="0"/>
              <w:snapToGrid w:val="0"/>
              <w:spacing w:line="360" w:lineRule="auto"/>
              <w:ind w:firstLine="482" w:firstLineChars="200"/>
              <w:rPr>
                <w:b/>
                <w:color w:val="000000"/>
                <w:sz w:val="24"/>
              </w:rPr>
            </w:pPr>
            <w:bookmarkStart w:id="16" w:name="_Toc5536059"/>
            <w:r>
              <w:rPr>
                <w:rFonts w:hint="eastAsia"/>
                <w:b/>
                <w:color w:val="000000"/>
                <w:sz w:val="24"/>
              </w:rPr>
              <w:t>5、</w:t>
            </w:r>
            <w:r>
              <w:rPr>
                <w:b/>
                <w:color w:val="000000"/>
                <w:sz w:val="24"/>
              </w:rPr>
              <w:t>水土流失</w:t>
            </w:r>
            <w:bookmarkEnd w:id="16"/>
          </w:p>
          <w:p>
            <w:pPr>
              <w:adjustRightInd w:val="0"/>
              <w:snapToGrid w:val="0"/>
              <w:spacing w:line="360" w:lineRule="auto"/>
              <w:ind w:firstLine="480" w:firstLineChars="200"/>
              <w:rPr>
                <w:color w:val="000000"/>
                <w:sz w:val="24"/>
              </w:rPr>
            </w:pPr>
            <w:r>
              <w:rPr>
                <w:rFonts w:hint="eastAsia"/>
                <w:color w:val="000000"/>
                <w:sz w:val="24"/>
              </w:rPr>
              <w:t>（1）水土流失量</w:t>
            </w:r>
          </w:p>
          <w:p>
            <w:pPr>
              <w:adjustRightInd w:val="0"/>
              <w:snapToGrid w:val="0"/>
              <w:spacing w:line="360" w:lineRule="auto"/>
              <w:ind w:firstLine="480" w:firstLineChars="200"/>
              <w:rPr>
                <w:color w:val="000000"/>
                <w:sz w:val="24"/>
              </w:rPr>
            </w:pPr>
            <w:r>
              <w:rPr>
                <w:color w:val="000000"/>
                <w:sz w:val="24"/>
              </w:rPr>
              <w:t>项目建设过程中，将造成部分土地裸露，导致不同程度的水土流失现象，尤其是在雨季或暴雨天气会变得更为突出。</w:t>
            </w:r>
          </w:p>
          <w:p>
            <w:pPr>
              <w:adjustRightInd w:val="0"/>
              <w:snapToGrid w:val="0"/>
              <w:spacing w:line="360" w:lineRule="auto"/>
              <w:ind w:firstLine="480" w:firstLineChars="200"/>
              <w:rPr>
                <w:color w:val="000000"/>
                <w:sz w:val="24"/>
              </w:rPr>
            </w:pPr>
            <w:r>
              <w:rPr>
                <w:color w:val="000000"/>
                <w:sz w:val="24"/>
              </w:rPr>
              <w:t>对施工区的水土流失量采用专家估算法进行预测，经估算确定施</w:t>
            </w:r>
            <w:r>
              <w:rPr>
                <w:color w:val="000000"/>
                <w:kern w:val="0"/>
                <w:sz w:val="24"/>
                <w:lang w:val="zh-CN"/>
              </w:rPr>
              <w:t>工期各施工单元土壤侵蚀模数4000~7500t/km</w:t>
            </w:r>
            <w:r>
              <w:rPr>
                <w:color w:val="000000"/>
                <w:kern w:val="0"/>
                <w:sz w:val="24"/>
                <w:vertAlign w:val="superscript"/>
                <w:lang w:val="zh-CN"/>
              </w:rPr>
              <w:t>2</w:t>
            </w:r>
            <w:r>
              <w:rPr>
                <w:color w:val="000000"/>
                <w:kern w:val="0"/>
                <w:sz w:val="24"/>
                <w:lang w:val="zh-CN"/>
              </w:rPr>
              <w:t>.a，</w:t>
            </w:r>
            <w:r>
              <w:rPr>
                <w:color w:val="000000"/>
                <w:sz w:val="24"/>
              </w:rPr>
              <w:t>根据《土壤侵蚀分类分级标准》（SL190-2007），本项目所在区域属于南方红壤丘陵区，该区域容许土壤流失量为500t/（km</w:t>
            </w:r>
            <w:r>
              <w:rPr>
                <w:color w:val="000000"/>
                <w:sz w:val="24"/>
                <w:vertAlign w:val="superscript"/>
              </w:rPr>
              <w:t>2</w:t>
            </w:r>
            <w:r>
              <w:rPr>
                <w:color w:val="000000"/>
                <w:sz w:val="24"/>
              </w:rPr>
              <w:t>.a）</w:t>
            </w:r>
            <w:r>
              <w:rPr>
                <w:color w:val="000000"/>
                <w:kern w:val="0"/>
                <w:sz w:val="24"/>
                <w:lang w:val="zh-CN"/>
              </w:rPr>
              <w:t>。结合本项目的实际情况，确定施工期土壤侵蚀模数的取值为3000</w:t>
            </w:r>
            <w:r>
              <w:rPr>
                <w:color w:val="000000"/>
                <w:sz w:val="24"/>
              </w:rPr>
              <w:t>t/km</w:t>
            </w:r>
            <w:r>
              <w:rPr>
                <w:color w:val="000000"/>
                <w:sz w:val="24"/>
                <w:vertAlign w:val="superscript"/>
              </w:rPr>
              <w:t>2</w:t>
            </w:r>
            <w:r>
              <w:rPr>
                <w:color w:val="000000"/>
                <w:sz w:val="24"/>
              </w:rPr>
              <w:t>·a。</w:t>
            </w:r>
            <w:r>
              <w:rPr>
                <w:rFonts w:hAnsi="宋体"/>
                <w:color w:val="000000"/>
                <w:sz w:val="24"/>
              </w:rPr>
              <w:t>工程建设开挖扰动可能</w:t>
            </w:r>
            <w:r>
              <w:rPr>
                <w:rFonts w:hAnsi="宋体"/>
                <w:color w:val="000000"/>
                <w:spacing w:val="10"/>
                <w:sz w:val="24"/>
              </w:rPr>
              <w:t>产生的水土流失区域为整个施工现场等，</w:t>
            </w:r>
            <w:r>
              <w:rPr>
                <w:rFonts w:hAnsi="宋体"/>
                <w:color w:val="000000"/>
                <w:sz w:val="24"/>
              </w:rPr>
              <w:t>造成的水土流失面积共计</w:t>
            </w:r>
            <w:r>
              <w:rPr>
                <w:color w:val="000000"/>
                <w:sz w:val="24"/>
              </w:rPr>
              <w:t>0.0011km</w:t>
            </w:r>
            <w:r>
              <w:rPr>
                <w:color w:val="000000"/>
                <w:sz w:val="24"/>
                <w:vertAlign w:val="superscript"/>
              </w:rPr>
              <w:t>2</w:t>
            </w:r>
            <w:r>
              <w:rPr>
                <w:rFonts w:hAnsi="宋体"/>
                <w:color w:val="000000"/>
                <w:sz w:val="24"/>
              </w:rPr>
              <w:t>。本环评采用侵蚀模数法对施工期水土流失量进行预测，预测计算公式如下：</w:t>
            </w:r>
          </w:p>
          <w:p>
            <w:pPr>
              <w:adjustRightInd w:val="0"/>
              <w:snapToGrid w:val="0"/>
              <w:spacing w:line="360" w:lineRule="auto"/>
              <w:ind w:firstLine="480" w:firstLineChars="200"/>
              <w:jc w:val="center"/>
              <w:rPr>
                <w:color w:val="000000"/>
                <w:sz w:val="24"/>
                <w:lang w:val="de-DE"/>
              </w:rPr>
            </w:pPr>
            <w:r>
              <w:rPr>
                <w:color w:val="000000"/>
                <w:sz w:val="24"/>
                <w:lang w:val="de-DE"/>
              </w:rPr>
              <w:t>W=</w:t>
            </w:r>
            <w:r>
              <w:rPr>
                <w:color w:val="000000"/>
                <w:sz w:val="24"/>
              </w:rPr>
              <w:t>Σ</w:t>
            </w:r>
            <w:r>
              <w:rPr>
                <w:rFonts w:hAnsi="宋体"/>
                <w:color w:val="000000"/>
                <w:sz w:val="24"/>
                <w:lang w:val="de-DE"/>
              </w:rPr>
              <w:t>（</w:t>
            </w:r>
            <w:r>
              <w:rPr>
                <w:color w:val="000000"/>
                <w:sz w:val="24"/>
                <w:lang w:val="de-DE"/>
              </w:rPr>
              <w:t>F</w:t>
            </w:r>
            <w:r>
              <w:rPr>
                <w:color w:val="000000"/>
                <w:sz w:val="24"/>
                <w:vertAlign w:val="subscript"/>
                <w:lang w:val="de-DE"/>
              </w:rPr>
              <w:t>i</w:t>
            </w:r>
            <w:r>
              <w:rPr>
                <w:color w:val="000000"/>
                <w:sz w:val="24"/>
                <w:lang w:val="de-DE"/>
              </w:rPr>
              <w:t>×M</w:t>
            </w:r>
            <w:r>
              <w:rPr>
                <w:color w:val="000000"/>
                <w:sz w:val="24"/>
                <w:vertAlign w:val="subscript"/>
                <w:lang w:val="de-DE"/>
              </w:rPr>
              <w:t>i</w:t>
            </w:r>
            <w:r>
              <w:rPr>
                <w:color w:val="000000"/>
                <w:sz w:val="24"/>
                <w:lang w:val="de-DE"/>
              </w:rPr>
              <w:t>×T</w:t>
            </w:r>
            <w:r>
              <w:rPr>
                <w:color w:val="000000"/>
                <w:sz w:val="24"/>
                <w:vertAlign w:val="subscript"/>
                <w:lang w:val="de-DE"/>
              </w:rPr>
              <w:t>i</w:t>
            </w:r>
            <w:r>
              <w:rPr>
                <w:rFonts w:hAnsi="宋体"/>
                <w:color w:val="000000"/>
                <w:sz w:val="24"/>
                <w:lang w:val="de-DE"/>
              </w:rPr>
              <w:t>）</w:t>
            </w:r>
          </w:p>
          <w:p>
            <w:pPr>
              <w:adjustRightInd w:val="0"/>
              <w:snapToGrid w:val="0"/>
              <w:spacing w:line="360" w:lineRule="auto"/>
              <w:ind w:firstLine="480" w:firstLineChars="200"/>
              <w:rPr>
                <w:color w:val="000000"/>
                <w:sz w:val="24"/>
                <w:lang w:val="de-DE"/>
              </w:rPr>
            </w:pPr>
            <w:r>
              <w:rPr>
                <w:rFonts w:hAnsi="宋体"/>
                <w:color w:val="000000"/>
                <w:sz w:val="24"/>
              </w:rPr>
              <w:t>式中</w:t>
            </w:r>
            <w:r>
              <w:rPr>
                <w:rFonts w:hAnsi="宋体"/>
                <w:color w:val="000000"/>
                <w:sz w:val="24"/>
                <w:lang w:val="de-DE"/>
              </w:rPr>
              <w:t>：</w:t>
            </w:r>
            <w:r>
              <w:rPr>
                <w:color w:val="000000"/>
                <w:sz w:val="24"/>
                <w:lang w:val="de-DE"/>
              </w:rPr>
              <w:t>W—</w:t>
            </w:r>
            <w:r>
              <w:rPr>
                <w:rFonts w:hAnsi="宋体"/>
                <w:color w:val="000000"/>
                <w:sz w:val="24"/>
              </w:rPr>
              <w:t>扰动地表流失量</w:t>
            </w:r>
            <w:r>
              <w:rPr>
                <w:rFonts w:hAnsi="宋体"/>
                <w:color w:val="000000"/>
                <w:sz w:val="24"/>
                <w:lang w:val="de-DE"/>
              </w:rPr>
              <w:t>，</w:t>
            </w:r>
            <w:r>
              <w:rPr>
                <w:color w:val="000000"/>
                <w:sz w:val="24"/>
                <w:lang w:val="de-DE"/>
              </w:rPr>
              <w:t>t</w:t>
            </w:r>
          </w:p>
          <w:p>
            <w:pPr>
              <w:adjustRightInd w:val="0"/>
              <w:snapToGrid w:val="0"/>
              <w:spacing w:line="360" w:lineRule="auto"/>
              <w:ind w:firstLine="720" w:firstLineChars="300"/>
              <w:rPr>
                <w:color w:val="000000"/>
                <w:sz w:val="24"/>
                <w:lang w:val="de-DE"/>
              </w:rPr>
            </w:pPr>
            <w:r>
              <w:rPr>
                <w:color w:val="000000"/>
                <w:sz w:val="24"/>
                <w:lang w:val="de-DE"/>
              </w:rPr>
              <w:t>F</w:t>
            </w:r>
            <w:r>
              <w:rPr>
                <w:color w:val="000000"/>
                <w:sz w:val="24"/>
                <w:vertAlign w:val="subscript"/>
                <w:lang w:val="de-DE"/>
              </w:rPr>
              <w:t>i</w:t>
            </w:r>
            <w:r>
              <w:rPr>
                <w:color w:val="000000"/>
                <w:sz w:val="24"/>
                <w:lang w:val="de-DE"/>
              </w:rPr>
              <w:t>—</w:t>
            </w:r>
            <w:r>
              <w:rPr>
                <w:rFonts w:hAnsi="宋体"/>
                <w:color w:val="000000"/>
                <w:sz w:val="24"/>
              </w:rPr>
              <w:t>扰动地表面积</w:t>
            </w:r>
            <w:r>
              <w:rPr>
                <w:rFonts w:hAnsi="宋体"/>
                <w:color w:val="000000"/>
                <w:sz w:val="24"/>
                <w:lang w:val="de-DE"/>
              </w:rPr>
              <w:t>，</w:t>
            </w:r>
            <w:r>
              <w:rPr>
                <w:rFonts w:hint="eastAsia"/>
                <w:color w:val="000000"/>
                <w:sz w:val="24"/>
                <w:lang w:val="de-DE"/>
              </w:rPr>
              <w:t>0.0011</w:t>
            </w:r>
            <w:r>
              <w:rPr>
                <w:color w:val="000000"/>
                <w:sz w:val="24"/>
                <w:lang w:val="de-DE"/>
              </w:rPr>
              <w:t>km</w:t>
            </w:r>
            <w:r>
              <w:rPr>
                <w:color w:val="000000"/>
                <w:sz w:val="24"/>
                <w:vertAlign w:val="superscript"/>
                <w:lang w:val="de-DE"/>
              </w:rPr>
              <w:t>2</w:t>
            </w:r>
          </w:p>
          <w:p>
            <w:pPr>
              <w:adjustRightInd w:val="0"/>
              <w:snapToGrid w:val="0"/>
              <w:spacing w:line="360" w:lineRule="auto"/>
              <w:ind w:firstLine="720" w:firstLineChars="300"/>
              <w:rPr>
                <w:color w:val="000000"/>
                <w:sz w:val="24"/>
                <w:lang w:val="de-DE"/>
              </w:rPr>
            </w:pPr>
            <w:r>
              <w:rPr>
                <w:color w:val="000000"/>
                <w:sz w:val="24"/>
                <w:lang w:val="de-DE"/>
              </w:rPr>
              <w:t>M</w:t>
            </w:r>
            <w:r>
              <w:rPr>
                <w:color w:val="000000"/>
                <w:sz w:val="24"/>
                <w:vertAlign w:val="subscript"/>
                <w:lang w:val="de-DE"/>
              </w:rPr>
              <w:t>i</w:t>
            </w:r>
            <w:r>
              <w:rPr>
                <w:color w:val="000000"/>
                <w:sz w:val="24"/>
                <w:lang w:val="de-DE"/>
              </w:rPr>
              <w:t>—</w:t>
            </w:r>
            <w:r>
              <w:rPr>
                <w:rFonts w:hAnsi="宋体"/>
                <w:color w:val="000000"/>
                <w:sz w:val="24"/>
              </w:rPr>
              <w:t>扰动后土壤侵蚀模数</w:t>
            </w:r>
            <w:r>
              <w:rPr>
                <w:rFonts w:hAnsi="宋体"/>
                <w:color w:val="000000"/>
                <w:sz w:val="24"/>
                <w:lang w:val="de-DE"/>
              </w:rPr>
              <w:t>，</w:t>
            </w:r>
            <w:r>
              <w:rPr>
                <w:color w:val="000000"/>
                <w:sz w:val="24"/>
                <w:lang w:val="de-DE"/>
              </w:rPr>
              <w:t>3000t/km</w:t>
            </w:r>
            <w:r>
              <w:rPr>
                <w:color w:val="000000"/>
                <w:sz w:val="24"/>
                <w:vertAlign w:val="superscript"/>
                <w:lang w:val="de-DE"/>
              </w:rPr>
              <w:t>2</w:t>
            </w:r>
            <w:r>
              <w:rPr>
                <w:color w:val="000000"/>
                <w:sz w:val="24"/>
                <w:lang w:val="de-DE"/>
              </w:rPr>
              <w:t>.a</w:t>
            </w:r>
          </w:p>
          <w:p>
            <w:pPr>
              <w:adjustRightInd w:val="0"/>
              <w:snapToGrid w:val="0"/>
              <w:spacing w:line="360" w:lineRule="auto"/>
              <w:ind w:firstLine="720" w:firstLineChars="300"/>
              <w:rPr>
                <w:color w:val="000000"/>
                <w:sz w:val="24"/>
                <w:lang w:val="de-DE"/>
              </w:rPr>
            </w:pPr>
            <w:r>
              <w:rPr>
                <w:color w:val="000000"/>
                <w:sz w:val="24"/>
                <w:lang w:val="de-DE"/>
              </w:rPr>
              <w:t>Ti—</w:t>
            </w:r>
            <w:r>
              <w:rPr>
                <w:color w:val="000000"/>
                <w:sz w:val="24"/>
              </w:rPr>
              <w:t>水土流失预测时段</w:t>
            </w:r>
            <w:r>
              <w:rPr>
                <w:color w:val="000000"/>
                <w:sz w:val="24"/>
                <w:lang w:val="de-DE"/>
              </w:rPr>
              <w:t>，</w:t>
            </w:r>
            <w:r>
              <w:rPr>
                <w:rFonts w:hint="eastAsia"/>
                <w:color w:val="000000"/>
                <w:sz w:val="24"/>
                <w:lang w:val="de-DE"/>
              </w:rPr>
              <w:t>0.25</w:t>
            </w:r>
            <w:r>
              <w:rPr>
                <w:color w:val="000000"/>
                <w:sz w:val="24"/>
                <w:lang w:val="de-DE"/>
              </w:rPr>
              <w:t>a</w:t>
            </w:r>
          </w:p>
          <w:p>
            <w:pPr>
              <w:adjustRightInd w:val="0"/>
              <w:snapToGrid w:val="0"/>
              <w:spacing w:line="360" w:lineRule="auto"/>
              <w:ind w:firstLine="480" w:firstLineChars="200"/>
              <w:rPr>
                <w:color w:val="000000"/>
                <w:sz w:val="24"/>
                <w:lang w:val="de-DE"/>
              </w:rPr>
            </w:pPr>
            <w:r>
              <w:rPr>
                <w:color w:val="000000"/>
                <w:sz w:val="24"/>
              </w:rPr>
              <w:t>由此计算出项目区施工期可能造成的新增水土流失量为</w:t>
            </w:r>
            <w:r>
              <w:rPr>
                <w:rFonts w:hint="eastAsia"/>
                <w:color w:val="000000"/>
                <w:sz w:val="24"/>
                <w:lang w:val="de-DE"/>
              </w:rPr>
              <w:t>0.825</w:t>
            </w:r>
            <w:r>
              <w:rPr>
                <w:color w:val="000000"/>
                <w:sz w:val="24"/>
                <w:lang w:val="de-DE"/>
              </w:rPr>
              <w:t>t/a</w:t>
            </w:r>
            <w:r>
              <w:rPr>
                <w:color w:val="000000"/>
                <w:sz w:val="24"/>
              </w:rPr>
              <w:t>。</w:t>
            </w:r>
          </w:p>
          <w:p>
            <w:pPr>
              <w:adjustRightInd w:val="0"/>
              <w:snapToGrid w:val="0"/>
              <w:spacing w:line="360" w:lineRule="auto"/>
              <w:ind w:firstLine="482" w:firstLineChars="200"/>
              <w:jc w:val="left"/>
              <w:rPr>
                <w:rFonts w:ascii="宋体" w:hAnsi="宋体"/>
                <w:b/>
                <w:bCs/>
                <w:sz w:val="24"/>
              </w:rPr>
            </w:pPr>
            <w:r>
              <w:rPr>
                <w:b/>
                <w:bCs/>
                <w:sz w:val="24"/>
              </w:rPr>
              <w:t>6、生态环境影响</w:t>
            </w:r>
            <w:r>
              <w:rPr>
                <w:rFonts w:hint="eastAsia" w:ascii="宋体" w:hAnsi="宋体"/>
                <w:b/>
                <w:bCs/>
                <w:sz w:val="24"/>
              </w:rPr>
              <w:t>分析</w:t>
            </w:r>
          </w:p>
          <w:p>
            <w:pPr>
              <w:adjustRightInd w:val="0"/>
              <w:snapToGrid w:val="0"/>
              <w:spacing w:line="360" w:lineRule="auto"/>
              <w:ind w:firstLine="480" w:firstLineChars="200"/>
              <w:jc w:val="left"/>
              <w:rPr>
                <w:bCs/>
                <w:sz w:val="24"/>
              </w:rPr>
            </w:pPr>
            <w:r>
              <w:rPr>
                <w:rFonts w:hint="eastAsia"/>
                <w:bCs/>
                <w:sz w:val="24"/>
              </w:rPr>
              <w:t>①占地影响</w:t>
            </w:r>
          </w:p>
          <w:p>
            <w:pPr>
              <w:adjustRightInd w:val="0"/>
              <w:snapToGrid w:val="0"/>
              <w:spacing w:line="360" w:lineRule="auto"/>
              <w:ind w:firstLine="480" w:firstLineChars="200"/>
              <w:jc w:val="left"/>
              <w:rPr>
                <w:bCs/>
                <w:sz w:val="24"/>
              </w:rPr>
            </w:pPr>
            <w:r>
              <w:rPr>
                <w:rFonts w:hint="eastAsia"/>
                <w:bCs/>
                <w:sz w:val="24"/>
              </w:rPr>
              <w:t>本项目总用地面</w:t>
            </w:r>
            <w:r>
              <w:rPr>
                <w:rFonts w:hint="eastAsia"/>
                <w:sz w:val="24"/>
              </w:rPr>
              <w:t>积约为120亩。</w:t>
            </w:r>
            <w:r>
              <w:rPr>
                <w:rFonts w:hint="eastAsia"/>
                <w:bCs/>
                <w:sz w:val="24"/>
              </w:rPr>
              <w:t>项目施工建设对土地利用类型发生改变。占地在蛙养殖结束后可以通过土地复垦，重新绿化，恢复植被景观。由于项目占用土地总面积不大，通过采取上述补偿措施后，对区域土地利用类型的改变和影响不大。</w:t>
            </w:r>
          </w:p>
          <w:p>
            <w:pPr>
              <w:adjustRightInd w:val="0"/>
              <w:snapToGrid w:val="0"/>
              <w:spacing w:line="360" w:lineRule="auto"/>
              <w:ind w:firstLine="480" w:firstLineChars="200"/>
              <w:jc w:val="left"/>
              <w:rPr>
                <w:bCs/>
                <w:sz w:val="24"/>
              </w:rPr>
            </w:pPr>
            <w:r>
              <w:rPr>
                <w:rFonts w:hint="eastAsia"/>
                <w:bCs/>
                <w:sz w:val="24"/>
              </w:rPr>
              <w:t>项目建设过程中由于原有的地表植被、土体的剥离和扰动，土壤可蚀性相应增加，抗侵蚀能力降低，易造成水土流失，破坏地面景观。地表剥离会破坏在一定条件下有可能会引起滑坡和边坡失稳，造成严重的水土流失。</w:t>
            </w:r>
          </w:p>
          <w:p>
            <w:pPr>
              <w:adjustRightInd w:val="0"/>
              <w:snapToGrid w:val="0"/>
              <w:spacing w:line="360" w:lineRule="auto"/>
              <w:ind w:firstLine="480" w:firstLineChars="200"/>
              <w:jc w:val="left"/>
              <w:rPr>
                <w:sz w:val="24"/>
              </w:rPr>
            </w:pPr>
            <w:r>
              <w:rPr>
                <w:rFonts w:hint="eastAsia" w:ascii="宋体" w:hAnsi="宋体" w:cs="宋体"/>
                <w:sz w:val="24"/>
              </w:rPr>
              <w:t>②</w:t>
            </w:r>
            <w:r>
              <w:rPr>
                <w:sz w:val="24"/>
              </w:rPr>
              <w:t>工程占地对植物物种多样性的影响</w:t>
            </w:r>
          </w:p>
          <w:p>
            <w:pPr>
              <w:adjustRightInd w:val="0"/>
              <w:snapToGrid w:val="0"/>
              <w:spacing w:line="360" w:lineRule="auto"/>
              <w:ind w:firstLine="480" w:firstLineChars="200"/>
              <w:jc w:val="left"/>
              <w:rPr>
                <w:sz w:val="24"/>
              </w:rPr>
            </w:pPr>
            <w:r>
              <w:rPr>
                <w:sz w:val="24"/>
              </w:rPr>
              <w:t>受人类活动及农业生产等影响，评价区现状植被以次生植被、人工植被占优势，广布种多，特有属种少。根据调查，</w:t>
            </w:r>
            <w:r>
              <w:rPr>
                <w:rFonts w:hint="eastAsia"/>
                <w:sz w:val="24"/>
              </w:rPr>
              <w:t>用地及周边</w:t>
            </w:r>
            <w:r>
              <w:rPr>
                <w:sz w:val="24"/>
              </w:rPr>
              <w:t>群落的生物多样性特点是：乔木层种类较丰富，主要以杉木林、马尾松林和毛竹林等人工林为主，乔木层的多样性指数较高；灌木层物种组成比较丰富；草本层的优势种较为突出，其他种类分布不均。调查表明，</w:t>
            </w:r>
            <w:r>
              <w:rPr>
                <w:rFonts w:hint="eastAsia"/>
                <w:sz w:val="24"/>
              </w:rPr>
              <w:t>用地及周边</w:t>
            </w:r>
            <w:r>
              <w:rPr>
                <w:sz w:val="24"/>
              </w:rPr>
              <w:t>植物群落种类均为区域常见种和广布种，</w:t>
            </w:r>
            <w:r>
              <w:rPr>
                <w:rFonts w:hint="eastAsia"/>
                <w:sz w:val="24"/>
              </w:rPr>
              <w:t>项目处于</w:t>
            </w:r>
            <w:r>
              <w:rPr>
                <w:sz w:val="24"/>
              </w:rPr>
              <w:t>农业生态区和林业生态区。</w:t>
            </w:r>
          </w:p>
          <w:p>
            <w:pPr>
              <w:adjustRightInd w:val="0"/>
              <w:snapToGrid w:val="0"/>
              <w:spacing w:line="360" w:lineRule="auto"/>
              <w:ind w:firstLine="480" w:firstLineChars="200"/>
              <w:jc w:val="left"/>
              <w:rPr>
                <w:sz w:val="24"/>
              </w:rPr>
            </w:pPr>
            <w:r>
              <w:rPr>
                <w:sz w:val="24"/>
              </w:rPr>
              <w:t>工程</w:t>
            </w:r>
            <w:r>
              <w:rPr>
                <w:rFonts w:hint="eastAsia"/>
                <w:sz w:val="24"/>
              </w:rPr>
              <w:t>用地范围内无林地，</w:t>
            </w:r>
            <w:r>
              <w:rPr>
                <w:sz w:val="24"/>
              </w:rPr>
              <w:t>施工会暂时减少</w:t>
            </w:r>
            <w:r>
              <w:rPr>
                <w:rFonts w:hint="eastAsia"/>
                <w:sz w:val="24"/>
              </w:rPr>
              <w:t>草本、灌木</w:t>
            </w:r>
            <w:r>
              <w:rPr>
                <w:sz w:val="24"/>
              </w:rPr>
              <w:t>植物种的个体数量，但对整个区域来说植物种类、种群数量基本没影响，项目占地区域内无特有或窄域种类分布，不会因项目建设导致任何植物种明显减少或消失。同时项目</w:t>
            </w:r>
            <w:r>
              <w:rPr>
                <w:rFonts w:hint="eastAsia"/>
                <w:sz w:val="24"/>
              </w:rPr>
              <w:t>养殖结束</w:t>
            </w:r>
            <w:r>
              <w:rPr>
                <w:sz w:val="24"/>
              </w:rPr>
              <w:t>后采用当地物种进行植被恢复，可减缓占地对植被产生的影响。总之，工程建设对植物多样性影响</w:t>
            </w:r>
            <w:r>
              <w:rPr>
                <w:rFonts w:hint="eastAsia"/>
                <w:sz w:val="24"/>
              </w:rPr>
              <w:t>较小</w:t>
            </w:r>
            <w:r>
              <w:rPr>
                <w:sz w:val="24"/>
              </w:rPr>
              <w:t>。</w:t>
            </w:r>
          </w:p>
          <w:p>
            <w:pPr>
              <w:adjustRightInd w:val="0"/>
              <w:snapToGrid w:val="0"/>
              <w:spacing w:line="360" w:lineRule="auto"/>
              <w:ind w:firstLine="480" w:firstLineChars="200"/>
              <w:jc w:val="left"/>
              <w:rPr>
                <w:sz w:val="24"/>
              </w:rPr>
            </w:pPr>
            <w:r>
              <w:rPr>
                <w:rFonts w:hint="eastAsia"/>
                <w:sz w:val="24"/>
              </w:rPr>
              <w:t>③</w:t>
            </w:r>
            <w:r>
              <w:rPr>
                <w:sz w:val="24"/>
              </w:rPr>
              <w:t>拟建</w:t>
            </w:r>
            <w:r>
              <w:rPr>
                <w:rFonts w:hint="eastAsia"/>
                <w:sz w:val="24"/>
              </w:rPr>
              <w:t>工程</w:t>
            </w:r>
            <w:r>
              <w:rPr>
                <w:sz w:val="24"/>
              </w:rPr>
              <w:t>施工对野生动物的影响</w:t>
            </w:r>
          </w:p>
          <w:p>
            <w:pPr>
              <w:adjustRightInd w:val="0"/>
              <w:snapToGrid w:val="0"/>
              <w:spacing w:line="360" w:lineRule="auto"/>
              <w:ind w:firstLine="480" w:firstLineChars="200"/>
              <w:rPr>
                <w:bCs/>
                <w:sz w:val="24"/>
              </w:rPr>
            </w:pPr>
            <w:r>
              <w:rPr>
                <w:sz w:val="24"/>
              </w:rPr>
              <w:t>拟建</w:t>
            </w:r>
            <w:r>
              <w:rPr>
                <w:rFonts w:hint="eastAsia"/>
                <w:sz w:val="24"/>
              </w:rPr>
              <w:t>工程</w:t>
            </w:r>
            <w:r>
              <w:rPr>
                <w:sz w:val="24"/>
              </w:rPr>
              <w:t>施工</w:t>
            </w:r>
            <w:r>
              <w:rPr>
                <w:rFonts w:hint="eastAsia"/>
                <w:sz w:val="24"/>
              </w:rPr>
              <w:t>期</w:t>
            </w:r>
            <w:r>
              <w:rPr>
                <w:sz w:val="24"/>
              </w:rPr>
              <w:t>对野生动物的影响主要表现为：施工人员的人为活动对动物栖息地生境的干扰和破坏，施工机械噪声对动物的干扰，施工中</w:t>
            </w:r>
            <w:r>
              <w:rPr>
                <w:rFonts w:hint="eastAsia"/>
                <w:sz w:val="24"/>
              </w:rPr>
              <w:t>地表植被清理</w:t>
            </w:r>
            <w:r>
              <w:rPr>
                <w:sz w:val="24"/>
              </w:rPr>
              <w:t>对爬行类动物小生境的破坏等。由于上述原因，将可能使得原来居住</w:t>
            </w:r>
            <w:r>
              <w:rPr>
                <w:rFonts w:hint="eastAsia"/>
                <w:sz w:val="24"/>
              </w:rPr>
              <w:t>在用地范围内及周边</w:t>
            </w:r>
            <w:r>
              <w:rPr>
                <w:sz w:val="24"/>
              </w:rPr>
              <w:t>的大部分兽类迁移它处；一部分鸟类、爬行类和两栖动物会经过飞翔和迁移来避免项目施工所造成的影响，从而导致</w:t>
            </w:r>
            <w:r>
              <w:rPr>
                <w:rFonts w:hint="eastAsia"/>
                <w:sz w:val="24"/>
              </w:rPr>
              <w:t>项目</w:t>
            </w:r>
            <w:r>
              <w:rPr>
                <w:sz w:val="24"/>
              </w:rPr>
              <w:t>周围环境的动物数量有所减少。但是，在距离</w:t>
            </w:r>
            <w:r>
              <w:rPr>
                <w:rFonts w:hint="eastAsia"/>
                <w:sz w:val="24"/>
              </w:rPr>
              <w:t>项目</w:t>
            </w:r>
            <w:r>
              <w:rPr>
                <w:sz w:val="24"/>
              </w:rPr>
              <w:t>施工区较远的区域中，这些被施工影响驱赶的动物会相对集中而重新分布</w:t>
            </w:r>
            <w:r>
              <w:rPr>
                <w:rFonts w:hint="eastAsia"/>
                <w:sz w:val="24"/>
              </w:rPr>
              <w:t>。</w:t>
            </w:r>
            <w:r>
              <w:rPr>
                <w:sz w:val="24"/>
              </w:rPr>
              <w:t>而在工程结束后，随着施工噪声等影响的减弱或消失，一些动物又会回到原来比较适宜生存和活动的地域。因此，就整个项目区而言，施工对动物种类多样性和种群数量不会产生大的影响，也不会导致动物多样性降低，虽然</w:t>
            </w:r>
            <w:r>
              <w:rPr>
                <w:rFonts w:hint="eastAsia"/>
                <w:sz w:val="24"/>
              </w:rPr>
              <w:t>项目</w:t>
            </w:r>
            <w:r>
              <w:rPr>
                <w:sz w:val="24"/>
              </w:rPr>
              <w:t>的建设对</w:t>
            </w:r>
            <w:r>
              <w:rPr>
                <w:rFonts w:hint="eastAsia"/>
                <w:sz w:val="24"/>
              </w:rPr>
              <w:t>周围</w:t>
            </w:r>
            <w:r>
              <w:rPr>
                <w:sz w:val="24"/>
              </w:rPr>
              <w:t>的野生动物有一定的干扰，但是对其生存及种群数量、种类影响很小。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75" w:type="pct"/>
            <w:tcBorders>
              <w:tl2br w:val="nil"/>
              <w:tr2bl w:val="nil"/>
            </w:tcBorders>
            <w:tcMar>
              <w:left w:w="28" w:type="dxa"/>
              <w:right w:w="28" w:type="dxa"/>
            </w:tcMar>
            <w:vAlign w:val="center"/>
          </w:tcPr>
          <w:p>
            <w:pPr>
              <w:pStyle w:val="22"/>
              <w:adjustRightInd w:val="0"/>
              <w:snapToGrid w:val="0"/>
              <w:spacing w:before="0" w:beforeAutospacing="0" w:after="0" w:afterAutospacing="0"/>
              <w:jc w:val="center"/>
              <w:rPr>
                <w:rFonts w:ascii="Times New Roman" w:hAnsi="Times New Roman"/>
                <w:bCs/>
                <w:kern w:val="2"/>
                <w:highlight w:val="yellow"/>
              </w:rPr>
            </w:pPr>
            <w:r>
              <w:rPr>
                <w:rFonts w:ascii="Times New Roman" w:hAnsi="Times New Roman"/>
                <w:bCs/>
                <w:spacing w:val="10"/>
                <w:kern w:val="2"/>
              </w:rPr>
              <w:t>运营期生态环境影响分析</w:t>
            </w:r>
          </w:p>
        </w:tc>
        <w:tc>
          <w:tcPr>
            <w:tcW w:w="4524" w:type="pct"/>
            <w:tcBorders>
              <w:tl2br w:val="nil"/>
              <w:tr2bl w:val="nil"/>
            </w:tcBorders>
          </w:tcPr>
          <w:p>
            <w:pPr>
              <w:adjustRightInd w:val="0"/>
              <w:snapToGrid w:val="0"/>
              <w:spacing w:line="360" w:lineRule="auto"/>
              <w:ind w:firstLine="482" w:firstLineChars="200"/>
              <w:rPr>
                <w:b/>
                <w:bCs/>
                <w:color w:val="000000"/>
                <w:sz w:val="24"/>
                <w:u w:val="single"/>
              </w:rPr>
            </w:pPr>
            <w:r>
              <w:rPr>
                <w:rFonts w:hint="eastAsia"/>
                <w:b/>
                <w:bCs/>
                <w:color w:val="000000"/>
                <w:sz w:val="24"/>
                <w:u w:val="single"/>
              </w:rPr>
              <w:t>1、大气环境影响分析</w:t>
            </w:r>
          </w:p>
          <w:p>
            <w:pPr>
              <w:adjustRightInd w:val="0"/>
              <w:snapToGrid w:val="0"/>
              <w:spacing w:line="360" w:lineRule="auto"/>
              <w:ind w:firstLine="480" w:firstLineChars="200"/>
              <w:rPr>
                <w:color w:val="000000"/>
                <w:sz w:val="24"/>
                <w:szCs w:val="21"/>
                <w:u w:val="single"/>
              </w:rPr>
            </w:pPr>
            <w:r>
              <w:rPr>
                <w:rFonts w:hint="eastAsia"/>
                <w:color w:val="000000"/>
                <w:sz w:val="24"/>
                <w:szCs w:val="21"/>
                <w:u w:val="single"/>
              </w:rPr>
              <w:t>项目为稻蛙共作生态养殖项目，运营期废气主要为养殖臭气。</w:t>
            </w:r>
          </w:p>
          <w:p>
            <w:pPr>
              <w:tabs>
                <w:tab w:val="left" w:pos="0"/>
                <w:tab w:val="left" w:pos="870"/>
                <w:tab w:val="left" w:pos="3150"/>
              </w:tabs>
              <w:autoSpaceDE w:val="0"/>
              <w:autoSpaceDN w:val="0"/>
              <w:adjustRightInd w:val="0"/>
              <w:snapToGrid w:val="0"/>
              <w:spacing w:line="360" w:lineRule="auto"/>
              <w:ind w:firstLine="480" w:firstLineChars="200"/>
              <w:rPr>
                <w:sz w:val="24"/>
                <w:szCs w:val="21"/>
                <w:u w:val="single"/>
              </w:rPr>
            </w:pPr>
            <w:r>
              <w:rPr>
                <w:rFonts w:hint="eastAsia"/>
                <w:color w:val="000000"/>
                <w:sz w:val="24"/>
                <w:szCs w:val="21"/>
                <w:u w:val="single"/>
              </w:rPr>
              <w:t>蛙在养殖过程中会产生臭气，为了进一步减少养殖臭气对周边居民的影响，建议项目在厂区内定期喷洒</w:t>
            </w:r>
            <w:r>
              <w:rPr>
                <w:rFonts w:hint="eastAsia"/>
                <w:sz w:val="24"/>
                <w:szCs w:val="21"/>
                <w:u w:val="single"/>
              </w:rPr>
              <w:t>除臭剂，</w:t>
            </w:r>
            <w:r>
              <w:rPr>
                <w:sz w:val="24"/>
                <w:u w:val="single"/>
              </w:rPr>
              <w:t>恶臭污染物</w:t>
            </w:r>
            <w:r>
              <w:rPr>
                <w:rFonts w:hint="eastAsia"/>
                <w:sz w:val="24"/>
                <w:u w:val="single"/>
              </w:rPr>
              <w:t>无组织排放满足</w:t>
            </w:r>
            <w:r>
              <w:rPr>
                <w:sz w:val="24"/>
                <w:u w:val="single"/>
              </w:rPr>
              <w:t>《恶臭污染物排放标准》（GB14554-93）恶臭污染物厂界标准值</w:t>
            </w:r>
            <w:r>
              <w:rPr>
                <w:rFonts w:hint="eastAsia"/>
                <w:sz w:val="24"/>
                <w:u w:val="single"/>
              </w:rPr>
              <w:t>（</w:t>
            </w:r>
            <w:r>
              <w:rPr>
                <w:sz w:val="24"/>
                <w:u w:val="single"/>
              </w:rPr>
              <w:t>臭气浓度（无量纲）≤20</w:t>
            </w:r>
            <w:r>
              <w:rPr>
                <w:rFonts w:hint="eastAsia"/>
                <w:sz w:val="24"/>
                <w:u w:val="single"/>
              </w:rPr>
              <w:t>），</w:t>
            </w:r>
            <w:r>
              <w:rPr>
                <w:rFonts w:hint="eastAsia"/>
                <w:sz w:val="24"/>
                <w:szCs w:val="21"/>
                <w:u w:val="single"/>
              </w:rPr>
              <w:t>减少养殖臭气对周边大气环境的影响。</w:t>
            </w:r>
          </w:p>
          <w:p>
            <w:pPr>
              <w:adjustRightInd w:val="0"/>
              <w:snapToGrid w:val="0"/>
              <w:spacing w:line="360" w:lineRule="auto"/>
              <w:ind w:firstLine="482" w:firstLineChars="200"/>
              <w:rPr>
                <w:b/>
                <w:bCs/>
                <w:sz w:val="24"/>
                <w:u w:val="single"/>
              </w:rPr>
            </w:pPr>
            <w:r>
              <w:rPr>
                <w:rFonts w:hint="eastAsia"/>
                <w:b/>
                <w:bCs/>
                <w:sz w:val="24"/>
                <w:u w:val="single"/>
              </w:rPr>
              <w:t>2、水环境影响分析</w:t>
            </w:r>
          </w:p>
          <w:p>
            <w:pPr>
              <w:adjustRightInd w:val="0"/>
              <w:snapToGrid w:val="0"/>
              <w:spacing w:line="360" w:lineRule="auto"/>
              <w:ind w:firstLine="480" w:firstLineChars="200"/>
              <w:rPr>
                <w:sz w:val="24"/>
                <w:szCs w:val="22"/>
                <w:u w:val="single"/>
              </w:rPr>
            </w:pPr>
            <w:r>
              <w:rPr>
                <w:sz w:val="24"/>
                <w:szCs w:val="21"/>
                <w:u w:val="single"/>
              </w:rPr>
              <w:t>项目产生的废水主要为员工日常生活产生的生活污水以及</w:t>
            </w:r>
            <w:r>
              <w:rPr>
                <w:rFonts w:hint="eastAsia"/>
                <w:sz w:val="24"/>
                <w:szCs w:val="21"/>
                <w:u w:val="single"/>
              </w:rPr>
              <w:t>养殖废水</w:t>
            </w:r>
            <w:r>
              <w:rPr>
                <w:sz w:val="24"/>
                <w:szCs w:val="21"/>
                <w:u w:val="single"/>
              </w:rPr>
              <w:t>。</w:t>
            </w:r>
            <w:r>
              <w:rPr>
                <w:rFonts w:hint="eastAsia"/>
                <w:color w:val="FF0000"/>
                <w:sz w:val="24"/>
                <w:szCs w:val="21"/>
                <w:u w:val="single"/>
              </w:rPr>
              <w:t>相邻养殖区沟坑中的水流为流通状态，地势高处设置进水口，在地势低处设置出水口与污水处理设备，因蛙在养殖期间会产生排泄物，加上未吃完的食物残渣，水质很容易被污染导致滋生有害细菌和病原体，因此需保持养殖区内水流微流动，沟坑中的水平均达到20~30%的换水率一天，产生的养殖废水经厂内引导沟引流至污水处理设备处，经污水处理设备处理达到《水产养殖尾水污染物排放标准》（DB43/1752-2020）表1中的一级标准、《淡水池塘养殖水排放要求》（SC/T9101-2007）表1中的二级标准后外排至日东河；</w:t>
            </w:r>
            <w:r>
              <w:rPr>
                <w:color w:val="FF0000"/>
                <w:sz w:val="24"/>
                <w:szCs w:val="21"/>
                <w:u w:val="single"/>
              </w:rPr>
              <w:t>生活污水经三格化粪池处理达《农田灌溉水质标准》（GB5084-2021）旱作类标准后用于周边农田施肥，不外排</w:t>
            </w:r>
            <w:r>
              <w:rPr>
                <w:rFonts w:hint="eastAsia"/>
                <w:color w:val="FF0000"/>
                <w:sz w:val="24"/>
                <w:szCs w:val="22"/>
                <w:u w:val="single"/>
              </w:rPr>
              <w:t>。</w:t>
            </w:r>
            <w:r>
              <w:rPr>
                <w:rFonts w:hint="eastAsia"/>
                <w:sz w:val="24"/>
                <w:szCs w:val="22"/>
                <w:u w:val="single"/>
              </w:rPr>
              <w:t>项目所在地涉及基本农田，无法采用生态塘处理养殖尾水，因此项目采用污水处理设备对养殖废水进行处理，污水处理设备处理工艺为：格栅＋厌氧＋好氧。</w:t>
            </w:r>
          </w:p>
          <w:p>
            <w:pPr>
              <w:adjustRightInd w:val="0"/>
              <w:snapToGrid w:val="0"/>
              <w:spacing w:line="360" w:lineRule="auto"/>
              <w:ind w:firstLine="480" w:firstLineChars="200"/>
              <w:rPr>
                <w:sz w:val="24"/>
                <w:szCs w:val="21"/>
                <w:u w:val="single"/>
              </w:rPr>
            </w:pPr>
            <w:r>
              <w:rPr>
                <w:sz w:val="24"/>
                <w:szCs w:val="21"/>
                <w:u w:val="single"/>
              </w:rPr>
              <w:t>水稻种植周期结束前应完成商品蛙的出售，否则养殖废水的产生量将会超过污水处理设备的处理能力，进而对</w:t>
            </w:r>
            <w:r>
              <w:rPr>
                <w:rFonts w:hint="eastAsia"/>
                <w:sz w:val="24"/>
                <w:szCs w:val="21"/>
                <w:u w:val="single"/>
              </w:rPr>
              <w:t>水环境、土壤环境</w:t>
            </w:r>
            <w:r>
              <w:rPr>
                <w:sz w:val="24"/>
                <w:szCs w:val="21"/>
                <w:u w:val="single"/>
              </w:rPr>
              <w:t>造成污染</w:t>
            </w:r>
            <w:r>
              <w:rPr>
                <w:rFonts w:hint="eastAsia"/>
                <w:sz w:val="24"/>
                <w:szCs w:val="21"/>
                <w:u w:val="single"/>
              </w:rPr>
              <w:t>。</w:t>
            </w:r>
          </w:p>
          <w:p>
            <w:pPr>
              <w:adjustRightInd w:val="0"/>
              <w:snapToGrid w:val="0"/>
              <w:spacing w:line="360" w:lineRule="auto"/>
              <w:ind w:firstLine="480" w:firstLineChars="200"/>
              <w:rPr>
                <w:color w:val="000000"/>
                <w:sz w:val="24"/>
                <w:szCs w:val="21"/>
                <w:u w:val="single"/>
              </w:rPr>
            </w:pPr>
            <w:r>
              <w:rPr>
                <w:color w:val="000000"/>
                <w:sz w:val="24"/>
                <w:szCs w:val="21"/>
                <w:u w:val="single"/>
              </w:rPr>
              <w:t>经上述处理后，项目</w:t>
            </w:r>
            <w:r>
              <w:rPr>
                <w:rFonts w:hint="eastAsia"/>
                <w:color w:val="000000"/>
                <w:sz w:val="24"/>
                <w:szCs w:val="21"/>
                <w:u w:val="single"/>
              </w:rPr>
              <w:t>养殖废水做到达标排放，对附近地表水环境的影响较小。</w:t>
            </w:r>
          </w:p>
          <w:p>
            <w:pPr>
              <w:adjustRightInd w:val="0"/>
              <w:snapToGrid w:val="0"/>
              <w:spacing w:line="360" w:lineRule="auto"/>
              <w:ind w:firstLine="482" w:firstLineChars="200"/>
              <w:rPr>
                <w:b/>
                <w:color w:val="000000"/>
                <w:sz w:val="24"/>
                <w:u w:val="single"/>
              </w:rPr>
            </w:pPr>
            <w:r>
              <w:rPr>
                <w:rFonts w:hint="eastAsia"/>
                <w:b/>
                <w:color w:val="000000"/>
                <w:sz w:val="24"/>
                <w:u w:val="single"/>
              </w:rPr>
              <w:t>3、</w:t>
            </w:r>
            <w:r>
              <w:rPr>
                <w:b/>
                <w:color w:val="000000"/>
                <w:sz w:val="24"/>
                <w:u w:val="single"/>
              </w:rPr>
              <w:t>声环境影响分析</w:t>
            </w:r>
          </w:p>
          <w:p>
            <w:pPr>
              <w:adjustRightInd w:val="0"/>
              <w:snapToGrid w:val="0"/>
              <w:spacing w:line="360" w:lineRule="auto"/>
              <w:ind w:firstLine="480" w:firstLineChars="200"/>
              <w:rPr>
                <w:color w:val="000000"/>
                <w:sz w:val="24"/>
                <w:u w:val="single"/>
              </w:rPr>
            </w:pPr>
            <w:r>
              <w:rPr>
                <w:color w:val="000000"/>
                <w:sz w:val="24"/>
                <w:u w:val="single"/>
              </w:rPr>
              <w:t>项目主要噪声源为蛙生长高峰期</w:t>
            </w:r>
            <w:r>
              <w:rPr>
                <w:rFonts w:hint="eastAsia"/>
                <w:color w:val="000000"/>
                <w:sz w:val="24"/>
                <w:u w:val="single"/>
              </w:rPr>
              <w:t>的群体性蛙鸣</w:t>
            </w:r>
            <w:r>
              <w:rPr>
                <w:color w:val="000000"/>
                <w:sz w:val="24"/>
                <w:u w:val="single"/>
              </w:rPr>
              <w:t>和水泵运行产生的噪声，蛙在蝌蚪期不发声，</w:t>
            </w:r>
            <w:r>
              <w:rPr>
                <w:sz w:val="24"/>
                <w:u w:val="single"/>
              </w:rPr>
              <w:t>产生噪声的时间为每年的4~7月份，即中蛙至大蛙时期</w:t>
            </w:r>
            <w:r>
              <w:rPr>
                <w:color w:val="000000"/>
                <w:sz w:val="24"/>
                <w:u w:val="single"/>
              </w:rPr>
              <w:t>，据项目建设方提供资料：没有越冬的成年蛙在养殖周期内不会有群体性蛙鸣，偶发性个体蛙鸣不会产生噪声污染超标排放，水泵噪声值约为75~80dB(A)</w:t>
            </w:r>
            <w:r>
              <w:rPr>
                <w:sz w:val="24"/>
                <w:u w:val="single"/>
              </w:rPr>
              <w:t>。</w:t>
            </w:r>
          </w:p>
          <w:p>
            <w:pPr>
              <w:adjustRightInd w:val="0"/>
              <w:snapToGrid w:val="0"/>
              <w:spacing w:line="360" w:lineRule="auto"/>
              <w:ind w:firstLine="480" w:firstLineChars="200"/>
              <w:rPr>
                <w:color w:val="000000"/>
                <w:sz w:val="24"/>
                <w:u w:val="single"/>
              </w:rPr>
            </w:pPr>
            <w:r>
              <w:rPr>
                <w:color w:val="000000"/>
                <w:sz w:val="24"/>
                <w:u w:val="single"/>
              </w:rPr>
              <w:t>（1）预测模型</w:t>
            </w:r>
          </w:p>
          <w:p>
            <w:pPr>
              <w:tabs>
                <w:tab w:val="left" w:pos="1700"/>
              </w:tabs>
              <w:adjustRightInd w:val="0"/>
              <w:snapToGrid w:val="0"/>
              <w:spacing w:line="360" w:lineRule="auto"/>
              <w:ind w:firstLine="480" w:firstLineChars="200"/>
              <w:rPr>
                <w:color w:val="000000"/>
                <w:sz w:val="24"/>
                <w:u w:val="single"/>
              </w:rPr>
            </w:pPr>
            <w:r>
              <w:rPr>
                <w:color w:val="000000"/>
                <w:sz w:val="24"/>
                <w:u w:val="single"/>
              </w:rPr>
              <w:t>工业噪声预测模式采用《环境影响评价技术导则·声环境》（HJ2.4—2009）中对工业企业噪声预测模式进行预测，本项目进行环境噪声预测时所使用的工业噪声源按点源处理。</w:t>
            </w:r>
          </w:p>
          <w:p>
            <w:pPr>
              <w:adjustRightInd w:val="0"/>
              <w:snapToGrid w:val="0"/>
              <w:spacing w:line="360" w:lineRule="auto"/>
              <w:ind w:firstLine="480" w:firstLineChars="200"/>
              <w:rPr>
                <w:b/>
                <w:color w:val="000000"/>
                <w:szCs w:val="21"/>
                <w:u w:val="single"/>
              </w:rPr>
            </w:pPr>
            <w:r>
              <w:rPr>
                <w:color w:val="000000"/>
                <w:sz w:val="24"/>
                <w:u w:val="single"/>
              </w:rPr>
              <w:t>考虑遮挡物、空气吸收衰减、地面附加衰减，对某些难以定量的参数，查相关资料进行估算。</w:t>
            </w:r>
          </w:p>
          <w:p>
            <w:pPr>
              <w:tabs>
                <w:tab w:val="left" w:pos="1620"/>
                <w:tab w:val="center" w:pos="4153"/>
              </w:tabs>
              <w:adjustRightInd w:val="0"/>
              <w:snapToGrid w:val="0"/>
              <w:ind w:firstLine="422" w:firstLineChars="200"/>
              <w:jc w:val="center"/>
              <w:rPr>
                <w:color w:val="000000"/>
                <w:sz w:val="24"/>
                <w:u w:val="single"/>
              </w:rPr>
            </w:pPr>
            <w:r>
              <w:rPr>
                <w:b/>
                <w:color w:val="000000"/>
                <w:szCs w:val="21"/>
                <w:u w:val="single"/>
              </w:rPr>
              <w:t>表4-</w:t>
            </w:r>
            <w:r>
              <w:rPr>
                <w:rFonts w:hint="eastAsia"/>
                <w:b/>
                <w:color w:val="000000"/>
                <w:szCs w:val="21"/>
                <w:u w:val="single"/>
              </w:rPr>
              <w:t>1</w:t>
            </w:r>
            <w:r>
              <w:rPr>
                <w:b/>
                <w:color w:val="000000"/>
                <w:szCs w:val="21"/>
                <w:u w:val="single"/>
              </w:rPr>
              <w:t xml:space="preserve"> </w:t>
            </w:r>
            <w:r>
              <w:rPr>
                <w:rFonts w:hint="eastAsia"/>
                <w:b/>
                <w:color w:val="000000"/>
                <w:szCs w:val="21"/>
                <w:u w:val="single"/>
              </w:rPr>
              <w:t>项目</w:t>
            </w:r>
            <w:r>
              <w:rPr>
                <w:b/>
                <w:color w:val="000000"/>
                <w:szCs w:val="21"/>
                <w:u w:val="single"/>
              </w:rPr>
              <w:t>噪声源强及其与场界的距离统计表</w:t>
            </w:r>
          </w:p>
          <w:tbl>
            <w:tblPr>
              <w:tblStyle w:val="24"/>
              <w:tblW w:w="499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1"/>
              <w:gridCol w:w="875"/>
              <w:gridCol w:w="701"/>
              <w:gridCol w:w="499"/>
              <w:gridCol w:w="895"/>
              <w:gridCol w:w="2702"/>
              <w:gridCol w:w="11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660" w:type="pct"/>
                  <w:vAlign w:val="center"/>
                </w:tcPr>
                <w:p>
                  <w:pPr>
                    <w:adjustRightInd w:val="0"/>
                    <w:snapToGrid w:val="0"/>
                    <w:jc w:val="center"/>
                    <w:rPr>
                      <w:szCs w:val="21"/>
                      <w:u w:val="single"/>
                    </w:rPr>
                  </w:pPr>
                  <w:r>
                    <w:rPr>
                      <w:szCs w:val="21"/>
                      <w:u w:val="single"/>
                    </w:rPr>
                    <w:t>噪声源产生位置</w:t>
                  </w:r>
                </w:p>
              </w:tc>
              <w:tc>
                <w:tcPr>
                  <w:tcW w:w="555" w:type="pct"/>
                  <w:vAlign w:val="center"/>
                </w:tcPr>
                <w:p>
                  <w:pPr>
                    <w:adjustRightInd w:val="0"/>
                    <w:snapToGrid w:val="0"/>
                    <w:jc w:val="center"/>
                    <w:rPr>
                      <w:szCs w:val="21"/>
                      <w:u w:val="single"/>
                    </w:rPr>
                  </w:pPr>
                  <w:r>
                    <w:rPr>
                      <w:szCs w:val="21"/>
                      <w:u w:val="single"/>
                    </w:rPr>
                    <w:t>噪声污染源</w:t>
                  </w:r>
                </w:p>
              </w:tc>
              <w:tc>
                <w:tcPr>
                  <w:tcW w:w="444" w:type="pct"/>
                  <w:vAlign w:val="center"/>
                </w:tcPr>
                <w:p>
                  <w:pPr>
                    <w:adjustRightInd w:val="0"/>
                    <w:snapToGrid w:val="0"/>
                    <w:jc w:val="center"/>
                    <w:rPr>
                      <w:szCs w:val="21"/>
                      <w:u w:val="single"/>
                    </w:rPr>
                  </w:pPr>
                  <w:r>
                    <w:rPr>
                      <w:szCs w:val="21"/>
                      <w:u w:val="single"/>
                    </w:rPr>
                    <w:t>数量</w:t>
                  </w:r>
                </w:p>
              </w:tc>
              <w:tc>
                <w:tcPr>
                  <w:tcW w:w="316" w:type="pct"/>
                  <w:vAlign w:val="center"/>
                </w:tcPr>
                <w:p>
                  <w:pPr>
                    <w:adjustRightInd w:val="0"/>
                    <w:snapToGrid w:val="0"/>
                    <w:jc w:val="center"/>
                    <w:rPr>
                      <w:szCs w:val="21"/>
                      <w:u w:val="single"/>
                    </w:rPr>
                  </w:pPr>
                  <w:r>
                    <w:rPr>
                      <w:szCs w:val="21"/>
                      <w:u w:val="single"/>
                    </w:rPr>
                    <w:t>单位</w:t>
                  </w:r>
                </w:p>
              </w:tc>
              <w:tc>
                <w:tcPr>
                  <w:tcW w:w="567" w:type="pct"/>
                  <w:vAlign w:val="center"/>
                </w:tcPr>
                <w:p>
                  <w:pPr>
                    <w:adjustRightInd w:val="0"/>
                    <w:snapToGrid w:val="0"/>
                    <w:jc w:val="center"/>
                    <w:rPr>
                      <w:szCs w:val="21"/>
                      <w:u w:val="single"/>
                    </w:rPr>
                  </w:pPr>
                  <w:r>
                    <w:rPr>
                      <w:rFonts w:hint="eastAsia"/>
                      <w:szCs w:val="21"/>
                      <w:u w:val="single"/>
                    </w:rPr>
                    <w:t>平均</w:t>
                  </w:r>
                  <w:r>
                    <w:rPr>
                      <w:szCs w:val="21"/>
                      <w:u w:val="single"/>
                    </w:rPr>
                    <w:t>噪声级dB（A）</w:t>
                  </w:r>
                </w:p>
              </w:tc>
              <w:tc>
                <w:tcPr>
                  <w:tcW w:w="1710" w:type="pct"/>
                  <w:vAlign w:val="center"/>
                </w:tcPr>
                <w:p>
                  <w:pPr>
                    <w:adjustRightInd w:val="0"/>
                    <w:snapToGrid w:val="0"/>
                    <w:jc w:val="center"/>
                    <w:rPr>
                      <w:szCs w:val="21"/>
                      <w:u w:val="single"/>
                    </w:rPr>
                  </w:pPr>
                  <w:r>
                    <w:rPr>
                      <w:szCs w:val="21"/>
                      <w:u w:val="single"/>
                    </w:rPr>
                    <w:t>拟采取降噪措施</w:t>
                  </w:r>
                </w:p>
              </w:tc>
              <w:tc>
                <w:tcPr>
                  <w:tcW w:w="745" w:type="pct"/>
                  <w:vAlign w:val="center"/>
                </w:tcPr>
                <w:p>
                  <w:pPr>
                    <w:adjustRightInd w:val="0"/>
                    <w:snapToGrid w:val="0"/>
                    <w:jc w:val="center"/>
                    <w:rPr>
                      <w:szCs w:val="21"/>
                      <w:u w:val="single"/>
                    </w:rPr>
                  </w:pPr>
                  <w:r>
                    <w:rPr>
                      <w:szCs w:val="21"/>
                      <w:u w:val="single"/>
                    </w:rPr>
                    <w:t>采用降噪措施后车间声压级dB（A）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0" w:type="pct"/>
                  <w:vMerge w:val="restart"/>
                  <w:vAlign w:val="center"/>
                </w:tcPr>
                <w:p>
                  <w:pPr>
                    <w:adjustRightInd w:val="0"/>
                    <w:snapToGrid w:val="0"/>
                    <w:jc w:val="center"/>
                    <w:rPr>
                      <w:szCs w:val="21"/>
                      <w:u w:val="single"/>
                    </w:rPr>
                  </w:pPr>
                  <w:r>
                    <w:rPr>
                      <w:rFonts w:hint="eastAsia"/>
                      <w:szCs w:val="21"/>
                      <w:u w:val="single"/>
                    </w:rPr>
                    <w:t>养殖区域</w:t>
                  </w:r>
                </w:p>
              </w:tc>
              <w:tc>
                <w:tcPr>
                  <w:tcW w:w="555" w:type="pct"/>
                  <w:vAlign w:val="center"/>
                </w:tcPr>
                <w:p>
                  <w:pPr>
                    <w:adjustRightInd w:val="0"/>
                    <w:snapToGrid w:val="0"/>
                    <w:jc w:val="center"/>
                    <w:rPr>
                      <w:szCs w:val="21"/>
                      <w:u w:val="single"/>
                    </w:rPr>
                  </w:pPr>
                  <w:r>
                    <w:rPr>
                      <w:rFonts w:hint="eastAsia"/>
                      <w:szCs w:val="21"/>
                      <w:u w:val="single"/>
                    </w:rPr>
                    <w:t>水泵</w:t>
                  </w:r>
                </w:p>
              </w:tc>
              <w:tc>
                <w:tcPr>
                  <w:tcW w:w="444" w:type="pct"/>
                  <w:vAlign w:val="center"/>
                </w:tcPr>
                <w:p>
                  <w:pPr>
                    <w:adjustRightInd w:val="0"/>
                    <w:snapToGrid w:val="0"/>
                    <w:jc w:val="center"/>
                    <w:rPr>
                      <w:szCs w:val="21"/>
                      <w:u w:val="single"/>
                    </w:rPr>
                  </w:pPr>
                  <w:r>
                    <w:rPr>
                      <w:rFonts w:hint="eastAsia"/>
                      <w:szCs w:val="21"/>
                      <w:u w:val="single"/>
                    </w:rPr>
                    <w:t>10</w:t>
                  </w:r>
                </w:p>
              </w:tc>
              <w:tc>
                <w:tcPr>
                  <w:tcW w:w="316" w:type="pct"/>
                  <w:vAlign w:val="center"/>
                </w:tcPr>
                <w:p>
                  <w:pPr>
                    <w:adjustRightInd w:val="0"/>
                    <w:snapToGrid w:val="0"/>
                    <w:jc w:val="center"/>
                    <w:rPr>
                      <w:szCs w:val="21"/>
                      <w:u w:val="single"/>
                    </w:rPr>
                  </w:pPr>
                  <w:r>
                    <w:rPr>
                      <w:szCs w:val="21"/>
                      <w:u w:val="single"/>
                    </w:rPr>
                    <w:t>台</w:t>
                  </w:r>
                </w:p>
              </w:tc>
              <w:tc>
                <w:tcPr>
                  <w:tcW w:w="567" w:type="pct"/>
                  <w:vAlign w:val="center"/>
                </w:tcPr>
                <w:p>
                  <w:pPr>
                    <w:adjustRightInd w:val="0"/>
                    <w:snapToGrid w:val="0"/>
                    <w:jc w:val="center"/>
                    <w:rPr>
                      <w:szCs w:val="21"/>
                      <w:u w:val="single"/>
                    </w:rPr>
                  </w:pPr>
                  <w:r>
                    <w:rPr>
                      <w:rFonts w:hint="eastAsia"/>
                      <w:szCs w:val="21"/>
                      <w:u w:val="single"/>
                    </w:rPr>
                    <w:t>75</w:t>
                  </w:r>
                </w:p>
              </w:tc>
              <w:tc>
                <w:tcPr>
                  <w:tcW w:w="1710" w:type="pct"/>
                  <w:vAlign w:val="center"/>
                </w:tcPr>
                <w:p>
                  <w:pPr>
                    <w:adjustRightInd w:val="0"/>
                    <w:snapToGrid w:val="0"/>
                    <w:jc w:val="center"/>
                    <w:rPr>
                      <w:szCs w:val="21"/>
                      <w:u w:val="single"/>
                    </w:rPr>
                  </w:pPr>
                  <w:r>
                    <w:rPr>
                      <w:szCs w:val="21"/>
                      <w:u w:val="single"/>
                    </w:rPr>
                    <w:t>采取基础减振等措施</w:t>
                  </w:r>
                </w:p>
              </w:tc>
              <w:tc>
                <w:tcPr>
                  <w:tcW w:w="745" w:type="pct"/>
                  <w:vAlign w:val="center"/>
                </w:tcPr>
                <w:p>
                  <w:pPr>
                    <w:adjustRightInd w:val="0"/>
                    <w:snapToGrid w:val="0"/>
                    <w:jc w:val="center"/>
                    <w:rPr>
                      <w:szCs w:val="21"/>
                      <w:u w:val="single"/>
                    </w:rPr>
                  </w:pPr>
                  <w:r>
                    <w:rPr>
                      <w:rFonts w:hint="eastAsia"/>
                      <w:szCs w:val="21"/>
                      <w:u w:val="single"/>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660" w:type="pct"/>
                  <w:vMerge w:val="continue"/>
                  <w:vAlign w:val="center"/>
                </w:tcPr>
                <w:p>
                  <w:pPr>
                    <w:adjustRightInd w:val="0"/>
                    <w:snapToGrid w:val="0"/>
                    <w:jc w:val="center"/>
                    <w:rPr>
                      <w:szCs w:val="21"/>
                      <w:u w:val="single"/>
                    </w:rPr>
                  </w:pPr>
                </w:p>
              </w:tc>
              <w:tc>
                <w:tcPr>
                  <w:tcW w:w="555" w:type="pct"/>
                  <w:vAlign w:val="center"/>
                </w:tcPr>
                <w:p>
                  <w:pPr>
                    <w:adjustRightInd w:val="0"/>
                    <w:snapToGrid w:val="0"/>
                    <w:jc w:val="center"/>
                    <w:rPr>
                      <w:szCs w:val="21"/>
                      <w:u w:val="single"/>
                    </w:rPr>
                  </w:pPr>
                  <w:r>
                    <w:rPr>
                      <w:rFonts w:hint="eastAsia"/>
                      <w:szCs w:val="21"/>
                      <w:u w:val="single"/>
                    </w:rPr>
                    <w:t>稻蛙蛙鸣</w:t>
                  </w:r>
                </w:p>
              </w:tc>
              <w:tc>
                <w:tcPr>
                  <w:tcW w:w="444" w:type="pct"/>
                  <w:vAlign w:val="center"/>
                </w:tcPr>
                <w:p>
                  <w:pPr>
                    <w:adjustRightInd w:val="0"/>
                    <w:snapToGrid w:val="0"/>
                    <w:jc w:val="center"/>
                    <w:rPr>
                      <w:szCs w:val="21"/>
                      <w:u w:val="single"/>
                    </w:rPr>
                  </w:pPr>
                  <w:r>
                    <w:rPr>
                      <w:rFonts w:hint="eastAsia"/>
                      <w:szCs w:val="21"/>
                      <w:u w:val="single"/>
                    </w:rPr>
                    <w:t>162.4‬</w:t>
                  </w:r>
                </w:p>
              </w:tc>
              <w:tc>
                <w:tcPr>
                  <w:tcW w:w="316" w:type="pct"/>
                  <w:vAlign w:val="center"/>
                </w:tcPr>
                <w:p>
                  <w:pPr>
                    <w:adjustRightInd w:val="0"/>
                    <w:snapToGrid w:val="0"/>
                    <w:jc w:val="center"/>
                    <w:rPr>
                      <w:szCs w:val="21"/>
                      <w:u w:val="single"/>
                    </w:rPr>
                  </w:pPr>
                  <w:r>
                    <w:rPr>
                      <w:rFonts w:hint="eastAsia"/>
                      <w:szCs w:val="21"/>
                      <w:u w:val="single"/>
                    </w:rPr>
                    <w:t>吨</w:t>
                  </w:r>
                </w:p>
              </w:tc>
              <w:tc>
                <w:tcPr>
                  <w:tcW w:w="567" w:type="pct"/>
                  <w:vAlign w:val="center"/>
                </w:tcPr>
                <w:p>
                  <w:pPr>
                    <w:adjustRightInd w:val="0"/>
                    <w:snapToGrid w:val="0"/>
                    <w:jc w:val="center"/>
                    <w:rPr>
                      <w:szCs w:val="21"/>
                      <w:u w:val="single"/>
                    </w:rPr>
                  </w:pPr>
                  <w:r>
                    <w:rPr>
                      <w:rFonts w:hint="eastAsia"/>
                      <w:szCs w:val="21"/>
                      <w:u w:val="single"/>
                    </w:rPr>
                    <w:t>70</w:t>
                  </w:r>
                </w:p>
              </w:tc>
              <w:tc>
                <w:tcPr>
                  <w:tcW w:w="1710" w:type="pct"/>
                  <w:vAlign w:val="center"/>
                </w:tcPr>
                <w:p>
                  <w:pPr>
                    <w:adjustRightInd w:val="0"/>
                    <w:snapToGrid w:val="0"/>
                    <w:jc w:val="center"/>
                    <w:rPr>
                      <w:szCs w:val="21"/>
                      <w:u w:val="single"/>
                    </w:rPr>
                  </w:pPr>
                  <w:r>
                    <w:rPr>
                      <w:szCs w:val="21"/>
                      <w:u w:val="single"/>
                    </w:rPr>
                    <w:t>在靠近</w:t>
                  </w:r>
                  <w:r>
                    <w:rPr>
                      <w:rFonts w:hint="eastAsia"/>
                      <w:szCs w:val="21"/>
                      <w:u w:val="single"/>
                    </w:rPr>
                    <w:t>居民</w:t>
                  </w:r>
                  <w:r>
                    <w:rPr>
                      <w:szCs w:val="21"/>
                      <w:u w:val="single"/>
                    </w:rPr>
                    <w:t>一侧厂界种植绿化及加装围墙等降噪措施</w:t>
                  </w:r>
                </w:p>
              </w:tc>
              <w:tc>
                <w:tcPr>
                  <w:tcW w:w="745" w:type="pct"/>
                  <w:vAlign w:val="center"/>
                </w:tcPr>
                <w:p>
                  <w:pPr>
                    <w:adjustRightInd w:val="0"/>
                    <w:snapToGrid w:val="0"/>
                    <w:jc w:val="center"/>
                    <w:rPr>
                      <w:szCs w:val="21"/>
                      <w:u w:val="single"/>
                    </w:rPr>
                  </w:pPr>
                  <w:r>
                    <w:rPr>
                      <w:rFonts w:hint="eastAsia"/>
                      <w:szCs w:val="21"/>
                      <w:u w:val="single"/>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660" w:type="pct"/>
                  <w:vMerge w:val="continue"/>
                  <w:vAlign w:val="center"/>
                </w:tcPr>
                <w:p>
                  <w:pPr>
                    <w:adjustRightInd w:val="0"/>
                    <w:snapToGrid w:val="0"/>
                    <w:jc w:val="center"/>
                    <w:rPr>
                      <w:szCs w:val="21"/>
                      <w:u w:val="single"/>
                    </w:rPr>
                  </w:pPr>
                </w:p>
              </w:tc>
              <w:tc>
                <w:tcPr>
                  <w:tcW w:w="555" w:type="pct"/>
                  <w:vAlign w:val="center"/>
                </w:tcPr>
                <w:p>
                  <w:pPr>
                    <w:adjustRightInd w:val="0"/>
                    <w:snapToGrid w:val="0"/>
                    <w:jc w:val="center"/>
                    <w:rPr>
                      <w:szCs w:val="21"/>
                      <w:u w:val="single"/>
                    </w:rPr>
                  </w:pPr>
                  <w:r>
                    <w:rPr>
                      <w:rFonts w:hint="eastAsia"/>
                      <w:szCs w:val="21"/>
                      <w:u w:val="single"/>
                    </w:rPr>
                    <w:t>拌料机</w:t>
                  </w:r>
                </w:p>
              </w:tc>
              <w:tc>
                <w:tcPr>
                  <w:tcW w:w="444" w:type="pct"/>
                  <w:vAlign w:val="center"/>
                </w:tcPr>
                <w:p>
                  <w:pPr>
                    <w:adjustRightInd w:val="0"/>
                    <w:snapToGrid w:val="0"/>
                    <w:jc w:val="center"/>
                    <w:rPr>
                      <w:szCs w:val="21"/>
                      <w:u w:val="single"/>
                    </w:rPr>
                  </w:pPr>
                  <w:r>
                    <w:rPr>
                      <w:rFonts w:hint="eastAsia"/>
                      <w:szCs w:val="21"/>
                      <w:u w:val="single"/>
                    </w:rPr>
                    <w:t>2</w:t>
                  </w:r>
                </w:p>
              </w:tc>
              <w:tc>
                <w:tcPr>
                  <w:tcW w:w="316" w:type="pct"/>
                  <w:vAlign w:val="center"/>
                </w:tcPr>
                <w:p>
                  <w:pPr>
                    <w:adjustRightInd w:val="0"/>
                    <w:snapToGrid w:val="0"/>
                    <w:jc w:val="center"/>
                    <w:rPr>
                      <w:szCs w:val="21"/>
                      <w:u w:val="single"/>
                    </w:rPr>
                  </w:pPr>
                  <w:r>
                    <w:rPr>
                      <w:szCs w:val="21"/>
                      <w:u w:val="single"/>
                    </w:rPr>
                    <w:t>台</w:t>
                  </w:r>
                </w:p>
              </w:tc>
              <w:tc>
                <w:tcPr>
                  <w:tcW w:w="567" w:type="pct"/>
                  <w:vAlign w:val="center"/>
                </w:tcPr>
                <w:p>
                  <w:pPr>
                    <w:adjustRightInd w:val="0"/>
                    <w:snapToGrid w:val="0"/>
                    <w:jc w:val="center"/>
                    <w:rPr>
                      <w:szCs w:val="21"/>
                      <w:u w:val="single"/>
                    </w:rPr>
                  </w:pPr>
                  <w:r>
                    <w:rPr>
                      <w:rFonts w:hint="eastAsia"/>
                      <w:szCs w:val="21"/>
                      <w:u w:val="single"/>
                    </w:rPr>
                    <w:t>65</w:t>
                  </w:r>
                </w:p>
              </w:tc>
              <w:tc>
                <w:tcPr>
                  <w:tcW w:w="1710" w:type="pct"/>
                  <w:vAlign w:val="center"/>
                </w:tcPr>
                <w:p>
                  <w:pPr>
                    <w:adjustRightInd w:val="0"/>
                    <w:snapToGrid w:val="0"/>
                    <w:jc w:val="center"/>
                    <w:rPr>
                      <w:szCs w:val="21"/>
                      <w:u w:val="single"/>
                    </w:rPr>
                  </w:pPr>
                  <w:r>
                    <w:rPr>
                      <w:szCs w:val="21"/>
                      <w:u w:val="single"/>
                    </w:rPr>
                    <w:t>采取基础减振等措施</w:t>
                  </w:r>
                </w:p>
              </w:tc>
              <w:tc>
                <w:tcPr>
                  <w:tcW w:w="745" w:type="pct"/>
                  <w:vAlign w:val="center"/>
                </w:tcPr>
                <w:p>
                  <w:pPr>
                    <w:adjustRightInd w:val="0"/>
                    <w:snapToGrid w:val="0"/>
                    <w:jc w:val="center"/>
                    <w:rPr>
                      <w:szCs w:val="21"/>
                      <w:u w:val="single"/>
                    </w:rPr>
                  </w:pPr>
                  <w:r>
                    <w:rPr>
                      <w:rFonts w:hint="eastAsia"/>
                      <w:szCs w:val="21"/>
                      <w:u w:val="single"/>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4254" w:type="pct"/>
                  <w:gridSpan w:val="6"/>
                  <w:vAlign w:val="center"/>
                </w:tcPr>
                <w:p>
                  <w:pPr>
                    <w:adjustRightInd w:val="0"/>
                    <w:snapToGrid w:val="0"/>
                    <w:jc w:val="center"/>
                    <w:rPr>
                      <w:szCs w:val="21"/>
                      <w:u w:val="single"/>
                    </w:rPr>
                  </w:pPr>
                  <w:r>
                    <w:rPr>
                      <w:rFonts w:hint="eastAsia"/>
                      <w:szCs w:val="21"/>
                      <w:u w:val="single"/>
                    </w:rPr>
                    <w:t>叠加值</w:t>
                  </w:r>
                </w:p>
              </w:tc>
              <w:tc>
                <w:tcPr>
                  <w:tcW w:w="745" w:type="pct"/>
                  <w:vAlign w:val="center"/>
                </w:tcPr>
                <w:p>
                  <w:pPr>
                    <w:adjustRightInd w:val="0"/>
                    <w:snapToGrid w:val="0"/>
                    <w:jc w:val="center"/>
                    <w:rPr>
                      <w:szCs w:val="21"/>
                      <w:u w:val="single"/>
                    </w:rPr>
                  </w:pPr>
                  <w:r>
                    <w:rPr>
                      <w:szCs w:val="21"/>
                      <w:u w:val="single"/>
                    </w:rPr>
                    <w:t>66.26</w:t>
                  </w:r>
                </w:p>
              </w:tc>
            </w:tr>
          </w:tbl>
          <w:p>
            <w:pPr>
              <w:adjustRightInd w:val="0"/>
              <w:snapToGrid w:val="0"/>
              <w:spacing w:line="360" w:lineRule="auto"/>
              <w:ind w:firstLine="480" w:firstLineChars="200"/>
              <w:rPr>
                <w:color w:val="000000"/>
                <w:sz w:val="24"/>
                <w:u w:val="single"/>
              </w:rPr>
            </w:pPr>
            <w:r>
              <w:rPr>
                <w:color w:val="000000"/>
                <w:sz w:val="24"/>
                <w:u w:val="single"/>
              </w:rPr>
              <w:t>多个等效噪声源叠加的噪声计算公式如下：</w:t>
            </w:r>
          </w:p>
          <w:p>
            <w:pPr>
              <w:tabs>
                <w:tab w:val="left" w:pos="480"/>
              </w:tabs>
              <w:adjustRightInd w:val="0"/>
              <w:snapToGrid w:val="0"/>
              <w:spacing w:line="360" w:lineRule="auto"/>
              <w:ind w:firstLine="480" w:firstLineChars="200"/>
              <w:jc w:val="center"/>
              <w:rPr>
                <w:color w:val="000000"/>
                <w:sz w:val="24"/>
                <w:u w:val="single"/>
              </w:rPr>
            </w:pPr>
            <w:r>
              <w:rPr>
                <w:color w:val="000000"/>
                <w:sz w:val="24"/>
                <w:u w:val="single"/>
              </w:rPr>
              <w:object>
                <v:shape id="_x0000_i1026" o:spt="75" type="#_x0000_t75" style="height:36pt;width:108pt;" o:ole="t" filled="f" o:preferrelative="t" stroked="f" coordsize="21600,21600">
                  <v:path/>
                  <v:fill on="f" focussize="0,0"/>
                  <v:stroke on="f" joinstyle="miter"/>
                  <v:imagedata r:id="rId13" o:title=""/>
                  <o:lock v:ext="edit" aspectratio="t"/>
                  <w10:wrap type="none"/>
                  <w10:anchorlock/>
                </v:shape>
                <o:OLEObject Type="Embed" ProgID="Equation.3" ShapeID="_x0000_i1026" DrawAspect="Content" ObjectID="_1468075726" r:id="rId12">
                  <o:LockedField>false</o:LockedField>
                </o:OLEObject>
              </w:object>
            </w:r>
          </w:p>
          <w:p>
            <w:pPr>
              <w:tabs>
                <w:tab w:val="left" w:pos="480"/>
              </w:tabs>
              <w:adjustRightInd w:val="0"/>
              <w:snapToGrid w:val="0"/>
              <w:spacing w:line="360" w:lineRule="auto"/>
              <w:ind w:firstLine="480" w:firstLineChars="200"/>
              <w:rPr>
                <w:color w:val="000000"/>
                <w:sz w:val="24"/>
                <w:u w:val="single"/>
              </w:rPr>
            </w:pPr>
            <w:r>
              <w:rPr>
                <w:color w:val="000000"/>
                <w:sz w:val="24"/>
                <w:u w:val="single"/>
              </w:rPr>
              <w:t>式中：</w:t>
            </w:r>
            <w:r>
              <w:rPr>
                <w:color w:val="000000"/>
                <w:sz w:val="24"/>
                <w:u w:val="single"/>
              </w:rPr>
              <w:object>
                <v:shape id="_x0000_i1027" o:spt="75" type="#_x0000_t75" style="height:14.4pt;width:14.4pt;" o:ole="t" filled="f" o:preferrelative="t" stroked="f" coordsize="21600,21600">
                  <v:path/>
                  <v:fill on="f" focussize="0,0"/>
                  <v:stroke on="f" joinstyle="miter"/>
                  <v:imagedata r:id="rId15" o:title=""/>
                  <o:lock v:ext="edit" aspectratio="t"/>
                  <w10:wrap type="none"/>
                  <w10:anchorlock/>
                </v:shape>
                <o:OLEObject Type="Embed" ProgID="Equation.3" ShapeID="_x0000_i1027" DrawAspect="Content" ObjectID="_1468075727" r:id="rId14">
                  <o:LockedField>false</o:LockedField>
                </o:OLEObject>
              </w:object>
            </w:r>
            <w:r>
              <w:rPr>
                <w:color w:val="000000"/>
                <w:sz w:val="24"/>
                <w:u w:val="single"/>
              </w:rPr>
              <w:t>—多个噪声源叠加的等效噪声源声级，dB（A）；</w:t>
            </w:r>
          </w:p>
          <w:p>
            <w:pPr>
              <w:tabs>
                <w:tab w:val="left" w:pos="480"/>
              </w:tabs>
              <w:adjustRightInd w:val="0"/>
              <w:snapToGrid w:val="0"/>
              <w:spacing w:line="360" w:lineRule="auto"/>
              <w:ind w:firstLine="480" w:firstLineChars="200"/>
              <w:rPr>
                <w:color w:val="000000"/>
                <w:sz w:val="24"/>
                <w:u w:val="single"/>
              </w:rPr>
            </w:pPr>
            <w:r>
              <w:rPr>
                <w:color w:val="000000"/>
                <w:sz w:val="24"/>
                <w:u w:val="single"/>
              </w:rPr>
              <w:object>
                <v:shape id="_x0000_i1028" o:spt="75" type="#_x0000_t75" style="height:21.6pt;width:14.4pt;" o:ole="t" filled="f" o:preferrelative="t" stroked="f" coordsize="21600,21600">
                  <v:path/>
                  <v:fill on="f" focussize="0,0"/>
                  <v:stroke on="f" joinstyle="miter"/>
                  <v:imagedata r:id="rId17" o:title=""/>
                  <o:lock v:ext="edit" aspectratio="t"/>
                  <w10:wrap type="none"/>
                  <w10:anchorlock/>
                </v:shape>
                <o:OLEObject Type="Embed" ProgID="Equation.3" ShapeID="_x0000_i1028" DrawAspect="Content" ObjectID="_1468075728" r:id="rId16">
                  <o:LockedField>false</o:LockedField>
                </o:OLEObject>
              </w:object>
            </w:r>
            <w:r>
              <w:rPr>
                <w:color w:val="000000"/>
                <w:sz w:val="24"/>
                <w:u w:val="single"/>
              </w:rPr>
              <w:t>—第I个噪声源的声级，dB（A）；</w:t>
            </w:r>
          </w:p>
          <w:p>
            <w:pPr>
              <w:tabs>
                <w:tab w:val="left" w:pos="480"/>
              </w:tabs>
              <w:adjustRightInd w:val="0"/>
              <w:snapToGrid w:val="0"/>
              <w:spacing w:line="360" w:lineRule="auto"/>
              <w:ind w:firstLine="480" w:firstLineChars="200"/>
              <w:rPr>
                <w:color w:val="000000"/>
                <w:sz w:val="24"/>
                <w:u w:val="single"/>
              </w:rPr>
            </w:pPr>
            <w:r>
              <w:rPr>
                <w:color w:val="000000"/>
                <w:sz w:val="24"/>
                <w:u w:val="single"/>
              </w:rPr>
              <w:object>
                <v:shape id="_x0000_i1029" o:spt="75" type="#_x0000_t75" style="height:14.4pt;width:7.2pt;" o:ole="t" filled="f" o:preferrelative="t" stroked="f" coordsize="21600,21600">
                  <v:path/>
                  <v:fill on="f" focussize="0,0"/>
                  <v:stroke on="f" joinstyle="miter"/>
                  <v:imagedata r:id="rId19" o:title=""/>
                  <o:lock v:ext="edit" aspectratio="t"/>
                  <w10:wrap type="none"/>
                  <w10:anchorlock/>
                </v:shape>
                <o:OLEObject Type="Embed" ProgID="Equation.3" ShapeID="_x0000_i1029" DrawAspect="Content" ObjectID="_1468075729" r:id="rId18">
                  <o:LockedField>false</o:LockedField>
                </o:OLEObject>
              </w:object>
            </w:r>
            <w:r>
              <w:rPr>
                <w:color w:val="000000"/>
                <w:sz w:val="24"/>
                <w:u w:val="single"/>
              </w:rPr>
              <w:t>—噪声源的个数。</w:t>
            </w:r>
          </w:p>
          <w:p>
            <w:pPr>
              <w:tabs>
                <w:tab w:val="left" w:pos="480"/>
              </w:tabs>
              <w:adjustRightInd w:val="0"/>
              <w:snapToGrid w:val="0"/>
              <w:spacing w:line="360" w:lineRule="auto"/>
              <w:ind w:firstLine="480" w:firstLineChars="200"/>
              <w:rPr>
                <w:color w:val="000000"/>
                <w:sz w:val="24"/>
                <w:u w:val="single"/>
              </w:rPr>
            </w:pPr>
            <w:r>
              <w:rPr>
                <w:color w:val="000000"/>
                <w:sz w:val="24"/>
                <w:u w:val="single"/>
              </w:rPr>
              <w:t>对运营期噪声采用点源模式进行预测，点源衰减模式为：</w:t>
            </w:r>
          </w:p>
          <w:p>
            <w:pPr>
              <w:adjustRightInd w:val="0"/>
              <w:snapToGrid w:val="0"/>
              <w:spacing w:line="360" w:lineRule="auto"/>
              <w:ind w:firstLine="480" w:firstLineChars="200"/>
              <w:jc w:val="center"/>
              <w:rPr>
                <w:color w:val="000000"/>
                <w:sz w:val="24"/>
                <w:u w:val="single"/>
              </w:rPr>
            </w:pPr>
            <w:r>
              <w:rPr>
                <w:color w:val="000000"/>
                <w:sz w:val="24"/>
                <w:u w:val="single"/>
              </w:rPr>
              <w:t>Lp（r）=Lp（r0）-20lg（r/r0）-△L</w:t>
            </w:r>
          </w:p>
          <w:p>
            <w:pPr>
              <w:adjustRightInd w:val="0"/>
              <w:snapToGrid w:val="0"/>
              <w:spacing w:line="360" w:lineRule="auto"/>
              <w:ind w:firstLine="480" w:firstLineChars="200"/>
              <w:rPr>
                <w:color w:val="000000"/>
                <w:sz w:val="24"/>
                <w:u w:val="single"/>
              </w:rPr>
            </w:pPr>
            <w:r>
              <w:rPr>
                <w:color w:val="000000"/>
                <w:sz w:val="24"/>
                <w:u w:val="single"/>
              </w:rPr>
              <w:t>式中：</w:t>
            </w:r>
          </w:p>
          <w:p>
            <w:pPr>
              <w:adjustRightInd w:val="0"/>
              <w:snapToGrid w:val="0"/>
              <w:spacing w:line="360" w:lineRule="auto"/>
              <w:ind w:firstLine="480" w:firstLineChars="200"/>
              <w:rPr>
                <w:color w:val="000000"/>
                <w:sz w:val="24"/>
                <w:u w:val="single"/>
              </w:rPr>
            </w:pPr>
            <w:r>
              <w:rPr>
                <w:color w:val="000000"/>
                <w:sz w:val="24"/>
                <w:u w:val="single"/>
              </w:rPr>
              <w:t>Lp（r）—距离声源r处的倍频带声压级，dB；</w:t>
            </w:r>
          </w:p>
          <w:p>
            <w:pPr>
              <w:adjustRightInd w:val="0"/>
              <w:snapToGrid w:val="0"/>
              <w:spacing w:line="360" w:lineRule="auto"/>
              <w:ind w:firstLine="480" w:firstLineChars="200"/>
              <w:rPr>
                <w:color w:val="000000"/>
                <w:sz w:val="24"/>
                <w:u w:val="single"/>
              </w:rPr>
            </w:pPr>
            <w:r>
              <w:rPr>
                <w:color w:val="000000"/>
                <w:sz w:val="24"/>
                <w:u w:val="single"/>
              </w:rPr>
              <w:t>Lp（r0）—参考位置r0处的倍频带声压级，dB；</w:t>
            </w:r>
          </w:p>
          <w:p>
            <w:pPr>
              <w:adjustRightInd w:val="0"/>
              <w:snapToGrid w:val="0"/>
              <w:spacing w:line="360" w:lineRule="auto"/>
              <w:ind w:firstLine="480" w:firstLineChars="200"/>
              <w:rPr>
                <w:color w:val="000000"/>
                <w:sz w:val="24"/>
                <w:u w:val="single"/>
              </w:rPr>
            </w:pPr>
            <w:r>
              <w:rPr>
                <w:color w:val="000000"/>
                <w:sz w:val="24"/>
                <w:u w:val="single"/>
              </w:rPr>
              <w:t>r0—参考位置距离声源的距离，m；</w:t>
            </w:r>
          </w:p>
          <w:p>
            <w:pPr>
              <w:adjustRightInd w:val="0"/>
              <w:snapToGrid w:val="0"/>
              <w:spacing w:line="360" w:lineRule="auto"/>
              <w:ind w:firstLine="480" w:firstLineChars="200"/>
              <w:rPr>
                <w:color w:val="000000"/>
                <w:sz w:val="24"/>
                <w:u w:val="single"/>
              </w:rPr>
            </w:pPr>
            <w:r>
              <w:rPr>
                <w:color w:val="000000"/>
                <w:sz w:val="24"/>
                <w:u w:val="single"/>
              </w:rPr>
              <w:t>r—预测点距离声源的距离，m。</w:t>
            </w:r>
          </w:p>
          <w:p>
            <w:pPr>
              <w:adjustRightInd w:val="0"/>
              <w:snapToGrid w:val="0"/>
              <w:spacing w:line="360" w:lineRule="auto"/>
              <w:ind w:firstLine="480" w:firstLineChars="200"/>
              <w:rPr>
                <w:color w:val="000000"/>
                <w:sz w:val="24"/>
                <w:u w:val="single"/>
              </w:rPr>
            </w:pPr>
            <w:r>
              <w:rPr>
                <w:color w:val="000000"/>
                <w:sz w:val="24"/>
                <w:u w:val="single"/>
              </w:rPr>
              <w:t>△L—各种因素引起的衰减量（包括声屏障屏蔽、遮挡物、空气吸收、地面效应等引起的衰减量），本评价计算过程△L取0。</w:t>
            </w:r>
          </w:p>
          <w:p>
            <w:pPr>
              <w:adjustRightInd w:val="0"/>
              <w:snapToGrid w:val="0"/>
              <w:spacing w:line="360" w:lineRule="auto"/>
              <w:ind w:firstLine="480" w:firstLineChars="200"/>
              <w:rPr>
                <w:snapToGrid w:val="0"/>
                <w:color w:val="000000"/>
                <w:sz w:val="24"/>
                <w:u w:val="single"/>
              </w:rPr>
            </w:pPr>
            <w:r>
              <w:rPr>
                <w:snapToGrid w:val="0"/>
                <w:color w:val="000000"/>
                <w:sz w:val="24"/>
                <w:u w:val="single"/>
              </w:rPr>
              <w:t>（2）预测结果分析</w:t>
            </w:r>
          </w:p>
          <w:p>
            <w:pPr>
              <w:adjustRightInd w:val="0"/>
              <w:snapToGrid w:val="0"/>
              <w:spacing w:line="360" w:lineRule="auto"/>
              <w:ind w:firstLine="480" w:firstLineChars="200"/>
              <w:rPr>
                <w:snapToGrid w:val="0"/>
                <w:color w:val="000000"/>
                <w:sz w:val="24"/>
                <w:u w:val="single"/>
              </w:rPr>
            </w:pPr>
            <w:r>
              <w:rPr>
                <w:rFonts w:hint="eastAsia"/>
                <w:color w:val="000000"/>
                <w:sz w:val="24"/>
                <w:u w:val="single"/>
              </w:rPr>
              <w:t>项目</w:t>
            </w:r>
            <w:r>
              <w:rPr>
                <w:color w:val="000000"/>
                <w:sz w:val="24"/>
                <w:u w:val="single"/>
              </w:rPr>
              <w:t>厂界东侧距生产</w:t>
            </w:r>
            <w:r>
              <w:rPr>
                <w:rFonts w:hint="eastAsia"/>
                <w:color w:val="000000"/>
                <w:sz w:val="24"/>
                <w:u w:val="single"/>
              </w:rPr>
              <w:t>区118</w:t>
            </w:r>
            <w:r>
              <w:rPr>
                <w:color w:val="000000"/>
                <w:sz w:val="24"/>
                <w:u w:val="single"/>
              </w:rPr>
              <w:t>m</w:t>
            </w:r>
            <w:r>
              <w:rPr>
                <w:rFonts w:hint="eastAsia"/>
                <w:color w:val="000000"/>
                <w:sz w:val="24"/>
                <w:u w:val="single"/>
              </w:rPr>
              <w:t>，</w:t>
            </w:r>
            <w:r>
              <w:rPr>
                <w:color w:val="000000"/>
                <w:sz w:val="24"/>
                <w:u w:val="single"/>
              </w:rPr>
              <w:t>西侧距生产区</w:t>
            </w:r>
            <w:r>
              <w:rPr>
                <w:rFonts w:hint="eastAsia"/>
                <w:color w:val="000000"/>
                <w:sz w:val="24"/>
                <w:u w:val="single"/>
              </w:rPr>
              <w:t>136</w:t>
            </w:r>
            <w:r>
              <w:rPr>
                <w:color w:val="000000"/>
                <w:sz w:val="24"/>
                <w:u w:val="single"/>
              </w:rPr>
              <w:t>m，南侧距生产区</w:t>
            </w:r>
            <w:r>
              <w:rPr>
                <w:rFonts w:hint="eastAsia"/>
                <w:color w:val="000000"/>
                <w:sz w:val="24"/>
                <w:u w:val="single"/>
              </w:rPr>
              <w:t>10</w:t>
            </w:r>
            <w:r>
              <w:rPr>
                <w:color w:val="000000"/>
                <w:sz w:val="24"/>
                <w:u w:val="single"/>
              </w:rPr>
              <w:t>m</w:t>
            </w:r>
            <w:r>
              <w:rPr>
                <w:rFonts w:hint="eastAsia"/>
                <w:color w:val="000000"/>
                <w:sz w:val="24"/>
                <w:u w:val="single"/>
              </w:rPr>
              <w:t>，北</w:t>
            </w:r>
            <w:r>
              <w:rPr>
                <w:color w:val="000000"/>
                <w:sz w:val="24"/>
                <w:u w:val="single"/>
              </w:rPr>
              <w:t>侧距生产区</w:t>
            </w:r>
            <w:r>
              <w:rPr>
                <w:rFonts w:hint="eastAsia"/>
                <w:color w:val="000000"/>
                <w:sz w:val="24"/>
                <w:u w:val="single"/>
              </w:rPr>
              <w:t>10</w:t>
            </w:r>
            <w:r>
              <w:rPr>
                <w:color w:val="000000"/>
                <w:sz w:val="24"/>
                <w:u w:val="single"/>
              </w:rPr>
              <w:t>m。现对本项目厂界噪声进行预测，</w:t>
            </w:r>
            <w:r>
              <w:rPr>
                <w:snapToGrid w:val="0"/>
                <w:color w:val="000000"/>
                <w:sz w:val="24"/>
                <w:u w:val="single"/>
              </w:rPr>
              <w:t>噪声预测结果见下表。</w:t>
            </w:r>
          </w:p>
          <w:p>
            <w:pPr>
              <w:adjustRightInd w:val="0"/>
              <w:snapToGrid w:val="0"/>
              <w:jc w:val="center"/>
              <w:rPr>
                <w:szCs w:val="21"/>
                <w:u w:val="single"/>
              </w:rPr>
            </w:pPr>
            <w:r>
              <w:rPr>
                <w:b/>
                <w:bCs/>
                <w:szCs w:val="21"/>
                <w:u w:val="single"/>
              </w:rPr>
              <w:t>表4-</w:t>
            </w:r>
            <w:r>
              <w:rPr>
                <w:rFonts w:hint="eastAsia"/>
                <w:b/>
                <w:bCs/>
                <w:szCs w:val="21"/>
                <w:u w:val="single"/>
              </w:rPr>
              <w:t>2</w:t>
            </w:r>
            <w:r>
              <w:rPr>
                <w:b/>
                <w:bCs/>
                <w:szCs w:val="21"/>
                <w:u w:val="single"/>
              </w:rPr>
              <w:t xml:space="preserve"> 项目营运期厂界噪声贡献值及达标情况</w:t>
            </w:r>
          </w:p>
          <w:tbl>
            <w:tblPr>
              <w:tblStyle w:val="2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
              <w:gridCol w:w="1031"/>
              <w:gridCol w:w="703"/>
              <w:gridCol w:w="708"/>
              <w:gridCol w:w="782"/>
              <w:gridCol w:w="1041"/>
              <w:gridCol w:w="1041"/>
              <w:gridCol w:w="1088"/>
              <w:gridCol w:w="1070"/>
              <w:gridCol w:w="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255" w:type="pct"/>
                  <w:vMerge w:val="restart"/>
                  <w:vAlign w:val="center"/>
                </w:tcPr>
                <w:p>
                  <w:pPr>
                    <w:adjustRightInd w:val="0"/>
                    <w:snapToGrid w:val="0"/>
                    <w:jc w:val="center"/>
                    <w:rPr>
                      <w:szCs w:val="21"/>
                      <w:u w:val="single"/>
                    </w:rPr>
                  </w:pPr>
                  <w:r>
                    <w:rPr>
                      <w:szCs w:val="21"/>
                      <w:u w:val="single"/>
                    </w:rPr>
                    <w:t>序号</w:t>
                  </w:r>
                </w:p>
              </w:tc>
              <w:tc>
                <w:tcPr>
                  <w:tcW w:w="654" w:type="pct"/>
                  <w:vMerge w:val="restart"/>
                  <w:vAlign w:val="center"/>
                </w:tcPr>
                <w:p>
                  <w:pPr>
                    <w:adjustRightInd w:val="0"/>
                    <w:snapToGrid w:val="0"/>
                    <w:jc w:val="center"/>
                    <w:rPr>
                      <w:szCs w:val="21"/>
                      <w:u w:val="single"/>
                    </w:rPr>
                  </w:pPr>
                  <w:r>
                    <w:rPr>
                      <w:szCs w:val="21"/>
                      <w:u w:val="single"/>
                    </w:rPr>
                    <w:t>厂界方位</w:t>
                  </w:r>
                </w:p>
              </w:tc>
              <w:tc>
                <w:tcPr>
                  <w:tcW w:w="897" w:type="pct"/>
                  <w:gridSpan w:val="2"/>
                  <w:vAlign w:val="center"/>
                </w:tcPr>
                <w:p>
                  <w:pPr>
                    <w:adjustRightInd w:val="0"/>
                    <w:snapToGrid w:val="0"/>
                    <w:jc w:val="center"/>
                    <w:rPr>
                      <w:szCs w:val="21"/>
                      <w:u w:val="single"/>
                    </w:rPr>
                  </w:pPr>
                  <w:r>
                    <w:rPr>
                      <w:szCs w:val="21"/>
                      <w:u w:val="single"/>
                    </w:rPr>
                    <w:t>背景值</w:t>
                  </w:r>
                </w:p>
              </w:tc>
              <w:tc>
                <w:tcPr>
                  <w:tcW w:w="497" w:type="pct"/>
                  <w:vMerge w:val="restart"/>
                  <w:vAlign w:val="center"/>
                </w:tcPr>
                <w:p>
                  <w:pPr>
                    <w:adjustRightInd w:val="0"/>
                    <w:snapToGrid w:val="0"/>
                    <w:jc w:val="center"/>
                    <w:rPr>
                      <w:szCs w:val="21"/>
                      <w:u w:val="single"/>
                    </w:rPr>
                  </w:pPr>
                  <w:r>
                    <w:rPr>
                      <w:szCs w:val="21"/>
                      <w:u w:val="single"/>
                    </w:rPr>
                    <w:t>贡献值</w:t>
                  </w:r>
                </w:p>
              </w:tc>
              <w:tc>
                <w:tcPr>
                  <w:tcW w:w="1320" w:type="pct"/>
                  <w:gridSpan w:val="2"/>
                  <w:vAlign w:val="center"/>
                </w:tcPr>
                <w:p>
                  <w:pPr>
                    <w:adjustRightInd w:val="0"/>
                    <w:snapToGrid w:val="0"/>
                    <w:jc w:val="center"/>
                    <w:rPr>
                      <w:szCs w:val="21"/>
                      <w:u w:val="single"/>
                    </w:rPr>
                  </w:pPr>
                  <w:r>
                    <w:rPr>
                      <w:szCs w:val="21"/>
                      <w:u w:val="single"/>
                    </w:rPr>
                    <w:t>叠加值</w:t>
                  </w:r>
                </w:p>
              </w:tc>
              <w:tc>
                <w:tcPr>
                  <w:tcW w:w="1374" w:type="pct"/>
                  <w:gridSpan w:val="3"/>
                  <w:vAlign w:val="center"/>
                </w:tcPr>
                <w:p>
                  <w:pPr>
                    <w:adjustRightInd w:val="0"/>
                    <w:snapToGrid w:val="0"/>
                    <w:jc w:val="center"/>
                    <w:rPr>
                      <w:szCs w:val="21"/>
                      <w:u w:val="single"/>
                    </w:rPr>
                  </w:pPr>
                  <w:r>
                    <w:rPr>
                      <w:szCs w:val="21"/>
                      <w:u w:val="single"/>
                    </w:rPr>
                    <w:t>标准值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pct"/>
                <w:trHeight w:val="363" w:hRule="atLeast"/>
              </w:trPr>
              <w:tc>
                <w:tcPr>
                  <w:tcW w:w="255" w:type="pct"/>
                  <w:vMerge w:val="continue"/>
                  <w:vAlign w:val="center"/>
                </w:tcPr>
                <w:p>
                  <w:pPr>
                    <w:adjustRightInd w:val="0"/>
                    <w:snapToGrid w:val="0"/>
                    <w:jc w:val="center"/>
                    <w:rPr>
                      <w:szCs w:val="21"/>
                      <w:u w:val="single"/>
                    </w:rPr>
                  </w:pPr>
                </w:p>
              </w:tc>
              <w:tc>
                <w:tcPr>
                  <w:tcW w:w="654" w:type="pct"/>
                  <w:vMerge w:val="continue"/>
                  <w:vAlign w:val="center"/>
                </w:tcPr>
                <w:p>
                  <w:pPr>
                    <w:adjustRightInd w:val="0"/>
                    <w:snapToGrid w:val="0"/>
                    <w:jc w:val="center"/>
                    <w:rPr>
                      <w:szCs w:val="21"/>
                      <w:u w:val="single"/>
                    </w:rPr>
                  </w:pPr>
                </w:p>
              </w:tc>
              <w:tc>
                <w:tcPr>
                  <w:tcW w:w="447" w:type="pct"/>
                  <w:vAlign w:val="center"/>
                </w:tcPr>
                <w:p>
                  <w:pPr>
                    <w:adjustRightInd w:val="0"/>
                    <w:snapToGrid w:val="0"/>
                    <w:jc w:val="center"/>
                    <w:rPr>
                      <w:szCs w:val="21"/>
                      <w:u w:val="single"/>
                    </w:rPr>
                  </w:pPr>
                  <w:r>
                    <w:rPr>
                      <w:szCs w:val="21"/>
                      <w:u w:val="single"/>
                    </w:rPr>
                    <w:t>昼间</w:t>
                  </w:r>
                </w:p>
              </w:tc>
              <w:tc>
                <w:tcPr>
                  <w:tcW w:w="449" w:type="pct"/>
                  <w:vAlign w:val="center"/>
                </w:tcPr>
                <w:p>
                  <w:pPr>
                    <w:adjustRightInd w:val="0"/>
                    <w:snapToGrid w:val="0"/>
                    <w:jc w:val="center"/>
                    <w:rPr>
                      <w:szCs w:val="21"/>
                      <w:u w:val="single"/>
                    </w:rPr>
                  </w:pPr>
                  <w:r>
                    <w:rPr>
                      <w:rFonts w:hint="eastAsia"/>
                      <w:szCs w:val="21"/>
                      <w:u w:val="single"/>
                    </w:rPr>
                    <w:t>夜间</w:t>
                  </w:r>
                </w:p>
              </w:tc>
              <w:tc>
                <w:tcPr>
                  <w:tcW w:w="497" w:type="pct"/>
                  <w:vMerge w:val="continue"/>
                  <w:vAlign w:val="center"/>
                </w:tcPr>
                <w:p>
                  <w:pPr>
                    <w:adjustRightInd w:val="0"/>
                    <w:snapToGrid w:val="0"/>
                    <w:jc w:val="center"/>
                    <w:rPr>
                      <w:szCs w:val="21"/>
                      <w:u w:val="single"/>
                    </w:rPr>
                  </w:pPr>
                </w:p>
              </w:tc>
              <w:tc>
                <w:tcPr>
                  <w:tcW w:w="660" w:type="pct"/>
                  <w:vAlign w:val="center"/>
                </w:tcPr>
                <w:p>
                  <w:pPr>
                    <w:adjustRightInd w:val="0"/>
                    <w:snapToGrid w:val="0"/>
                    <w:jc w:val="center"/>
                    <w:rPr>
                      <w:szCs w:val="21"/>
                      <w:u w:val="single"/>
                    </w:rPr>
                  </w:pPr>
                  <w:r>
                    <w:rPr>
                      <w:szCs w:val="21"/>
                      <w:u w:val="single"/>
                    </w:rPr>
                    <w:t>昼间</w:t>
                  </w:r>
                </w:p>
              </w:tc>
              <w:tc>
                <w:tcPr>
                  <w:tcW w:w="660" w:type="pct"/>
                  <w:vAlign w:val="center"/>
                </w:tcPr>
                <w:p>
                  <w:pPr>
                    <w:adjustRightInd w:val="0"/>
                    <w:snapToGrid w:val="0"/>
                    <w:jc w:val="center"/>
                    <w:rPr>
                      <w:szCs w:val="21"/>
                      <w:u w:val="single"/>
                    </w:rPr>
                  </w:pPr>
                  <w:r>
                    <w:rPr>
                      <w:rFonts w:hint="eastAsia"/>
                      <w:szCs w:val="21"/>
                      <w:u w:val="single"/>
                    </w:rPr>
                    <w:t>夜间</w:t>
                  </w:r>
                </w:p>
              </w:tc>
              <w:tc>
                <w:tcPr>
                  <w:tcW w:w="690" w:type="pct"/>
                  <w:vAlign w:val="center"/>
                </w:tcPr>
                <w:p>
                  <w:pPr>
                    <w:adjustRightInd w:val="0"/>
                    <w:snapToGrid w:val="0"/>
                    <w:jc w:val="center"/>
                    <w:rPr>
                      <w:szCs w:val="21"/>
                      <w:u w:val="single"/>
                    </w:rPr>
                  </w:pPr>
                  <w:r>
                    <w:rPr>
                      <w:szCs w:val="21"/>
                      <w:u w:val="single"/>
                    </w:rPr>
                    <w:t>昼间</w:t>
                  </w:r>
                </w:p>
              </w:tc>
              <w:tc>
                <w:tcPr>
                  <w:tcW w:w="678" w:type="pct"/>
                  <w:vAlign w:val="center"/>
                </w:tcPr>
                <w:p>
                  <w:pPr>
                    <w:adjustRightInd w:val="0"/>
                    <w:snapToGrid w:val="0"/>
                    <w:jc w:val="center"/>
                    <w:rPr>
                      <w:szCs w:val="21"/>
                      <w:u w:val="single"/>
                    </w:rPr>
                  </w:pPr>
                  <w:r>
                    <w:rPr>
                      <w:rFonts w:hint="eastAsia"/>
                      <w:szCs w:val="21"/>
                      <w:u w:val="single"/>
                    </w:rPr>
                    <w:t>夜间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pct"/>
              </w:trPr>
              <w:tc>
                <w:tcPr>
                  <w:tcW w:w="255" w:type="pct"/>
                  <w:vAlign w:val="center"/>
                </w:tcPr>
                <w:p>
                  <w:pPr>
                    <w:adjustRightInd w:val="0"/>
                    <w:snapToGrid w:val="0"/>
                    <w:jc w:val="center"/>
                    <w:rPr>
                      <w:szCs w:val="21"/>
                      <w:u w:val="single"/>
                    </w:rPr>
                  </w:pPr>
                  <w:r>
                    <w:rPr>
                      <w:szCs w:val="21"/>
                      <w:u w:val="single"/>
                    </w:rPr>
                    <w:t>1</w:t>
                  </w:r>
                </w:p>
              </w:tc>
              <w:tc>
                <w:tcPr>
                  <w:tcW w:w="654" w:type="pct"/>
                  <w:vAlign w:val="center"/>
                </w:tcPr>
                <w:p>
                  <w:pPr>
                    <w:adjustRightInd w:val="0"/>
                    <w:snapToGrid w:val="0"/>
                    <w:jc w:val="center"/>
                    <w:rPr>
                      <w:szCs w:val="21"/>
                      <w:u w:val="single"/>
                    </w:rPr>
                  </w:pPr>
                  <w:r>
                    <w:rPr>
                      <w:szCs w:val="21"/>
                      <w:u w:val="single"/>
                    </w:rPr>
                    <w:t>东厂界</w:t>
                  </w:r>
                </w:p>
              </w:tc>
              <w:tc>
                <w:tcPr>
                  <w:tcW w:w="447" w:type="pct"/>
                  <w:vAlign w:val="center"/>
                </w:tcPr>
                <w:p>
                  <w:pPr>
                    <w:adjustRightInd w:val="0"/>
                    <w:snapToGrid w:val="0"/>
                    <w:jc w:val="center"/>
                    <w:rPr>
                      <w:szCs w:val="21"/>
                      <w:u w:val="single"/>
                    </w:rPr>
                  </w:pPr>
                  <w:r>
                    <w:rPr>
                      <w:rFonts w:hint="eastAsia"/>
                      <w:szCs w:val="21"/>
                      <w:u w:val="single"/>
                    </w:rPr>
                    <w:t>56.1</w:t>
                  </w:r>
                </w:p>
              </w:tc>
              <w:tc>
                <w:tcPr>
                  <w:tcW w:w="449" w:type="pct"/>
                  <w:vAlign w:val="center"/>
                </w:tcPr>
                <w:p>
                  <w:pPr>
                    <w:adjustRightInd w:val="0"/>
                    <w:snapToGrid w:val="0"/>
                    <w:jc w:val="center"/>
                    <w:rPr>
                      <w:szCs w:val="21"/>
                      <w:u w:val="single"/>
                    </w:rPr>
                  </w:pPr>
                  <w:r>
                    <w:rPr>
                      <w:rFonts w:hint="eastAsia"/>
                      <w:szCs w:val="21"/>
                      <w:u w:val="single"/>
                    </w:rPr>
                    <w:t>43.6</w:t>
                  </w:r>
                </w:p>
              </w:tc>
              <w:tc>
                <w:tcPr>
                  <w:tcW w:w="497" w:type="pct"/>
                  <w:vAlign w:val="center"/>
                </w:tcPr>
                <w:p>
                  <w:pPr>
                    <w:adjustRightInd w:val="0"/>
                    <w:snapToGrid w:val="0"/>
                    <w:jc w:val="center"/>
                    <w:rPr>
                      <w:szCs w:val="21"/>
                      <w:u w:val="single"/>
                    </w:rPr>
                  </w:pPr>
                  <w:r>
                    <w:rPr>
                      <w:szCs w:val="21"/>
                      <w:u w:val="single"/>
                    </w:rPr>
                    <w:t>24.8</w:t>
                  </w:r>
                </w:p>
              </w:tc>
              <w:tc>
                <w:tcPr>
                  <w:tcW w:w="660" w:type="pct"/>
                  <w:vAlign w:val="center"/>
                </w:tcPr>
                <w:p>
                  <w:pPr>
                    <w:adjustRightInd w:val="0"/>
                    <w:snapToGrid w:val="0"/>
                    <w:jc w:val="center"/>
                    <w:rPr>
                      <w:szCs w:val="21"/>
                      <w:u w:val="single"/>
                    </w:rPr>
                  </w:pPr>
                  <w:r>
                    <w:rPr>
                      <w:szCs w:val="21"/>
                      <w:u w:val="single"/>
                    </w:rPr>
                    <w:t>56.1</w:t>
                  </w:r>
                </w:p>
              </w:tc>
              <w:tc>
                <w:tcPr>
                  <w:tcW w:w="660" w:type="pct"/>
                  <w:vAlign w:val="center"/>
                </w:tcPr>
                <w:p>
                  <w:pPr>
                    <w:adjustRightInd w:val="0"/>
                    <w:snapToGrid w:val="0"/>
                    <w:jc w:val="center"/>
                    <w:rPr>
                      <w:szCs w:val="21"/>
                      <w:u w:val="single"/>
                    </w:rPr>
                  </w:pPr>
                  <w:r>
                    <w:rPr>
                      <w:szCs w:val="21"/>
                      <w:u w:val="single"/>
                    </w:rPr>
                    <w:t>43.66</w:t>
                  </w:r>
                </w:p>
              </w:tc>
              <w:tc>
                <w:tcPr>
                  <w:tcW w:w="690" w:type="pct"/>
                  <w:vAlign w:val="center"/>
                </w:tcPr>
                <w:p>
                  <w:pPr>
                    <w:adjustRightInd w:val="0"/>
                    <w:snapToGrid w:val="0"/>
                    <w:jc w:val="center"/>
                    <w:rPr>
                      <w:szCs w:val="21"/>
                      <w:u w:val="single"/>
                    </w:rPr>
                  </w:pPr>
                  <w:r>
                    <w:rPr>
                      <w:szCs w:val="21"/>
                      <w:u w:val="single"/>
                    </w:rPr>
                    <w:t>60</w:t>
                  </w:r>
                </w:p>
              </w:tc>
              <w:tc>
                <w:tcPr>
                  <w:tcW w:w="678" w:type="pct"/>
                  <w:vAlign w:val="center"/>
                </w:tcPr>
                <w:p>
                  <w:pPr>
                    <w:adjustRightInd w:val="0"/>
                    <w:snapToGrid w:val="0"/>
                    <w:jc w:val="center"/>
                    <w:rPr>
                      <w:szCs w:val="21"/>
                      <w:u w:val="single"/>
                    </w:rPr>
                  </w:pPr>
                  <w:r>
                    <w:rPr>
                      <w:rFonts w:hint="eastAsia"/>
                      <w:szCs w:val="21"/>
                      <w:u w:val="single"/>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pct"/>
              </w:trPr>
              <w:tc>
                <w:tcPr>
                  <w:tcW w:w="255" w:type="pct"/>
                  <w:vAlign w:val="center"/>
                </w:tcPr>
                <w:p>
                  <w:pPr>
                    <w:adjustRightInd w:val="0"/>
                    <w:snapToGrid w:val="0"/>
                    <w:jc w:val="center"/>
                    <w:rPr>
                      <w:szCs w:val="21"/>
                      <w:u w:val="single"/>
                    </w:rPr>
                  </w:pPr>
                  <w:r>
                    <w:rPr>
                      <w:szCs w:val="21"/>
                      <w:u w:val="single"/>
                    </w:rPr>
                    <w:t>2</w:t>
                  </w:r>
                </w:p>
              </w:tc>
              <w:tc>
                <w:tcPr>
                  <w:tcW w:w="654" w:type="pct"/>
                  <w:vAlign w:val="center"/>
                </w:tcPr>
                <w:p>
                  <w:pPr>
                    <w:adjustRightInd w:val="0"/>
                    <w:snapToGrid w:val="0"/>
                    <w:jc w:val="center"/>
                    <w:rPr>
                      <w:szCs w:val="21"/>
                      <w:u w:val="single"/>
                    </w:rPr>
                  </w:pPr>
                  <w:r>
                    <w:rPr>
                      <w:szCs w:val="21"/>
                      <w:u w:val="single"/>
                    </w:rPr>
                    <w:t>南厂界</w:t>
                  </w:r>
                </w:p>
              </w:tc>
              <w:tc>
                <w:tcPr>
                  <w:tcW w:w="447" w:type="pct"/>
                  <w:vAlign w:val="center"/>
                </w:tcPr>
                <w:p>
                  <w:pPr>
                    <w:adjustRightInd w:val="0"/>
                    <w:snapToGrid w:val="0"/>
                    <w:jc w:val="center"/>
                    <w:rPr>
                      <w:szCs w:val="21"/>
                      <w:u w:val="single"/>
                    </w:rPr>
                  </w:pPr>
                  <w:r>
                    <w:rPr>
                      <w:rFonts w:hint="eastAsia"/>
                      <w:szCs w:val="21"/>
                      <w:u w:val="single"/>
                    </w:rPr>
                    <w:t>56.9</w:t>
                  </w:r>
                </w:p>
              </w:tc>
              <w:tc>
                <w:tcPr>
                  <w:tcW w:w="449" w:type="pct"/>
                  <w:vAlign w:val="center"/>
                </w:tcPr>
                <w:p>
                  <w:pPr>
                    <w:adjustRightInd w:val="0"/>
                    <w:snapToGrid w:val="0"/>
                    <w:jc w:val="center"/>
                    <w:rPr>
                      <w:szCs w:val="21"/>
                      <w:u w:val="single"/>
                    </w:rPr>
                  </w:pPr>
                  <w:r>
                    <w:rPr>
                      <w:rFonts w:hint="eastAsia"/>
                      <w:szCs w:val="21"/>
                      <w:u w:val="single"/>
                    </w:rPr>
                    <w:t>42.8</w:t>
                  </w:r>
                </w:p>
              </w:tc>
              <w:tc>
                <w:tcPr>
                  <w:tcW w:w="497" w:type="pct"/>
                  <w:vAlign w:val="center"/>
                </w:tcPr>
                <w:p>
                  <w:pPr>
                    <w:adjustRightInd w:val="0"/>
                    <w:snapToGrid w:val="0"/>
                    <w:jc w:val="center"/>
                    <w:rPr>
                      <w:szCs w:val="21"/>
                      <w:u w:val="single"/>
                    </w:rPr>
                  </w:pPr>
                  <w:r>
                    <w:rPr>
                      <w:szCs w:val="21"/>
                      <w:u w:val="single"/>
                    </w:rPr>
                    <w:t>46.2</w:t>
                  </w:r>
                </w:p>
              </w:tc>
              <w:tc>
                <w:tcPr>
                  <w:tcW w:w="660" w:type="pct"/>
                  <w:vAlign w:val="center"/>
                </w:tcPr>
                <w:p>
                  <w:pPr>
                    <w:adjustRightInd w:val="0"/>
                    <w:snapToGrid w:val="0"/>
                    <w:jc w:val="center"/>
                    <w:rPr>
                      <w:szCs w:val="21"/>
                      <w:u w:val="single"/>
                    </w:rPr>
                  </w:pPr>
                  <w:r>
                    <w:rPr>
                      <w:szCs w:val="21"/>
                      <w:u w:val="single"/>
                    </w:rPr>
                    <w:t>57.25</w:t>
                  </w:r>
                </w:p>
              </w:tc>
              <w:tc>
                <w:tcPr>
                  <w:tcW w:w="660" w:type="pct"/>
                  <w:vAlign w:val="center"/>
                </w:tcPr>
                <w:p>
                  <w:pPr>
                    <w:adjustRightInd w:val="0"/>
                    <w:snapToGrid w:val="0"/>
                    <w:jc w:val="center"/>
                    <w:rPr>
                      <w:szCs w:val="21"/>
                      <w:u w:val="single"/>
                    </w:rPr>
                  </w:pPr>
                  <w:r>
                    <w:rPr>
                      <w:szCs w:val="21"/>
                      <w:u w:val="single"/>
                    </w:rPr>
                    <w:t>47.83</w:t>
                  </w:r>
                </w:p>
              </w:tc>
              <w:tc>
                <w:tcPr>
                  <w:tcW w:w="690" w:type="pct"/>
                  <w:vAlign w:val="center"/>
                </w:tcPr>
                <w:p>
                  <w:pPr>
                    <w:adjustRightInd w:val="0"/>
                    <w:snapToGrid w:val="0"/>
                    <w:jc w:val="center"/>
                    <w:rPr>
                      <w:szCs w:val="21"/>
                      <w:u w:val="single"/>
                    </w:rPr>
                  </w:pPr>
                  <w:r>
                    <w:rPr>
                      <w:szCs w:val="21"/>
                      <w:u w:val="single"/>
                    </w:rPr>
                    <w:t>60</w:t>
                  </w:r>
                </w:p>
              </w:tc>
              <w:tc>
                <w:tcPr>
                  <w:tcW w:w="678" w:type="pct"/>
                  <w:vAlign w:val="center"/>
                </w:tcPr>
                <w:p>
                  <w:pPr>
                    <w:adjustRightInd w:val="0"/>
                    <w:snapToGrid w:val="0"/>
                    <w:jc w:val="center"/>
                    <w:rPr>
                      <w:szCs w:val="21"/>
                      <w:u w:val="single"/>
                    </w:rPr>
                  </w:pPr>
                  <w:r>
                    <w:rPr>
                      <w:rFonts w:hint="eastAsia"/>
                      <w:szCs w:val="21"/>
                      <w:u w:val="single"/>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pct"/>
              </w:trPr>
              <w:tc>
                <w:tcPr>
                  <w:tcW w:w="255" w:type="pct"/>
                  <w:vAlign w:val="center"/>
                </w:tcPr>
                <w:p>
                  <w:pPr>
                    <w:adjustRightInd w:val="0"/>
                    <w:snapToGrid w:val="0"/>
                    <w:jc w:val="center"/>
                    <w:rPr>
                      <w:szCs w:val="21"/>
                      <w:u w:val="single"/>
                    </w:rPr>
                  </w:pPr>
                  <w:r>
                    <w:rPr>
                      <w:szCs w:val="21"/>
                      <w:u w:val="single"/>
                    </w:rPr>
                    <w:t>3</w:t>
                  </w:r>
                </w:p>
              </w:tc>
              <w:tc>
                <w:tcPr>
                  <w:tcW w:w="654" w:type="pct"/>
                  <w:vAlign w:val="center"/>
                </w:tcPr>
                <w:p>
                  <w:pPr>
                    <w:adjustRightInd w:val="0"/>
                    <w:snapToGrid w:val="0"/>
                    <w:jc w:val="center"/>
                    <w:rPr>
                      <w:szCs w:val="21"/>
                      <w:u w:val="single"/>
                    </w:rPr>
                  </w:pPr>
                  <w:r>
                    <w:rPr>
                      <w:szCs w:val="21"/>
                      <w:u w:val="single"/>
                    </w:rPr>
                    <w:t>西厂界</w:t>
                  </w:r>
                </w:p>
              </w:tc>
              <w:tc>
                <w:tcPr>
                  <w:tcW w:w="447" w:type="pct"/>
                  <w:vAlign w:val="center"/>
                </w:tcPr>
                <w:p>
                  <w:pPr>
                    <w:adjustRightInd w:val="0"/>
                    <w:snapToGrid w:val="0"/>
                    <w:jc w:val="center"/>
                    <w:rPr>
                      <w:szCs w:val="21"/>
                      <w:u w:val="single"/>
                    </w:rPr>
                  </w:pPr>
                  <w:r>
                    <w:rPr>
                      <w:rFonts w:hint="eastAsia"/>
                      <w:szCs w:val="21"/>
                      <w:u w:val="single"/>
                    </w:rPr>
                    <w:t>55.3</w:t>
                  </w:r>
                </w:p>
              </w:tc>
              <w:tc>
                <w:tcPr>
                  <w:tcW w:w="449" w:type="pct"/>
                  <w:vAlign w:val="center"/>
                </w:tcPr>
                <w:p>
                  <w:pPr>
                    <w:adjustRightInd w:val="0"/>
                    <w:snapToGrid w:val="0"/>
                    <w:jc w:val="center"/>
                    <w:rPr>
                      <w:szCs w:val="21"/>
                      <w:u w:val="single"/>
                    </w:rPr>
                  </w:pPr>
                  <w:r>
                    <w:rPr>
                      <w:rFonts w:hint="eastAsia"/>
                      <w:szCs w:val="21"/>
                      <w:u w:val="single"/>
                    </w:rPr>
                    <w:t>43.4</w:t>
                  </w:r>
                </w:p>
              </w:tc>
              <w:tc>
                <w:tcPr>
                  <w:tcW w:w="497" w:type="pct"/>
                  <w:vAlign w:val="center"/>
                </w:tcPr>
                <w:p>
                  <w:pPr>
                    <w:adjustRightInd w:val="0"/>
                    <w:snapToGrid w:val="0"/>
                    <w:jc w:val="center"/>
                    <w:rPr>
                      <w:szCs w:val="21"/>
                      <w:u w:val="single"/>
                    </w:rPr>
                  </w:pPr>
                  <w:r>
                    <w:rPr>
                      <w:szCs w:val="21"/>
                      <w:u w:val="single"/>
                    </w:rPr>
                    <w:t>23.5</w:t>
                  </w:r>
                </w:p>
              </w:tc>
              <w:tc>
                <w:tcPr>
                  <w:tcW w:w="660" w:type="pct"/>
                  <w:vAlign w:val="center"/>
                </w:tcPr>
                <w:p>
                  <w:pPr>
                    <w:adjustRightInd w:val="0"/>
                    <w:snapToGrid w:val="0"/>
                    <w:jc w:val="center"/>
                    <w:rPr>
                      <w:szCs w:val="21"/>
                      <w:u w:val="single"/>
                    </w:rPr>
                  </w:pPr>
                  <w:r>
                    <w:rPr>
                      <w:szCs w:val="21"/>
                      <w:u w:val="single"/>
                    </w:rPr>
                    <w:t>55.3</w:t>
                  </w:r>
                </w:p>
              </w:tc>
              <w:tc>
                <w:tcPr>
                  <w:tcW w:w="660" w:type="pct"/>
                  <w:vAlign w:val="center"/>
                </w:tcPr>
                <w:p>
                  <w:pPr>
                    <w:adjustRightInd w:val="0"/>
                    <w:snapToGrid w:val="0"/>
                    <w:jc w:val="center"/>
                    <w:rPr>
                      <w:szCs w:val="21"/>
                      <w:u w:val="single"/>
                    </w:rPr>
                  </w:pPr>
                  <w:r>
                    <w:rPr>
                      <w:szCs w:val="21"/>
                      <w:u w:val="single"/>
                    </w:rPr>
                    <w:t>43.44</w:t>
                  </w:r>
                </w:p>
              </w:tc>
              <w:tc>
                <w:tcPr>
                  <w:tcW w:w="690" w:type="pct"/>
                  <w:vAlign w:val="center"/>
                </w:tcPr>
                <w:p>
                  <w:pPr>
                    <w:adjustRightInd w:val="0"/>
                    <w:snapToGrid w:val="0"/>
                    <w:jc w:val="center"/>
                    <w:rPr>
                      <w:szCs w:val="21"/>
                      <w:u w:val="single"/>
                    </w:rPr>
                  </w:pPr>
                  <w:r>
                    <w:rPr>
                      <w:szCs w:val="21"/>
                      <w:u w:val="single"/>
                    </w:rPr>
                    <w:t>60</w:t>
                  </w:r>
                </w:p>
              </w:tc>
              <w:tc>
                <w:tcPr>
                  <w:tcW w:w="678" w:type="pct"/>
                  <w:vAlign w:val="center"/>
                </w:tcPr>
                <w:p>
                  <w:pPr>
                    <w:adjustRightInd w:val="0"/>
                    <w:snapToGrid w:val="0"/>
                    <w:jc w:val="center"/>
                    <w:rPr>
                      <w:szCs w:val="21"/>
                      <w:u w:val="single"/>
                    </w:rPr>
                  </w:pPr>
                  <w:r>
                    <w:rPr>
                      <w:rFonts w:hint="eastAsia"/>
                      <w:szCs w:val="21"/>
                      <w:u w:val="single"/>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pct"/>
              </w:trPr>
              <w:tc>
                <w:tcPr>
                  <w:tcW w:w="255" w:type="pct"/>
                  <w:vAlign w:val="center"/>
                </w:tcPr>
                <w:p>
                  <w:pPr>
                    <w:adjustRightInd w:val="0"/>
                    <w:snapToGrid w:val="0"/>
                    <w:jc w:val="center"/>
                    <w:rPr>
                      <w:szCs w:val="21"/>
                      <w:u w:val="single"/>
                    </w:rPr>
                  </w:pPr>
                  <w:r>
                    <w:rPr>
                      <w:szCs w:val="21"/>
                      <w:u w:val="single"/>
                    </w:rPr>
                    <w:t>4</w:t>
                  </w:r>
                </w:p>
              </w:tc>
              <w:tc>
                <w:tcPr>
                  <w:tcW w:w="654" w:type="pct"/>
                  <w:vAlign w:val="center"/>
                </w:tcPr>
                <w:p>
                  <w:pPr>
                    <w:adjustRightInd w:val="0"/>
                    <w:snapToGrid w:val="0"/>
                    <w:jc w:val="center"/>
                    <w:rPr>
                      <w:szCs w:val="21"/>
                      <w:u w:val="single"/>
                    </w:rPr>
                  </w:pPr>
                  <w:r>
                    <w:rPr>
                      <w:szCs w:val="21"/>
                      <w:u w:val="single"/>
                    </w:rPr>
                    <w:t>北厂界</w:t>
                  </w:r>
                </w:p>
              </w:tc>
              <w:tc>
                <w:tcPr>
                  <w:tcW w:w="447" w:type="pct"/>
                  <w:vAlign w:val="center"/>
                </w:tcPr>
                <w:p>
                  <w:pPr>
                    <w:adjustRightInd w:val="0"/>
                    <w:snapToGrid w:val="0"/>
                    <w:jc w:val="center"/>
                    <w:rPr>
                      <w:szCs w:val="21"/>
                      <w:u w:val="single"/>
                    </w:rPr>
                  </w:pPr>
                  <w:r>
                    <w:rPr>
                      <w:rFonts w:hint="eastAsia"/>
                      <w:szCs w:val="21"/>
                      <w:u w:val="single"/>
                    </w:rPr>
                    <w:t>57.2</w:t>
                  </w:r>
                </w:p>
              </w:tc>
              <w:tc>
                <w:tcPr>
                  <w:tcW w:w="449" w:type="pct"/>
                  <w:vAlign w:val="center"/>
                </w:tcPr>
                <w:p>
                  <w:pPr>
                    <w:adjustRightInd w:val="0"/>
                    <w:snapToGrid w:val="0"/>
                    <w:jc w:val="center"/>
                    <w:rPr>
                      <w:szCs w:val="21"/>
                      <w:u w:val="single"/>
                    </w:rPr>
                  </w:pPr>
                  <w:r>
                    <w:rPr>
                      <w:rFonts w:hint="eastAsia"/>
                      <w:szCs w:val="21"/>
                      <w:u w:val="single"/>
                    </w:rPr>
                    <w:t>43.7</w:t>
                  </w:r>
                </w:p>
              </w:tc>
              <w:tc>
                <w:tcPr>
                  <w:tcW w:w="497" w:type="pct"/>
                  <w:vAlign w:val="center"/>
                </w:tcPr>
                <w:p>
                  <w:pPr>
                    <w:adjustRightInd w:val="0"/>
                    <w:snapToGrid w:val="0"/>
                    <w:jc w:val="center"/>
                    <w:rPr>
                      <w:szCs w:val="21"/>
                      <w:u w:val="single"/>
                    </w:rPr>
                  </w:pPr>
                  <w:r>
                    <w:rPr>
                      <w:szCs w:val="21"/>
                      <w:u w:val="single"/>
                    </w:rPr>
                    <w:t>46.2</w:t>
                  </w:r>
                </w:p>
              </w:tc>
              <w:tc>
                <w:tcPr>
                  <w:tcW w:w="660" w:type="pct"/>
                  <w:vAlign w:val="center"/>
                </w:tcPr>
                <w:p>
                  <w:pPr>
                    <w:adjustRightInd w:val="0"/>
                    <w:snapToGrid w:val="0"/>
                    <w:jc w:val="center"/>
                    <w:rPr>
                      <w:szCs w:val="21"/>
                      <w:u w:val="single"/>
                    </w:rPr>
                  </w:pPr>
                  <w:r>
                    <w:rPr>
                      <w:szCs w:val="21"/>
                      <w:u w:val="single"/>
                    </w:rPr>
                    <w:t>57.53</w:t>
                  </w:r>
                </w:p>
              </w:tc>
              <w:tc>
                <w:tcPr>
                  <w:tcW w:w="660" w:type="pct"/>
                  <w:vAlign w:val="center"/>
                </w:tcPr>
                <w:p>
                  <w:pPr>
                    <w:adjustRightInd w:val="0"/>
                    <w:snapToGrid w:val="0"/>
                    <w:jc w:val="center"/>
                    <w:rPr>
                      <w:szCs w:val="21"/>
                      <w:u w:val="single"/>
                    </w:rPr>
                  </w:pPr>
                  <w:r>
                    <w:rPr>
                      <w:szCs w:val="21"/>
                      <w:u w:val="single"/>
                    </w:rPr>
                    <w:t>48.14</w:t>
                  </w:r>
                </w:p>
              </w:tc>
              <w:tc>
                <w:tcPr>
                  <w:tcW w:w="690" w:type="pct"/>
                  <w:vAlign w:val="center"/>
                </w:tcPr>
                <w:p>
                  <w:pPr>
                    <w:adjustRightInd w:val="0"/>
                    <w:snapToGrid w:val="0"/>
                    <w:jc w:val="center"/>
                    <w:rPr>
                      <w:szCs w:val="21"/>
                      <w:u w:val="single"/>
                    </w:rPr>
                  </w:pPr>
                  <w:r>
                    <w:rPr>
                      <w:szCs w:val="21"/>
                      <w:u w:val="single"/>
                    </w:rPr>
                    <w:t>60</w:t>
                  </w:r>
                </w:p>
              </w:tc>
              <w:tc>
                <w:tcPr>
                  <w:tcW w:w="678" w:type="pct"/>
                  <w:vAlign w:val="center"/>
                </w:tcPr>
                <w:p>
                  <w:pPr>
                    <w:adjustRightInd w:val="0"/>
                    <w:snapToGrid w:val="0"/>
                    <w:jc w:val="center"/>
                    <w:rPr>
                      <w:szCs w:val="21"/>
                      <w:u w:val="single"/>
                    </w:rPr>
                  </w:pPr>
                  <w:r>
                    <w:rPr>
                      <w:rFonts w:hint="eastAsia"/>
                      <w:szCs w:val="21"/>
                      <w:u w:val="single"/>
                    </w:rPr>
                    <w:t>50</w:t>
                  </w:r>
                </w:p>
              </w:tc>
            </w:tr>
          </w:tbl>
          <w:p>
            <w:pPr>
              <w:tabs>
                <w:tab w:val="left" w:pos="0"/>
                <w:tab w:val="left" w:pos="870"/>
                <w:tab w:val="left" w:pos="3150"/>
              </w:tabs>
              <w:autoSpaceDE w:val="0"/>
              <w:autoSpaceDN w:val="0"/>
              <w:adjustRightInd w:val="0"/>
              <w:snapToGrid w:val="0"/>
              <w:spacing w:line="360" w:lineRule="auto"/>
              <w:ind w:firstLine="480" w:firstLineChars="200"/>
              <w:rPr>
                <w:color w:val="000000"/>
                <w:sz w:val="24"/>
                <w:u w:val="single"/>
              </w:rPr>
            </w:pPr>
            <w:r>
              <w:rPr>
                <w:color w:val="000000"/>
                <w:sz w:val="24"/>
                <w:u w:val="single"/>
              </w:rPr>
              <w:t>通过预测可知，各设备采取基础减振</w:t>
            </w:r>
            <w:r>
              <w:rPr>
                <w:rFonts w:hint="eastAsia"/>
                <w:color w:val="000000"/>
                <w:sz w:val="24"/>
                <w:u w:val="single"/>
              </w:rPr>
              <w:t>、在靠近居民一侧厂界种植绿化及加装围墙等降噪措</w:t>
            </w:r>
            <w:r>
              <w:rPr>
                <w:color w:val="000000"/>
                <w:sz w:val="24"/>
                <w:u w:val="single"/>
              </w:rPr>
              <w:t>施后，项目东、南、西、北</w:t>
            </w:r>
            <w:r>
              <w:rPr>
                <w:rFonts w:hint="eastAsia"/>
                <w:color w:val="000000"/>
                <w:sz w:val="24"/>
                <w:u w:val="single"/>
              </w:rPr>
              <w:t>侧</w:t>
            </w:r>
            <w:r>
              <w:rPr>
                <w:color w:val="000000"/>
                <w:sz w:val="24"/>
                <w:u w:val="single"/>
              </w:rPr>
              <w:t>噪声值均满足《工业企业厂界环境噪声排放标准》（GB12348-2008）2类（昼间≤60dB（A））标准</w:t>
            </w:r>
            <w:r>
              <w:rPr>
                <w:rFonts w:hint="eastAsia"/>
                <w:color w:val="000000"/>
                <w:sz w:val="24"/>
                <w:u w:val="single"/>
              </w:rPr>
              <w:t>。</w:t>
            </w:r>
          </w:p>
          <w:p>
            <w:pPr>
              <w:tabs>
                <w:tab w:val="left" w:pos="0"/>
                <w:tab w:val="left" w:pos="870"/>
                <w:tab w:val="left" w:pos="3150"/>
              </w:tabs>
              <w:autoSpaceDE w:val="0"/>
              <w:autoSpaceDN w:val="0"/>
              <w:adjustRightInd w:val="0"/>
              <w:snapToGrid w:val="0"/>
              <w:spacing w:line="360" w:lineRule="auto"/>
              <w:ind w:firstLine="480" w:firstLineChars="200"/>
              <w:rPr>
                <w:sz w:val="24"/>
              </w:rPr>
            </w:pPr>
            <w:r>
              <w:rPr>
                <w:rFonts w:hint="eastAsia"/>
                <w:sz w:val="24"/>
              </w:rPr>
              <w:t>在实际生产中稻蛙存在群体性蛙鸣，可能导致周边噪声超标影响周边居民，因此为了解周边居民对本项目建设的意见，特对周边居民进行公参调查，且项目建设公司已经作出相关承诺（详见附件）。</w:t>
            </w:r>
          </w:p>
          <w:p>
            <w:pPr>
              <w:adjustRightInd w:val="0"/>
              <w:snapToGrid w:val="0"/>
              <w:spacing w:line="360" w:lineRule="auto"/>
              <w:ind w:firstLine="482" w:firstLineChars="200"/>
              <w:rPr>
                <w:b/>
                <w:bCs/>
                <w:color w:val="000000"/>
                <w:sz w:val="24"/>
              </w:rPr>
            </w:pPr>
            <w:r>
              <w:rPr>
                <w:rFonts w:hint="eastAsia"/>
                <w:b/>
                <w:bCs/>
                <w:color w:val="000000"/>
                <w:sz w:val="24"/>
              </w:rPr>
              <w:t>4、</w:t>
            </w:r>
            <w:r>
              <w:rPr>
                <w:b/>
                <w:bCs/>
                <w:color w:val="000000"/>
                <w:sz w:val="24"/>
              </w:rPr>
              <w:t>固体废物环境影响分析</w:t>
            </w:r>
          </w:p>
          <w:p>
            <w:pPr>
              <w:adjustRightInd w:val="0"/>
              <w:snapToGrid w:val="0"/>
              <w:spacing w:line="360" w:lineRule="auto"/>
              <w:ind w:firstLine="480" w:firstLineChars="200"/>
              <w:rPr>
                <w:color w:val="000000"/>
                <w:sz w:val="24"/>
                <w:szCs w:val="22"/>
              </w:rPr>
            </w:pPr>
            <w:r>
              <w:rPr>
                <w:bCs/>
                <w:sz w:val="24"/>
              </w:rPr>
              <w:t>我国固体废弃物的技术政策是对各类废物实施无害化、减量化和资源化，对其残渣部分进行安全的、卫生的和妥善的处理。即按现阶段的污染防治技术，控制项目固体废物环境污染的主要措施有：进行回收利用，使固体废弃物资源化，妥善处置，控制污染及加强管理。本项目建设过程中产生的固体废弃物，只要加强管理，进行综合利用和妥善管理，将不会对周围环境产生明显的不良影响。</w:t>
            </w:r>
          </w:p>
          <w:p>
            <w:pPr>
              <w:adjustRightInd w:val="0"/>
              <w:snapToGrid w:val="0"/>
              <w:spacing w:line="360" w:lineRule="auto"/>
              <w:ind w:firstLine="480" w:firstLineChars="200"/>
              <w:rPr>
                <w:color w:val="000000"/>
                <w:sz w:val="24"/>
              </w:rPr>
            </w:pPr>
            <w:r>
              <w:rPr>
                <w:color w:val="000000"/>
                <w:sz w:val="24"/>
              </w:rPr>
              <w:t>①废饲料包装袋：废弃的饲料包装袋每年约</w:t>
            </w:r>
            <w:r>
              <w:rPr>
                <w:rFonts w:hint="eastAsia"/>
                <w:color w:val="000000"/>
                <w:sz w:val="24"/>
              </w:rPr>
              <w:t>产生</w:t>
            </w:r>
            <w:r>
              <w:rPr>
                <w:color w:val="000000"/>
                <w:sz w:val="24"/>
              </w:rPr>
              <w:t>1t</w:t>
            </w:r>
            <w:r>
              <w:rPr>
                <w:rFonts w:hint="eastAsia"/>
                <w:color w:val="000000"/>
                <w:sz w:val="24"/>
              </w:rPr>
              <w:t>，收集后作为回收废品外卖；</w:t>
            </w:r>
          </w:p>
          <w:p>
            <w:pPr>
              <w:adjustRightInd w:val="0"/>
              <w:snapToGrid w:val="0"/>
              <w:spacing w:line="360" w:lineRule="auto"/>
              <w:ind w:firstLine="480" w:firstLineChars="200"/>
              <w:rPr>
                <w:color w:val="000000"/>
                <w:sz w:val="24"/>
                <w:u w:val="single"/>
              </w:rPr>
            </w:pPr>
            <w:r>
              <w:rPr>
                <w:color w:val="000000"/>
                <w:sz w:val="24"/>
                <w:u w:val="single"/>
              </w:rPr>
              <w:t>②</w:t>
            </w:r>
            <w:r>
              <w:rPr>
                <w:rFonts w:hint="eastAsia"/>
                <w:color w:val="000000"/>
                <w:sz w:val="24"/>
                <w:u w:val="single"/>
              </w:rPr>
              <w:t>病死蛙：查阅相关资料，病死蛙主要出现在幼蛙时期，死亡率按1%计，因此病死蛙产生量约为1.624t/a，日产日清（早晚一次清理），病死蛙如随意丢弃处置、没有经过合理的处理，会导致河道的生态环境遭到严重的破坏，因此本项目产生的病死蛙少量用于喂鱼，其余的使用安全填埋井进行填埋。安全填埋井为混凝土结构，井深5m，井口直径2m，井口加盖密封。进行填埋时，在每次投入病病死蛙后，应覆盖1层厚度大于10cm的熟石灰，井填满后，用粘土填埋压实并封口。同时环评要求项目对安全井采取了防渗、防雨淋措施，避免了其淋滤液对地下水环境的影响。如果出现疫情，需按照畜牧管理部门、检验检疫部门的要求进行处置，建设单位不可私自进行填埋；</w:t>
            </w:r>
          </w:p>
          <w:p>
            <w:pPr>
              <w:adjustRightInd w:val="0"/>
              <w:snapToGrid w:val="0"/>
              <w:spacing w:line="360" w:lineRule="auto"/>
              <w:ind w:firstLine="480" w:firstLineChars="200"/>
              <w:rPr>
                <w:color w:val="000000"/>
                <w:sz w:val="24"/>
              </w:rPr>
            </w:pPr>
            <w:r>
              <w:rPr>
                <w:rFonts w:hint="eastAsia"/>
                <w:color w:val="000000"/>
                <w:sz w:val="24"/>
              </w:rPr>
              <w:t>③废弃网：废弃网每年约产生1.0t/a，收集后作为回收废品外卖；</w:t>
            </w:r>
          </w:p>
          <w:p>
            <w:pPr>
              <w:adjustRightInd w:val="0"/>
              <w:snapToGrid w:val="0"/>
              <w:spacing w:line="360" w:lineRule="auto"/>
              <w:ind w:firstLine="480" w:firstLineChars="200"/>
              <w:rPr>
                <w:color w:val="000000"/>
                <w:sz w:val="24"/>
                <w:u w:val="single"/>
              </w:rPr>
            </w:pPr>
            <w:r>
              <w:rPr>
                <w:rFonts w:hint="eastAsia"/>
                <w:color w:val="000000"/>
                <w:sz w:val="24"/>
                <w:u w:val="single"/>
              </w:rPr>
              <w:t>④沉淀池淤泥：项目沉淀池产生的污泥约3.5t/a，由于污泥中主要污染物为SS，自然干化后由当地农民清运至果林种树；</w:t>
            </w:r>
          </w:p>
          <w:p>
            <w:pPr>
              <w:adjustRightInd w:val="0"/>
              <w:snapToGrid w:val="0"/>
              <w:spacing w:line="360" w:lineRule="auto"/>
              <w:ind w:firstLine="480" w:firstLineChars="200"/>
              <w:rPr>
                <w:color w:val="000000"/>
                <w:sz w:val="24"/>
              </w:rPr>
            </w:pPr>
            <w:r>
              <w:rPr>
                <w:rFonts w:hint="eastAsia"/>
                <w:color w:val="000000"/>
                <w:sz w:val="24"/>
              </w:rPr>
              <w:t>⑤</w:t>
            </w:r>
            <w:r>
              <w:rPr>
                <w:color w:val="000000"/>
                <w:sz w:val="24"/>
              </w:rPr>
              <w:t>生活垃圾：</w:t>
            </w:r>
            <w:r>
              <w:rPr>
                <w:rFonts w:hint="eastAsia"/>
                <w:color w:val="000000"/>
                <w:sz w:val="24"/>
              </w:rPr>
              <w:t>项目</w:t>
            </w:r>
            <w:r>
              <w:rPr>
                <w:color w:val="000000"/>
                <w:sz w:val="24"/>
              </w:rPr>
              <w:t>员工人数为</w:t>
            </w:r>
            <w:r>
              <w:rPr>
                <w:rFonts w:hint="eastAsia"/>
                <w:color w:val="000000"/>
                <w:sz w:val="24"/>
              </w:rPr>
              <w:t>5</w:t>
            </w:r>
            <w:r>
              <w:rPr>
                <w:color w:val="000000"/>
                <w:sz w:val="24"/>
              </w:rPr>
              <w:t>人，生活垃圾产量按1.0kg.d/人计算，生活垃圾产生量为</w:t>
            </w:r>
            <w:r>
              <w:rPr>
                <w:rFonts w:hint="eastAsia"/>
                <w:color w:val="000000"/>
                <w:sz w:val="24"/>
              </w:rPr>
              <w:t>1.45</w:t>
            </w:r>
            <w:r>
              <w:rPr>
                <w:color w:val="000000"/>
                <w:sz w:val="24"/>
              </w:rPr>
              <w:t>t/a，由环卫部门运往城市生活垃圾填埋场进行集中处理</w:t>
            </w:r>
            <w:r>
              <w:rPr>
                <w:rFonts w:hint="eastAsia"/>
                <w:color w:val="000000"/>
                <w:sz w:val="24"/>
              </w:rPr>
              <w:t>。</w:t>
            </w:r>
          </w:p>
          <w:p>
            <w:pPr>
              <w:autoSpaceDE w:val="0"/>
              <w:autoSpaceDN w:val="0"/>
              <w:adjustRightInd w:val="0"/>
              <w:snapToGrid w:val="0"/>
              <w:spacing w:line="360" w:lineRule="auto"/>
              <w:ind w:firstLine="480" w:firstLineChars="200"/>
              <w:rPr>
                <w:sz w:val="24"/>
              </w:rPr>
            </w:pPr>
            <w:r>
              <w:rPr>
                <w:sz w:val="24"/>
              </w:rPr>
              <w:t>项目所有固废要按照“减量化、资源化、无害化”处理原则，加强固体废物的内部管理，建立固体废物产生、外运、处置及最终去向的详细账单，按废物转移交换处置管理办法实施追踪管理，并落实安全管理责任，避免二次污染。一般工业固废暂存场所需按照《一般工业固体废物贮存和填埋污染控制标准》（GB 18599-2020）要求建设，固废按相关标准和要求妥善处置后，对外影响较小。</w:t>
            </w:r>
          </w:p>
          <w:p>
            <w:pPr>
              <w:autoSpaceDE w:val="0"/>
              <w:autoSpaceDN w:val="0"/>
              <w:adjustRightInd w:val="0"/>
              <w:snapToGrid w:val="0"/>
              <w:spacing w:line="360" w:lineRule="auto"/>
              <w:ind w:firstLine="480" w:firstLineChars="200"/>
              <w:rPr>
                <w:rFonts w:ascii="黑体" w:hAnsi="Calibri" w:eastAsia="黑体" w:cs="黑体"/>
                <w:color w:val="000000"/>
                <w:sz w:val="24"/>
              </w:rPr>
            </w:pPr>
            <w:r>
              <w:rPr>
                <w:sz w:val="24"/>
              </w:rPr>
              <w:t>通过采取上述措施后，本项目固体废物均可得到妥善的处理，对区域环境影响较小。</w:t>
            </w:r>
          </w:p>
          <w:p>
            <w:pPr>
              <w:adjustRightInd w:val="0"/>
              <w:snapToGrid w:val="0"/>
              <w:spacing w:line="360" w:lineRule="auto"/>
              <w:ind w:firstLine="482" w:firstLineChars="200"/>
              <w:rPr>
                <w:b/>
                <w:bCs/>
                <w:color w:val="000000"/>
                <w:sz w:val="24"/>
                <w:u w:val="single"/>
              </w:rPr>
            </w:pPr>
            <w:r>
              <w:rPr>
                <w:rFonts w:hint="eastAsia"/>
                <w:b/>
                <w:bCs/>
                <w:color w:val="000000"/>
                <w:sz w:val="24"/>
                <w:u w:val="single"/>
              </w:rPr>
              <w:t>5、生态环境影响分析</w:t>
            </w:r>
          </w:p>
          <w:p>
            <w:pPr>
              <w:adjustRightInd w:val="0"/>
              <w:snapToGrid w:val="0"/>
              <w:spacing w:line="360" w:lineRule="auto"/>
              <w:ind w:firstLine="480" w:firstLineChars="200"/>
              <w:rPr>
                <w:color w:val="000000"/>
                <w:sz w:val="24"/>
                <w:u w:val="single"/>
              </w:rPr>
            </w:pPr>
            <w:r>
              <w:rPr>
                <w:rFonts w:hint="eastAsia"/>
                <w:color w:val="000000"/>
                <w:sz w:val="24"/>
                <w:u w:val="single"/>
              </w:rPr>
              <w:t>项目运营后主要的生态影响为养殖废水对日东河、农田生态系统的影响。</w:t>
            </w:r>
          </w:p>
          <w:p>
            <w:pPr>
              <w:adjustRightInd w:val="0"/>
              <w:snapToGrid w:val="0"/>
              <w:spacing w:line="360" w:lineRule="auto"/>
              <w:ind w:firstLine="480" w:firstLineChars="200"/>
              <w:rPr>
                <w:color w:val="000000"/>
                <w:sz w:val="24"/>
                <w:u w:val="single"/>
              </w:rPr>
            </w:pPr>
            <w:r>
              <w:rPr>
                <w:rFonts w:hint="eastAsia"/>
                <w:color w:val="000000"/>
                <w:sz w:val="24"/>
                <w:u w:val="single"/>
              </w:rPr>
              <w:t>针对项目养殖废水，项目拟采用一套污水处理设备进行处理，可以有效去除养殖水体中的CODcr、总磷等污染物。</w:t>
            </w:r>
          </w:p>
          <w:p>
            <w:pPr>
              <w:adjustRightInd w:val="0"/>
              <w:snapToGrid w:val="0"/>
              <w:spacing w:line="360" w:lineRule="auto"/>
              <w:ind w:firstLine="480" w:firstLineChars="200"/>
              <w:rPr>
                <w:color w:val="000000"/>
                <w:sz w:val="24"/>
                <w:u w:val="single"/>
              </w:rPr>
            </w:pPr>
            <w:r>
              <w:rPr>
                <w:rFonts w:hint="eastAsia"/>
                <w:color w:val="000000"/>
                <w:sz w:val="24"/>
                <w:u w:val="single"/>
              </w:rPr>
              <w:t>养殖废水对日东河影响：养殖废水水质简单，各污染物浓度低，废水经污水处理设备处理后可达到《水产养殖尾水污染物排放标准》（DB43/1752-2020）表1中的一级标准、《淡水池塘养殖水排放要求》（SC/T9101-2007）表1中的二级标准要求，因此对日东河水质影响不大。</w:t>
            </w:r>
          </w:p>
          <w:p>
            <w:pPr>
              <w:adjustRightInd w:val="0"/>
              <w:snapToGrid w:val="0"/>
              <w:spacing w:line="360" w:lineRule="auto"/>
              <w:ind w:firstLine="480" w:firstLineChars="200"/>
              <w:rPr>
                <w:color w:val="000000"/>
                <w:sz w:val="24"/>
                <w:u w:val="single"/>
              </w:rPr>
            </w:pPr>
            <w:r>
              <w:rPr>
                <w:rFonts w:hint="eastAsia"/>
                <w:color w:val="000000"/>
                <w:sz w:val="24"/>
                <w:u w:val="single"/>
              </w:rPr>
              <w:t>农田生态系统影响：项目周边农田主要种植水稻、蔬菜，含有总氮、总磷的养殖废水可以被用来帮助蔬菜、水稻根系的生长，满足蔬菜、水稻对氨、磷的高需求，大大减少了农药和化肥的使用，可以改善稻田的生态环境。</w:t>
            </w:r>
          </w:p>
          <w:p>
            <w:pPr>
              <w:adjustRightInd w:val="0"/>
              <w:snapToGrid w:val="0"/>
              <w:spacing w:line="360" w:lineRule="auto"/>
              <w:ind w:firstLine="480" w:firstLineChars="200"/>
              <w:rPr>
                <w:color w:val="000000"/>
                <w:sz w:val="24"/>
                <w:u w:val="single"/>
              </w:rPr>
            </w:pPr>
            <w:r>
              <w:rPr>
                <w:rFonts w:hint="eastAsia"/>
                <w:color w:val="000000"/>
                <w:sz w:val="24"/>
                <w:u w:val="single"/>
              </w:rPr>
              <w:t>但由于稻蛙的养殖，可引起养殖场所附近蛇类的增多，对局部地区造成生物量分布不均的影响。</w:t>
            </w:r>
          </w:p>
          <w:p>
            <w:pPr>
              <w:adjustRightInd w:val="0"/>
              <w:snapToGrid w:val="0"/>
              <w:spacing w:line="360" w:lineRule="auto"/>
              <w:ind w:firstLine="482" w:firstLineChars="200"/>
              <w:rPr>
                <w:b/>
                <w:bCs/>
                <w:color w:val="000000"/>
                <w:sz w:val="24"/>
              </w:rPr>
            </w:pPr>
            <w:r>
              <w:rPr>
                <w:rFonts w:hint="eastAsia"/>
                <w:b/>
                <w:bCs/>
                <w:color w:val="000000"/>
                <w:sz w:val="24"/>
              </w:rPr>
              <w:t>6、地下水、土壤环境影响分析</w:t>
            </w:r>
          </w:p>
          <w:p>
            <w:pPr>
              <w:adjustRightInd w:val="0"/>
              <w:snapToGrid w:val="0"/>
              <w:spacing w:line="360" w:lineRule="auto"/>
              <w:ind w:firstLine="480" w:firstLineChars="200"/>
              <w:rPr>
                <w:sz w:val="24"/>
              </w:rPr>
            </w:pPr>
            <w:r>
              <w:rPr>
                <w:rFonts w:hint="eastAsia"/>
                <w:sz w:val="24"/>
              </w:rPr>
              <w:t>对地下水和土壤环境可能造成影响的主要是有毒有害等物质泄露，泄露后以渗透为主，可能进入地下水层造成地下水水质污染和土壤污染的可能，</w:t>
            </w:r>
          </w:p>
          <w:p>
            <w:pPr>
              <w:adjustRightInd w:val="0"/>
              <w:snapToGrid w:val="0"/>
              <w:spacing w:line="360" w:lineRule="auto"/>
              <w:rPr>
                <w:sz w:val="24"/>
              </w:rPr>
            </w:pPr>
            <w:r>
              <w:rPr>
                <w:rFonts w:hint="eastAsia"/>
                <w:sz w:val="24"/>
              </w:rPr>
              <w:t>本项目厂内拟适当进行防渗处理，因此对地下水、土壤环境基本无影响。</w:t>
            </w:r>
          </w:p>
          <w:p>
            <w:pPr>
              <w:adjustRightInd w:val="0"/>
              <w:snapToGrid w:val="0"/>
              <w:spacing w:line="360" w:lineRule="auto"/>
              <w:ind w:firstLine="482" w:firstLineChars="200"/>
              <w:rPr>
                <w:b/>
                <w:bCs/>
                <w:color w:val="000000"/>
                <w:sz w:val="24"/>
              </w:rPr>
            </w:pPr>
            <w:r>
              <w:rPr>
                <w:rFonts w:hint="eastAsia"/>
                <w:b/>
                <w:bCs/>
                <w:color w:val="000000"/>
                <w:sz w:val="24"/>
              </w:rPr>
              <w:t>7、入河排污口设置影响分析</w:t>
            </w:r>
          </w:p>
          <w:p>
            <w:pPr>
              <w:adjustRightInd w:val="0"/>
              <w:snapToGrid w:val="0"/>
              <w:spacing w:line="360" w:lineRule="auto"/>
              <w:ind w:firstLine="482" w:firstLineChars="200"/>
              <w:rPr>
                <w:b/>
                <w:bCs/>
                <w:color w:val="000000"/>
                <w:sz w:val="24"/>
              </w:rPr>
            </w:pPr>
            <w:r>
              <w:rPr>
                <w:rFonts w:hint="eastAsia"/>
                <w:b/>
                <w:bCs/>
                <w:color w:val="000000"/>
                <w:sz w:val="24"/>
              </w:rPr>
              <w:t>7.1论证范围确定</w:t>
            </w:r>
          </w:p>
          <w:p>
            <w:pPr>
              <w:adjustRightInd w:val="0"/>
              <w:snapToGrid w:val="0"/>
              <w:spacing w:line="360" w:lineRule="auto"/>
              <w:ind w:firstLine="480" w:firstLineChars="200"/>
              <w:rPr>
                <w:sz w:val="24"/>
              </w:rPr>
            </w:pPr>
            <w:r>
              <w:rPr>
                <w:sz w:val="24"/>
              </w:rPr>
              <w:t>本项目生活污水经三格化粪池处理后，用于周边农田施肥；养殖废水经污水处理系统处理达到《水产养殖尾水污染物排放标准》（DB43/1752-2020）表1中的一级标准、《淡水池塘养殖水排放要求》（SC/T9101-2007）表1中的二级标准后外排至日东河，日东河水质控制目标为地表水</w:t>
            </w:r>
            <w:r>
              <w:rPr>
                <w:sz w:val="24"/>
              </w:rPr>
              <w:fldChar w:fldCharType="begin"/>
            </w:r>
            <w:r>
              <w:rPr>
                <w:sz w:val="24"/>
              </w:rPr>
              <w:instrText xml:space="preserve"> = 3 \* ROMAN </w:instrText>
            </w:r>
            <w:r>
              <w:rPr>
                <w:sz w:val="24"/>
              </w:rPr>
              <w:fldChar w:fldCharType="separate"/>
            </w:r>
            <w:r>
              <w:rPr>
                <w:sz w:val="24"/>
              </w:rPr>
              <w:t>III</w:t>
            </w:r>
            <w:r>
              <w:rPr>
                <w:sz w:val="24"/>
              </w:rPr>
              <w:fldChar w:fldCharType="end"/>
            </w:r>
            <w:r>
              <w:rPr>
                <w:sz w:val="24"/>
              </w:rPr>
              <w:t>类水质标准。根据《</w:t>
            </w:r>
            <w:r>
              <w:rPr>
                <w:rFonts w:hint="eastAsia"/>
                <w:sz w:val="24"/>
              </w:rPr>
              <w:t>新田县</w:t>
            </w:r>
            <w:r>
              <w:rPr>
                <w:sz w:val="24"/>
              </w:rPr>
              <w:t>水环境功能区划》及其他功能区划，湖南省丰惠生态养殖有限公司稻蛙共作生态养殖项目入河口</w:t>
            </w:r>
            <w:r>
              <w:rPr>
                <w:rFonts w:hint="eastAsia"/>
                <w:sz w:val="24"/>
              </w:rPr>
              <w:t>位于“新田河金陵～龙泉保留区”</w:t>
            </w:r>
            <w:r>
              <w:rPr>
                <w:sz w:val="24"/>
              </w:rPr>
              <w:t>。</w:t>
            </w:r>
          </w:p>
          <w:p>
            <w:pPr>
              <w:adjustRightInd w:val="0"/>
              <w:snapToGrid w:val="0"/>
              <w:spacing w:line="360" w:lineRule="auto"/>
              <w:ind w:firstLine="480" w:firstLineChars="200"/>
              <w:rPr>
                <w:sz w:val="24"/>
              </w:rPr>
            </w:pPr>
            <w:r>
              <w:rPr>
                <w:sz w:val="24"/>
              </w:rPr>
              <w:t>根据《入河排污口管理技术导则》（SL532-2011）的规定：“原则上以受入河排污口影响的主要水域和其影响范围内的第三方取、用水户为论证范围。论证工作的基础单元为水功能区，其中入河排污口所在水功能区和可能受到影响的周边水功能区，是论证的重点区域”。本项目排水受纳水体为新田河，水质目标为地表水</w:t>
            </w:r>
            <w:r>
              <w:rPr>
                <w:sz w:val="24"/>
              </w:rPr>
              <w:fldChar w:fldCharType="begin"/>
            </w:r>
            <w:r>
              <w:rPr>
                <w:sz w:val="24"/>
              </w:rPr>
              <w:instrText xml:space="preserve"> = 3 \* ROMAN </w:instrText>
            </w:r>
            <w:r>
              <w:rPr>
                <w:sz w:val="24"/>
              </w:rPr>
              <w:fldChar w:fldCharType="separate"/>
            </w:r>
            <w:r>
              <w:rPr>
                <w:sz w:val="24"/>
              </w:rPr>
              <w:t>III</w:t>
            </w:r>
            <w:r>
              <w:rPr>
                <w:sz w:val="24"/>
              </w:rPr>
              <w:fldChar w:fldCharType="end"/>
            </w:r>
            <w:r>
              <w:rPr>
                <w:sz w:val="24"/>
              </w:rPr>
              <w:t>类水质标准。根据排污口影响范围，参照《环境影响评价技术导则-地面水环境》HJ/T2.3-2018，应满足覆盖对照断面、控制断面与消减断面等关心断面的要求；本次论证范围主要为湖南省丰惠生态养殖有限公司稻蛙共作生态养殖项目入河排污口下游</w:t>
            </w:r>
            <w:r>
              <w:rPr>
                <w:rFonts w:hint="eastAsia"/>
                <w:sz w:val="24"/>
              </w:rPr>
              <w:t>1.2</w:t>
            </w:r>
            <w:r>
              <w:rPr>
                <w:sz w:val="24"/>
              </w:rPr>
              <w:t>km水域</w:t>
            </w:r>
            <w:r>
              <w:rPr>
                <w:rFonts w:hint="eastAsia"/>
                <w:sz w:val="24"/>
              </w:rPr>
              <w:t>（论证范围图见附图7）</w:t>
            </w:r>
            <w:r>
              <w:rPr>
                <w:sz w:val="24"/>
              </w:rPr>
              <w:t>。</w:t>
            </w:r>
          </w:p>
          <w:p>
            <w:pPr>
              <w:adjustRightInd w:val="0"/>
              <w:snapToGrid w:val="0"/>
              <w:spacing w:line="360" w:lineRule="auto"/>
              <w:ind w:firstLine="482" w:firstLineChars="200"/>
              <w:rPr>
                <w:b/>
                <w:bCs/>
                <w:color w:val="000000"/>
                <w:sz w:val="24"/>
              </w:rPr>
            </w:pPr>
            <w:r>
              <w:rPr>
                <w:rFonts w:hint="eastAsia"/>
                <w:b/>
                <w:bCs/>
                <w:color w:val="000000"/>
                <w:sz w:val="24"/>
              </w:rPr>
              <w:t>7.2论证规模</w:t>
            </w:r>
          </w:p>
          <w:p>
            <w:pPr>
              <w:adjustRightInd w:val="0"/>
              <w:snapToGrid w:val="0"/>
              <w:spacing w:line="360" w:lineRule="auto"/>
              <w:ind w:firstLine="480" w:firstLineChars="200"/>
              <w:rPr>
                <w:sz w:val="24"/>
              </w:rPr>
            </w:pPr>
            <w:r>
              <w:rPr>
                <w:rFonts w:hint="eastAsia"/>
                <w:sz w:val="24"/>
              </w:rPr>
              <w:t>湖南省丰惠生态养殖有限公司废水排放量约为38.79m</w:t>
            </w:r>
            <w:r>
              <w:rPr>
                <w:rFonts w:hint="eastAsia"/>
                <w:sz w:val="24"/>
                <w:vertAlign w:val="superscript"/>
              </w:rPr>
              <w:t>3</w:t>
            </w:r>
            <w:r>
              <w:rPr>
                <w:rFonts w:hint="eastAsia"/>
                <w:sz w:val="24"/>
              </w:rPr>
              <w:t>/d。因此，本次按照（38.79m</w:t>
            </w:r>
            <w:r>
              <w:rPr>
                <w:rFonts w:hint="eastAsia"/>
                <w:sz w:val="24"/>
                <w:vertAlign w:val="superscript"/>
              </w:rPr>
              <w:t>3</w:t>
            </w:r>
            <w:r>
              <w:rPr>
                <w:rFonts w:hint="eastAsia"/>
                <w:sz w:val="24"/>
              </w:rPr>
              <w:t>/d）排水规模进行分析论证。</w:t>
            </w:r>
          </w:p>
          <w:p>
            <w:pPr>
              <w:adjustRightInd w:val="0"/>
              <w:snapToGrid w:val="0"/>
              <w:spacing w:line="360" w:lineRule="auto"/>
              <w:ind w:firstLine="482" w:firstLineChars="200"/>
              <w:rPr>
                <w:b/>
                <w:bCs/>
                <w:color w:val="000000"/>
                <w:sz w:val="24"/>
              </w:rPr>
            </w:pPr>
            <w:r>
              <w:rPr>
                <w:rFonts w:hint="eastAsia"/>
                <w:b/>
                <w:bCs/>
                <w:color w:val="000000"/>
                <w:sz w:val="24"/>
              </w:rPr>
              <w:t>7.3水质现状</w:t>
            </w:r>
          </w:p>
          <w:p>
            <w:pPr>
              <w:adjustRightInd w:val="0"/>
              <w:snapToGrid w:val="0"/>
              <w:spacing w:line="360" w:lineRule="auto"/>
              <w:ind w:firstLine="480" w:firstLineChars="200"/>
              <w:rPr>
                <w:sz w:val="24"/>
              </w:rPr>
            </w:pPr>
            <w:r>
              <w:rPr>
                <w:sz w:val="24"/>
              </w:rPr>
              <w:t>本次地表水环境质量监测数据引用于</w:t>
            </w:r>
            <w:r>
              <w:rPr>
                <w:rFonts w:hint="eastAsia"/>
                <w:sz w:val="24"/>
              </w:rPr>
              <w:t>新田县环境监测站统计的</w:t>
            </w:r>
            <w:r>
              <w:rPr>
                <w:sz w:val="24"/>
              </w:rPr>
              <w:t>环境监测结果，新田河金陵水库监测断面位于本项目</w:t>
            </w:r>
            <w:r>
              <w:rPr>
                <w:rFonts w:hint="eastAsia"/>
                <w:sz w:val="24"/>
              </w:rPr>
              <w:t>上</w:t>
            </w:r>
            <w:r>
              <w:rPr>
                <w:sz w:val="24"/>
              </w:rPr>
              <w:t>游。</w:t>
            </w:r>
          </w:p>
          <w:p>
            <w:pPr>
              <w:adjustRightInd w:val="0"/>
              <w:snapToGrid w:val="0"/>
              <w:spacing w:line="360" w:lineRule="auto"/>
              <w:ind w:firstLine="480" w:firstLineChars="200"/>
              <w:rPr>
                <w:sz w:val="24"/>
              </w:rPr>
            </w:pPr>
            <w:r>
              <w:rPr>
                <w:sz w:val="24"/>
              </w:rPr>
              <w:t>监测因子：</w:t>
            </w:r>
            <w:r>
              <w:rPr>
                <w:rFonts w:hint="eastAsia"/>
                <w:sz w:val="24"/>
              </w:rPr>
              <w:t>pH值、溶解氧、</w:t>
            </w:r>
            <w:r>
              <w:rPr>
                <w:sz w:val="24"/>
              </w:rPr>
              <w:t>氨氮、高锰酸盐指数</w:t>
            </w:r>
            <w:r>
              <w:rPr>
                <w:rFonts w:hint="eastAsia"/>
                <w:sz w:val="24"/>
              </w:rPr>
              <w:t>、</w:t>
            </w:r>
            <w:r>
              <w:rPr>
                <w:sz w:val="24"/>
              </w:rPr>
              <w:t>化学需氧量、五日生化需氧量</w:t>
            </w:r>
            <w:r>
              <w:rPr>
                <w:rFonts w:hint="eastAsia"/>
                <w:sz w:val="24"/>
              </w:rPr>
              <w:t>、</w:t>
            </w:r>
            <w:r>
              <w:rPr>
                <w:sz w:val="24"/>
              </w:rPr>
              <w:t>总磷、总氮</w:t>
            </w:r>
            <w:r>
              <w:rPr>
                <w:rFonts w:hint="eastAsia"/>
                <w:sz w:val="24"/>
              </w:rPr>
              <w:t>、铜、锌、氟化物、硒、砷、汞、镉、六价铬、铅、氰化物、挥发酚、石油类、阴离子表面活性剂、硫化物、粪大肠菌群</w:t>
            </w:r>
            <w:r>
              <w:rPr>
                <w:sz w:val="24"/>
              </w:rPr>
              <w:t>。</w:t>
            </w:r>
          </w:p>
          <w:p>
            <w:pPr>
              <w:adjustRightInd w:val="0"/>
              <w:snapToGrid w:val="0"/>
              <w:spacing w:line="360" w:lineRule="auto"/>
              <w:ind w:firstLine="480" w:firstLineChars="200"/>
              <w:rPr>
                <w:sz w:val="24"/>
              </w:rPr>
            </w:pPr>
            <w:r>
              <w:rPr>
                <w:sz w:val="24"/>
              </w:rPr>
              <w:t>地表水环境质量现状监测结果统计及评价分析见表</w:t>
            </w:r>
            <w:r>
              <w:rPr>
                <w:rFonts w:hint="eastAsia"/>
                <w:sz w:val="24"/>
              </w:rPr>
              <w:t>4-3</w:t>
            </w:r>
            <w:r>
              <w:rPr>
                <w:sz w:val="24"/>
              </w:rPr>
              <w:t>。</w:t>
            </w:r>
          </w:p>
          <w:p>
            <w:pPr>
              <w:adjustRightInd w:val="0"/>
              <w:snapToGrid w:val="0"/>
              <w:jc w:val="center"/>
              <w:rPr>
                <w:b/>
                <w:bCs/>
                <w:szCs w:val="21"/>
              </w:rPr>
            </w:pPr>
            <w:r>
              <w:rPr>
                <w:b/>
                <w:bCs/>
                <w:szCs w:val="21"/>
              </w:rPr>
              <w:t>表</w:t>
            </w:r>
            <w:r>
              <w:rPr>
                <w:rFonts w:hint="eastAsia"/>
                <w:b/>
                <w:bCs/>
                <w:szCs w:val="21"/>
              </w:rPr>
              <w:t>4-3</w:t>
            </w:r>
            <w:r>
              <w:rPr>
                <w:b/>
                <w:bCs/>
                <w:szCs w:val="21"/>
              </w:rPr>
              <w:t xml:space="preserve">  新田县202</w:t>
            </w:r>
            <w:r>
              <w:rPr>
                <w:rFonts w:hint="eastAsia"/>
                <w:b/>
                <w:bCs/>
                <w:szCs w:val="21"/>
              </w:rPr>
              <w:t>1</w:t>
            </w:r>
            <w:r>
              <w:rPr>
                <w:b/>
                <w:bCs/>
                <w:szCs w:val="21"/>
              </w:rPr>
              <w:t>年</w:t>
            </w:r>
            <w:r>
              <w:rPr>
                <w:rFonts w:hint="eastAsia"/>
                <w:b/>
                <w:bCs/>
                <w:szCs w:val="21"/>
              </w:rPr>
              <w:t>11</w:t>
            </w:r>
            <w:r>
              <w:rPr>
                <w:b/>
                <w:bCs/>
                <w:szCs w:val="21"/>
              </w:rPr>
              <w:t>月地表水监测数据</w:t>
            </w:r>
          </w:p>
          <w:tbl>
            <w:tblPr>
              <w:tblStyle w:val="25"/>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2"/>
              <w:gridCol w:w="1215"/>
              <w:gridCol w:w="1179"/>
              <w:gridCol w:w="1737"/>
              <w:gridCol w:w="1317"/>
              <w:gridCol w:w="13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16" w:type="pct"/>
                  <w:tcBorders>
                    <w:tl2br w:val="nil"/>
                    <w:tr2bl w:val="nil"/>
                  </w:tcBorders>
                  <w:vAlign w:val="center"/>
                </w:tcPr>
                <w:p>
                  <w:pPr>
                    <w:autoSpaceDE w:val="0"/>
                    <w:autoSpaceDN w:val="0"/>
                    <w:adjustRightInd w:val="0"/>
                    <w:snapToGrid w:val="0"/>
                    <w:jc w:val="center"/>
                    <w:rPr>
                      <w:szCs w:val="21"/>
                    </w:rPr>
                  </w:pPr>
                  <w:r>
                    <w:rPr>
                      <w:rFonts w:hint="eastAsia"/>
                      <w:kern w:val="0"/>
                      <w:szCs w:val="21"/>
                      <w:lang w:bidi="zh-CN"/>
                    </w:rPr>
                    <w:t>监测</w:t>
                  </w:r>
                  <w:r>
                    <w:rPr>
                      <w:kern w:val="0"/>
                      <w:szCs w:val="21"/>
                      <w:lang w:bidi="zh-CN"/>
                    </w:rPr>
                    <w:t>日期</w:t>
                  </w:r>
                </w:p>
              </w:tc>
              <w:tc>
                <w:tcPr>
                  <w:tcW w:w="769" w:type="pct"/>
                  <w:tcBorders>
                    <w:tl2br w:val="nil"/>
                    <w:tr2bl w:val="nil"/>
                  </w:tcBorders>
                  <w:vAlign w:val="center"/>
                </w:tcPr>
                <w:p>
                  <w:pPr>
                    <w:autoSpaceDE w:val="0"/>
                    <w:autoSpaceDN w:val="0"/>
                    <w:adjustRightInd w:val="0"/>
                    <w:snapToGrid w:val="0"/>
                    <w:jc w:val="center"/>
                    <w:rPr>
                      <w:szCs w:val="21"/>
                    </w:rPr>
                  </w:pPr>
                  <w:r>
                    <w:rPr>
                      <w:rFonts w:hint="eastAsia"/>
                      <w:kern w:val="0"/>
                      <w:szCs w:val="21"/>
                      <w:lang w:bidi="zh-CN"/>
                    </w:rPr>
                    <w:t>河流名称</w:t>
                  </w:r>
                </w:p>
              </w:tc>
              <w:tc>
                <w:tcPr>
                  <w:tcW w:w="746" w:type="pct"/>
                  <w:tcBorders>
                    <w:tl2br w:val="nil"/>
                    <w:tr2bl w:val="nil"/>
                  </w:tcBorders>
                  <w:vAlign w:val="center"/>
                </w:tcPr>
                <w:p>
                  <w:pPr>
                    <w:autoSpaceDE w:val="0"/>
                    <w:autoSpaceDN w:val="0"/>
                    <w:adjustRightInd w:val="0"/>
                    <w:snapToGrid w:val="0"/>
                    <w:jc w:val="center"/>
                    <w:rPr>
                      <w:szCs w:val="21"/>
                    </w:rPr>
                  </w:pPr>
                  <w:r>
                    <w:rPr>
                      <w:rFonts w:hint="eastAsia"/>
                      <w:kern w:val="0"/>
                      <w:szCs w:val="21"/>
                      <w:lang w:bidi="zh-CN"/>
                    </w:rPr>
                    <w:t>断面名称</w:t>
                  </w:r>
                </w:p>
              </w:tc>
              <w:tc>
                <w:tcPr>
                  <w:tcW w:w="1099" w:type="pct"/>
                  <w:tcBorders>
                    <w:tl2br w:val="nil"/>
                    <w:tr2bl w:val="nil"/>
                  </w:tcBorders>
                  <w:vAlign w:val="center"/>
                </w:tcPr>
                <w:p>
                  <w:pPr>
                    <w:autoSpaceDE w:val="0"/>
                    <w:autoSpaceDN w:val="0"/>
                    <w:adjustRightInd w:val="0"/>
                    <w:snapToGrid w:val="0"/>
                    <w:jc w:val="center"/>
                    <w:rPr>
                      <w:szCs w:val="21"/>
                    </w:rPr>
                  </w:pPr>
                  <w:r>
                    <w:rPr>
                      <w:kern w:val="0"/>
                      <w:szCs w:val="21"/>
                      <w:lang w:bidi="zh-CN"/>
                    </w:rPr>
                    <w:t>检测因子</w:t>
                  </w:r>
                </w:p>
              </w:tc>
              <w:tc>
                <w:tcPr>
                  <w:tcW w:w="833" w:type="pct"/>
                  <w:tcBorders>
                    <w:tl2br w:val="nil"/>
                    <w:tr2bl w:val="nil"/>
                  </w:tcBorders>
                  <w:vAlign w:val="center"/>
                </w:tcPr>
                <w:p>
                  <w:pPr>
                    <w:adjustRightInd w:val="0"/>
                    <w:snapToGrid w:val="0"/>
                    <w:jc w:val="center"/>
                    <w:rPr>
                      <w:szCs w:val="21"/>
                    </w:rPr>
                  </w:pPr>
                  <w:r>
                    <w:rPr>
                      <w:szCs w:val="21"/>
                    </w:rPr>
                    <w:t>单位</w:t>
                  </w:r>
                </w:p>
              </w:tc>
              <w:tc>
                <w:tcPr>
                  <w:tcW w:w="833" w:type="pct"/>
                  <w:tcBorders>
                    <w:tl2br w:val="nil"/>
                    <w:tr2bl w:val="nil"/>
                  </w:tcBorders>
                  <w:vAlign w:val="center"/>
                </w:tcPr>
                <w:p>
                  <w:pPr>
                    <w:adjustRightInd w:val="0"/>
                    <w:snapToGrid w:val="0"/>
                    <w:jc w:val="center"/>
                    <w:rPr>
                      <w:szCs w:val="21"/>
                    </w:rPr>
                  </w:pPr>
                  <w:r>
                    <w:rPr>
                      <w:rFonts w:hint="eastAsia"/>
                      <w:szCs w:val="21"/>
                    </w:rPr>
                    <w:t>检测结果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16" w:type="pct"/>
                  <w:vMerge w:val="restart"/>
                  <w:tcBorders>
                    <w:tl2br w:val="nil"/>
                    <w:tr2bl w:val="nil"/>
                  </w:tcBorders>
                  <w:vAlign w:val="center"/>
                </w:tcPr>
                <w:p>
                  <w:pPr>
                    <w:adjustRightInd w:val="0"/>
                    <w:snapToGrid w:val="0"/>
                    <w:jc w:val="center"/>
                    <w:rPr>
                      <w:szCs w:val="21"/>
                    </w:rPr>
                  </w:pPr>
                  <w:r>
                    <w:rPr>
                      <w:szCs w:val="21"/>
                    </w:rPr>
                    <w:t>202</w:t>
                  </w:r>
                  <w:r>
                    <w:rPr>
                      <w:rFonts w:hint="eastAsia"/>
                      <w:szCs w:val="21"/>
                    </w:rPr>
                    <w:t>1.11.3</w:t>
                  </w:r>
                </w:p>
              </w:tc>
              <w:tc>
                <w:tcPr>
                  <w:tcW w:w="769" w:type="pct"/>
                  <w:vMerge w:val="restart"/>
                  <w:tcBorders>
                    <w:tl2br w:val="nil"/>
                    <w:tr2bl w:val="nil"/>
                  </w:tcBorders>
                  <w:vAlign w:val="center"/>
                </w:tcPr>
                <w:p>
                  <w:pPr>
                    <w:autoSpaceDE w:val="0"/>
                    <w:autoSpaceDN w:val="0"/>
                    <w:adjustRightInd w:val="0"/>
                    <w:snapToGrid w:val="0"/>
                    <w:jc w:val="center"/>
                    <w:rPr>
                      <w:szCs w:val="21"/>
                    </w:rPr>
                  </w:pPr>
                  <w:r>
                    <w:rPr>
                      <w:kern w:val="0"/>
                      <w:szCs w:val="21"/>
                      <w:lang w:bidi="zh-CN"/>
                    </w:rPr>
                    <w:t>湘江舂陵水新田河日东河</w:t>
                  </w:r>
                </w:p>
              </w:tc>
              <w:tc>
                <w:tcPr>
                  <w:tcW w:w="746" w:type="pct"/>
                  <w:vMerge w:val="restart"/>
                  <w:tcBorders>
                    <w:tl2br w:val="nil"/>
                    <w:tr2bl w:val="nil"/>
                  </w:tcBorders>
                  <w:vAlign w:val="center"/>
                </w:tcPr>
                <w:p>
                  <w:pPr>
                    <w:autoSpaceDE w:val="0"/>
                    <w:autoSpaceDN w:val="0"/>
                    <w:adjustRightInd w:val="0"/>
                    <w:snapToGrid w:val="0"/>
                    <w:jc w:val="center"/>
                    <w:rPr>
                      <w:szCs w:val="21"/>
                    </w:rPr>
                  </w:pPr>
                  <w:r>
                    <w:rPr>
                      <w:kern w:val="0"/>
                      <w:szCs w:val="21"/>
                      <w:lang w:bidi="zh-CN"/>
                    </w:rPr>
                    <w:t>金陵水库</w:t>
                  </w:r>
                </w:p>
              </w:tc>
              <w:tc>
                <w:tcPr>
                  <w:tcW w:w="1099" w:type="pct"/>
                  <w:tcBorders>
                    <w:tl2br w:val="nil"/>
                    <w:tr2bl w:val="nil"/>
                  </w:tcBorders>
                  <w:vAlign w:val="center"/>
                </w:tcPr>
                <w:p>
                  <w:pPr>
                    <w:autoSpaceDE w:val="0"/>
                    <w:autoSpaceDN w:val="0"/>
                    <w:adjustRightInd w:val="0"/>
                    <w:snapToGrid w:val="0"/>
                    <w:jc w:val="center"/>
                    <w:rPr>
                      <w:szCs w:val="21"/>
                    </w:rPr>
                  </w:pPr>
                  <w:r>
                    <w:rPr>
                      <w:rFonts w:hint="eastAsia"/>
                      <w:kern w:val="0"/>
                      <w:szCs w:val="21"/>
                      <w:lang w:bidi="zh-CN"/>
                    </w:rPr>
                    <w:t>pH</w:t>
                  </w:r>
                </w:p>
              </w:tc>
              <w:tc>
                <w:tcPr>
                  <w:tcW w:w="833" w:type="pct"/>
                  <w:tcBorders>
                    <w:tl2br w:val="nil"/>
                    <w:tr2bl w:val="nil"/>
                  </w:tcBorders>
                  <w:vAlign w:val="center"/>
                </w:tcPr>
                <w:p>
                  <w:pPr>
                    <w:autoSpaceDE w:val="0"/>
                    <w:autoSpaceDN w:val="0"/>
                    <w:adjustRightInd w:val="0"/>
                    <w:snapToGrid w:val="0"/>
                    <w:jc w:val="center"/>
                    <w:rPr>
                      <w:szCs w:val="21"/>
                    </w:rPr>
                  </w:pPr>
                  <w:r>
                    <w:rPr>
                      <w:rFonts w:hint="eastAsia"/>
                      <w:kern w:val="0"/>
                      <w:szCs w:val="21"/>
                      <w:lang w:bidi="zh-CN"/>
                    </w:rPr>
                    <w:t>无量纲</w:t>
                  </w:r>
                </w:p>
              </w:tc>
              <w:tc>
                <w:tcPr>
                  <w:tcW w:w="833" w:type="pct"/>
                  <w:tcBorders>
                    <w:tl2br w:val="nil"/>
                    <w:tr2bl w:val="nil"/>
                  </w:tcBorders>
                  <w:vAlign w:val="center"/>
                </w:tcPr>
                <w:p>
                  <w:pPr>
                    <w:adjustRightInd w:val="0"/>
                    <w:snapToGrid w:val="0"/>
                    <w:jc w:val="center"/>
                    <w:rPr>
                      <w:szCs w:val="21"/>
                    </w:rPr>
                  </w:pPr>
                  <w:r>
                    <w:rPr>
                      <w:rFonts w:hint="eastAsia"/>
                      <w:szCs w:val="21"/>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16" w:type="pct"/>
                  <w:vMerge w:val="continue"/>
                  <w:tcBorders>
                    <w:tl2br w:val="nil"/>
                    <w:tr2bl w:val="nil"/>
                  </w:tcBorders>
                  <w:vAlign w:val="center"/>
                </w:tcPr>
                <w:p>
                  <w:pPr>
                    <w:adjustRightInd w:val="0"/>
                    <w:snapToGrid w:val="0"/>
                    <w:jc w:val="center"/>
                    <w:rPr>
                      <w:szCs w:val="21"/>
                    </w:rPr>
                  </w:pPr>
                </w:p>
              </w:tc>
              <w:tc>
                <w:tcPr>
                  <w:tcW w:w="769" w:type="pct"/>
                  <w:vMerge w:val="continue"/>
                  <w:tcBorders>
                    <w:tl2br w:val="nil"/>
                    <w:tr2bl w:val="nil"/>
                  </w:tcBorders>
                  <w:vAlign w:val="center"/>
                </w:tcPr>
                <w:p>
                  <w:pPr>
                    <w:adjustRightInd w:val="0"/>
                    <w:snapToGrid w:val="0"/>
                    <w:jc w:val="center"/>
                    <w:rPr>
                      <w:szCs w:val="21"/>
                    </w:rPr>
                  </w:pPr>
                </w:p>
              </w:tc>
              <w:tc>
                <w:tcPr>
                  <w:tcW w:w="746" w:type="pct"/>
                  <w:vMerge w:val="continue"/>
                  <w:tcBorders>
                    <w:tl2br w:val="nil"/>
                    <w:tr2bl w:val="nil"/>
                  </w:tcBorders>
                  <w:vAlign w:val="center"/>
                </w:tcPr>
                <w:p>
                  <w:pPr>
                    <w:adjustRightInd w:val="0"/>
                    <w:snapToGrid w:val="0"/>
                    <w:jc w:val="center"/>
                    <w:rPr>
                      <w:szCs w:val="21"/>
                    </w:rPr>
                  </w:pPr>
                </w:p>
              </w:tc>
              <w:tc>
                <w:tcPr>
                  <w:tcW w:w="1099" w:type="pct"/>
                  <w:tcBorders>
                    <w:tl2br w:val="nil"/>
                    <w:tr2bl w:val="nil"/>
                  </w:tcBorders>
                  <w:vAlign w:val="center"/>
                </w:tcPr>
                <w:p>
                  <w:pPr>
                    <w:autoSpaceDE w:val="0"/>
                    <w:autoSpaceDN w:val="0"/>
                    <w:adjustRightInd w:val="0"/>
                    <w:snapToGrid w:val="0"/>
                    <w:jc w:val="center"/>
                    <w:rPr>
                      <w:szCs w:val="21"/>
                    </w:rPr>
                  </w:pPr>
                  <w:r>
                    <w:rPr>
                      <w:rFonts w:hint="eastAsia"/>
                      <w:kern w:val="0"/>
                      <w:szCs w:val="21"/>
                      <w:lang w:bidi="zh-CN"/>
                    </w:rPr>
                    <w:t>溶解氧</w:t>
                  </w:r>
                </w:p>
              </w:tc>
              <w:tc>
                <w:tcPr>
                  <w:tcW w:w="833" w:type="pct"/>
                  <w:tcBorders>
                    <w:tl2br w:val="nil"/>
                    <w:tr2bl w:val="nil"/>
                  </w:tcBorders>
                  <w:vAlign w:val="center"/>
                </w:tcPr>
                <w:p>
                  <w:pPr>
                    <w:autoSpaceDE w:val="0"/>
                    <w:autoSpaceDN w:val="0"/>
                    <w:adjustRightInd w:val="0"/>
                    <w:snapToGrid w:val="0"/>
                    <w:jc w:val="center"/>
                    <w:rPr>
                      <w:szCs w:val="21"/>
                    </w:rPr>
                  </w:pPr>
                  <w:r>
                    <w:rPr>
                      <w:kern w:val="0"/>
                      <w:szCs w:val="21"/>
                      <w:lang w:bidi="zh-CN"/>
                    </w:rPr>
                    <w:t>mg/L</w:t>
                  </w:r>
                </w:p>
              </w:tc>
              <w:tc>
                <w:tcPr>
                  <w:tcW w:w="833" w:type="pct"/>
                  <w:tcBorders>
                    <w:tl2br w:val="nil"/>
                    <w:tr2bl w:val="nil"/>
                  </w:tcBorders>
                  <w:vAlign w:val="center"/>
                </w:tcPr>
                <w:p>
                  <w:pPr>
                    <w:adjustRightInd w:val="0"/>
                    <w:snapToGrid w:val="0"/>
                    <w:jc w:val="center"/>
                    <w:rPr>
                      <w:szCs w:val="21"/>
                    </w:rPr>
                  </w:pPr>
                  <w:r>
                    <w:rPr>
                      <w:rFonts w:hint="eastAsia"/>
                      <w:szCs w:val="21"/>
                    </w:rPr>
                    <w:t>7.71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16" w:type="pct"/>
                  <w:vMerge w:val="continue"/>
                  <w:tcBorders>
                    <w:tl2br w:val="nil"/>
                    <w:tr2bl w:val="nil"/>
                  </w:tcBorders>
                  <w:vAlign w:val="center"/>
                </w:tcPr>
                <w:p>
                  <w:pPr>
                    <w:adjustRightInd w:val="0"/>
                    <w:snapToGrid w:val="0"/>
                    <w:jc w:val="center"/>
                    <w:rPr>
                      <w:szCs w:val="21"/>
                    </w:rPr>
                  </w:pPr>
                </w:p>
              </w:tc>
              <w:tc>
                <w:tcPr>
                  <w:tcW w:w="769" w:type="pct"/>
                  <w:vMerge w:val="continue"/>
                  <w:tcBorders>
                    <w:tl2br w:val="nil"/>
                    <w:tr2bl w:val="nil"/>
                  </w:tcBorders>
                  <w:vAlign w:val="center"/>
                </w:tcPr>
                <w:p>
                  <w:pPr>
                    <w:adjustRightInd w:val="0"/>
                    <w:snapToGrid w:val="0"/>
                    <w:jc w:val="center"/>
                    <w:rPr>
                      <w:szCs w:val="21"/>
                    </w:rPr>
                  </w:pPr>
                </w:p>
              </w:tc>
              <w:tc>
                <w:tcPr>
                  <w:tcW w:w="746" w:type="pct"/>
                  <w:vMerge w:val="continue"/>
                  <w:tcBorders>
                    <w:tl2br w:val="nil"/>
                    <w:tr2bl w:val="nil"/>
                  </w:tcBorders>
                  <w:vAlign w:val="center"/>
                </w:tcPr>
                <w:p>
                  <w:pPr>
                    <w:adjustRightInd w:val="0"/>
                    <w:snapToGrid w:val="0"/>
                    <w:jc w:val="center"/>
                    <w:rPr>
                      <w:szCs w:val="21"/>
                    </w:rPr>
                  </w:pPr>
                </w:p>
              </w:tc>
              <w:tc>
                <w:tcPr>
                  <w:tcW w:w="1099" w:type="pct"/>
                  <w:tcBorders>
                    <w:tl2br w:val="nil"/>
                    <w:tr2bl w:val="nil"/>
                  </w:tcBorders>
                  <w:vAlign w:val="center"/>
                </w:tcPr>
                <w:p>
                  <w:pPr>
                    <w:autoSpaceDE w:val="0"/>
                    <w:autoSpaceDN w:val="0"/>
                    <w:adjustRightInd w:val="0"/>
                    <w:snapToGrid w:val="0"/>
                    <w:jc w:val="center"/>
                    <w:rPr>
                      <w:szCs w:val="21"/>
                    </w:rPr>
                  </w:pPr>
                  <w:r>
                    <w:rPr>
                      <w:rFonts w:hint="eastAsia"/>
                      <w:kern w:val="0"/>
                      <w:szCs w:val="21"/>
                      <w:lang w:bidi="zh-CN"/>
                    </w:rPr>
                    <w:t>高锰酸盐指数</w:t>
                  </w:r>
                </w:p>
              </w:tc>
              <w:tc>
                <w:tcPr>
                  <w:tcW w:w="833" w:type="pct"/>
                  <w:tcBorders>
                    <w:tl2br w:val="nil"/>
                    <w:tr2bl w:val="nil"/>
                  </w:tcBorders>
                  <w:vAlign w:val="center"/>
                </w:tcPr>
                <w:p>
                  <w:pPr>
                    <w:autoSpaceDE w:val="0"/>
                    <w:autoSpaceDN w:val="0"/>
                    <w:adjustRightInd w:val="0"/>
                    <w:snapToGrid w:val="0"/>
                    <w:jc w:val="center"/>
                    <w:rPr>
                      <w:szCs w:val="21"/>
                    </w:rPr>
                  </w:pPr>
                  <w:r>
                    <w:rPr>
                      <w:kern w:val="0"/>
                      <w:szCs w:val="21"/>
                      <w:lang w:bidi="zh-CN"/>
                    </w:rPr>
                    <w:t>mg/L</w:t>
                  </w:r>
                </w:p>
              </w:tc>
              <w:tc>
                <w:tcPr>
                  <w:tcW w:w="833" w:type="pct"/>
                  <w:tcBorders>
                    <w:tl2br w:val="nil"/>
                    <w:tr2bl w:val="nil"/>
                  </w:tcBorders>
                  <w:vAlign w:val="center"/>
                </w:tcPr>
                <w:p>
                  <w:pPr>
                    <w:adjustRightInd w:val="0"/>
                    <w:snapToGrid w:val="0"/>
                    <w:jc w:val="center"/>
                    <w:rPr>
                      <w:szCs w:val="21"/>
                    </w:rPr>
                  </w:pPr>
                  <w:r>
                    <w:rPr>
                      <w:rFonts w:hint="eastAsia"/>
                      <w:szCs w:val="21"/>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716" w:type="pct"/>
                  <w:vMerge w:val="continue"/>
                  <w:tcBorders>
                    <w:tl2br w:val="nil"/>
                    <w:tr2bl w:val="nil"/>
                  </w:tcBorders>
                  <w:vAlign w:val="center"/>
                </w:tcPr>
                <w:p>
                  <w:pPr>
                    <w:adjustRightInd w:val="0"/>
                    <w:snapToGrid w:val="0"/>
                    <w:jc w:val="center"/>
                    <w:rPr>
                      <w:szCs w:val="21"/>
                    </w:rPr>
                  </w:pPr>
                </w:p>
              </w:tc>
              <w:tc>
                <w:tcPr>
                  <w:tcW w:w="769" w:type="pct"/>
                  <w:vMerge w:val="continue"/>
                  <w:tcBorders>
                    <w:tl2br w:val="nil"/>
                    <w:tr2bl w:val="nil"/>
                  </w:tcBorders>
                  <w:vAlign w:val="center"/>
                </w:tcPr>
                <w:p>
                  <w:pPr>
                    <w:adjustRightInd w:val="0"/>
                    <w:snapToGrid w:val="0"/>
                    <w:jc w:val="center"/>
                    <w:rPr>
                      <w:szCs w:val="21"/>
                    </w:rPr>
                  </w:pPr>
                </w:p>
              </w:tc>
              <w:tc>
                <w:tcPr>
                  <w:tcW w:w="746" w:type="pct"/>
                  <w:vMerge w:val="continue"/>
                  <w:tcBorders>
                    <w:tl2br w:val="nil"/>
                    <w:tr2bl w:val="nil"/>
                  </w:tcBorders>
                  <w:vAlign w:val="center"/>
                </w:tcPr>
                <w:p>
                  <w:pPr>
                    <w:adjustRightInd w:val="0"/>
                    <w:snapToGrid w:val="0"/>
                    <w:jc w:val="center"/>
                    <w:rPr>
                      <w:szCs w:val="21"/>
                    </w:rPr>
                  </w:pPr>
                </w:p>
              </w:tc>
              <w:tc>
                <w:tcPr>
                  <w:tcW w:w="1099" w:type="pct"/>
                  <w:tcBorders>
                    <w:tl2br w:val="nil"/>
                    <w:tr2bl w:val="nil"/>
                  </w:tcBorders>
                  <w:vAlign w:val="center"/>
                </w:tcPr>
                <w:p>
                  <w:pPr>
                    <w:autoSpaceDE w:val="0"/>
                    <w:autoSpaceDN w:val="0"/>
                    <w:adjustRightInd w:val="0"/>
                    <w:snapToGrid w:val="0"/>
                    <w:jc w:val="center"/>
                    <w:rPr>
                      <w:szCs w:val="21"/>
                    </w:rPr>
                  </w:pPr>
                  <w:r>
                    <w:rPr>
                      <w:kern w:val="0"/>
                      <w:szCs w:val="21"/>
                      <w:lang w:bidi="zh-CN"/>
                    </w:rPr>
                    <w:t>氨氮</w:t>
                  </w:r>
                </w:p>
              </w:tc>
              <w:tc>
                <w:tcPr>
                  <w:tcW w:w="833" w:type="pct"/>
                  <w:tcBorders>
                    <w:tl2br w:val="nil"/>
                    <w:tr2bl w:val="nil"/>
                  </w:tcBorders>
                  <w:vAlign w:val="center"/>
                </w:tcPr>
                <w:p>
                  <w:pPr>
                    <w:autoSpaceDE w:val="0"/>
                    <w:autoSpaceDN w:val="0"/>
                    <w:adjustRightInd w:val="0"/>
                    <w:snapToGrid w:val="0"/>
                    <w:jc w:val="center"/>
                    <w:rPr>
                      <w:szCs w:val="21"/>
                    </w:rPr>
                  </w:pPr>
                  <w:r>
                    <w:rPr>
                      <w:kern w:val="0"/>
                      <w:szCs w:val="21"/>
                      <w:lang w:bidi="zh-CN"/>
                    </w:rPr>
                    <w:t>mg/L</w:t>
                  </w:r>
                </w:p>
              </w:tc>
              <w:tc>
                <w:tcPr>
                  <w:tcW w:w="833" w:type="pct"/>
                  <w:tcBorders>
                    <w:tl2br w:val="nil"/>
                    <w:tr2bl w:val="nil"/>
                  </w:tcBorders>
                  <w:vAlign w:val="center"/>
                </w:tcPr>
                <w:p>
                  <w:pPr>
                    <w:adjustRightInd w:val="0"/>
                    <w:snapToGrid w:val="0"/>
                    <w:jc w:val="center"/>
                    <w:rPr>
                      <w:szCs w:val="21"/>
                    </w:rPr>
                  </w:pPr>
                  <w:r>
                    <w:rPr>
                      <w:rFonts w:hint="eastAsia"/>
                      <w:szCs w:val="21"/>
                    </w:rPr>
                    <w:t>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16" w:type="pct"/>
                  <w:vMerge w:val="continue"/>
                  <w:tcBorders>
                    <w:tl2br w:val="nil"/>
                    <w:tr2bl w:val="nil"/>
                  </w:tcBorders>
                  <w:vAlign w:val="center"/>
                </w:tcPr>
                <w:p>
                  <w:pPr>
                    <w:adjustRightInd w:val="0"/>
                    <w:snapToGrid w:val="0"/>
                    <w:jc w:val="center"/>
                    <w:rPr>
                      <w:szCs w:val="21"/>
                    </w:rPr>
                  </w:pPr>
                </w:p>
              </w:tc>
              <w:tc>
                <w:tcPr>
                  <w:tcW w:w="769" w:type="pct"/>
                  <w:vMerge w:val="continue"/>
                  <w:tcBorders>
                    <w:tl2br w:val="nil"/>
                    <w:tr2bl w:val="nil"/>
                  </w:tcBorders>
                  <w:vAlign w:val="center"/>
                </w:tcPr>
                <w:p>
                  <w:pPr>
                    <w:adjustRightInd w:val="0"/>
                    <w:snapToGrid w:val="0"/>
                    <w:jc w:val="center"/>
                    <w:rPr>
                      <w:szCs w:val="21"/>
                    </w:rPr>
                  </w:pPr>
                </w:p>
              </w:tc>
              <w:tc>
                <w:tcPr>
                  <w:tcW w:w="746" w:type="pct"/>
                  <w:vMerge w:val="continue"/>
                  <w:tcBorders>
                    <w:tl2br w:val="nil"/>
                    <w:tr2bl w:val="nil"/>
                  </w:tcBorders>
                  <w:vAlign w:val="center"/>
                </w:tcPr>
                <w:p>
                  <w:pPr>
                    <w:adjustRightInd w:val="0"/>
                    <w:snapToGrid w:val="0"/>
                    <w:jc w:val="center"/>
                    <w:rPr>
                      <w:szCs w:val="21"/>
                    </w:rPr>
                  </w:pPr>
                </w:p>
              </w:tc>
              <w:tc>
                <w:tcPr>
                  <w:tcW w:w="1099" w:type="pct"/>
                  <w:tcBorders>
                    <w:tl2br w:val="nil"/>
                    <w:tr2bl w:val="nil"/>
                  </w:tcBorders>
                  <w:vAlign w:val="center"/>
                </w:tcPr>
                <w:p>
                  <w:pPr>
                    <w:autoSpaceDE w:val="0"/>
                    <w:autoSpaceDN w:val="0"/>
                    <w:adjustRightInd w:val="0"/>
                    <w:snapToGrid w:val="0"/>
                    <w:jc w:val="center"/>
                    <w:rPr>
                      <w:szCs w:val="21"/>
                    </w:rPr>
                  </w:pPr>
                  <w:r>
                    <w:rPr>
                      <w:kern w:val="0"/>
                      <w:szCs w:val="21"/>
                      <w:lang w:bidi="zh-CN"/>
                    </w:rPr>
                    <w:t>化学需氧量</w:t>
                  </w:r>
                </w:p>
              </w:tc>
              <w:tc>
                <w:tcPr>
                  <w:tcW w:w="833" w:type="pct"/>
                  <w:tcBorders>
                    <w:tl2br w:val="nil"/>
                    <w:tr2bl w:val="nil"/>
                  </w:tcBorders>
                  <w:vAlign w:val="center"/>
                </w:tcPr>
                <w:p>
                  <w:pPr>
                    <w:autoSpaceDE w:val="0"/>
                    <w:autoSpaceDN w:val="0"/>
                    <w:adjustRightInd w:val="0"/>
                    <w:snapToGrid w:val="0"/>
                    <w:jc w:val="center"/>
                    <w:rPr>
                      <w:szCs w:val="21"/>
                    </w:rPr>
                  </w:pPr>
                  <w:r>
                    <w:rPr>
                      <w:kern w:val="0"/>
                      <w:szCs w:val="21"/>
                      <w:lang w:bidi="zh-CN"/>
                    </w:rPr>
                    <w:t>mg/L</w:t>
                  </w:r>
                </w:p>
              </w:tc>
              <w:tc>
                <w:tcPr>
                  <w:tcW w:w="833" w:type="pct"/>
                  <w:tcBorders>
                    <w:tl2br w:val="nil"/>
                    <w:tr2bl w:val="nil"/>
                  </w:tcBorders>
                  <w:vAlign w:val="center"/>
                </w:tcPr>
                <w:p>
                  <w:pPr>
                    <w:adjustRightInd w:val="0"/>
                    <w:snapToGrid w:val="0"/>
                    <w:jc w:val="center"/>
                    <w:rPr>
                      <w:szCs w:val="21"/>
                    </w:rPr>
                  </w:pPr>
                  <w:r>
                    <w:rPr>
                      <w:rFonts w:hint="eastAsia"/>
                      <w:szCs w:val="21"/>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16" w:type="pct"/>
                  <w:vMerge w:val="continue"/>
                  <w:tcBorders>
                    <w:tl2br w:val="nil"/>
                    <w:tr2bl w:val="nil"/>
                  </w:tcBorders>
                  <w:vAlign w:val="center"/>
                </w:tcPr>
                <w:p>
                  <w:pPr>
                    <w:adjustRightInd w:val="0"/>
                    <w:snapToGrid w:val="0"/>
                    <w:jc w:val="center"/>
                    <w:rPr>
                      <w:szCs w:val="21"/>
                    </w:rPr>
                  </w:pPr>
                </w:p>
              </w:tc>
              <w:tc>
                <w:tcPr>
                  <w:tcW w:w="769" w:type="pct"/>
                  <w:vMerge w:val="continue"/>
                  <w:tcBorders>
                    <w:tl2br w:val="nil"/>
                    <w:tr2bl w:val="nil"/>
                  </w:tcBorders>
                  <w:vAlign w:val="center"/>
                </w:tcPr>
                <w:p>
                  <w:pPr>
                    <w:adjustRightInd w:val="0"/>
                    <w:snapToGrid w:val="0"/>
                    <w:jc w:val="center"/>
                    <w:rPr>
                      <w:szCs w:val="21"/>
                    </w:rPr>
                  </w:pPr>
                </w:p>
              </w:tc>
              <w:tc>
                <w:tcPr>
                  <w:tcW w:w="746" w:type="pct"/>
                  <w:vMerge w:val="continue"/>
                  <w:tcBorders>
                    <w:tl2br w:val="nil"/>
                    <w:tr2bl w:val="nil"/>
                  </w:tcBorders>
                  <w:vAlign w:val="center"/>
                </w:tcPr>
                <w:p>
                  <w:pPr>
                    <w:adjustRightInd w:val="0"/>
                    <w:snapToGrid w:val="0"/>
                    <w:jc w:val="center"/>
                    <w:rPr>
                      <w:szCs w:val="21"/>
                    </w:rPr>
                  </w:pPr>
                </w:p>
              </w:tc>
              <w:tc>
                <w:tcPr>
                  <w:tcW w:w="1099" w:type="pct"/>
                  <w:tcBorders>
                    <w:tl2br w:val="nil"/>
                    <w:tr2bl w:val="nil"/>
                  </w:tcBorders>
                  <w:vAlign w:val="center"/>
                </w:tcPr>
                <w:p>
                  <w:pPr>
                    <w:autoSpaceDE w:val="0"/>
                    <w:autoSpaceDN w:val="0"/>
                    <w:adjustRightInd w:val="0"/>
                    <w:snapToGrid w:val="0"/>
                    <w:jc w:val="center"/>
                    <w:rPr>
                      <w:szCs w:val="21"/>
                    </w:rPr>
                  </w:pPr>
                  <w:r>
                    <w:rPr>
                      <w:kern w:val="0"/>
                      <w:szCs w:val="21"/>
                      <w:lang w:bidi="zh-CN"/>
                    </w:rPr>
                    <w:t>五日生化需氧量</w:t>
                  </w:r>
                </w:p>
              </w:tc>
              <w:tc>
                <w:tcPr>
                  <w:tcW w:w="833" w:type="pct"/>
                  <w:tcBorders>
                    <w:tl2br w:val="nil"/>
                    <w:tr2bl w:val="nil"/>
                  </w:tcBorders>
                  <w:vAlign w:val="center"/>
                </w:tcPr>
                <w:p>
                  <w:pPr>
                    <w:autoSpaceDE w:val="0"/>
                    <w:autoSpaceDN w:val="0"/>
                    <w:adjustRightInd w:val="0"/>
                    <w:snapToGrid w:val="0"/>
                    <w:jc w:val="center"/>
                    <w:rPr>
                      <w:szCs w:val="21"/>
                    </w:rPr>
                  </w:pPr>
                  <w:r>
                    <w:rPr>
                      <w:kern w:val="0"/>
                      <w:szCs w:val="21"/>
                      <w:lang w:bidi="zh-CN"/>
                    </w:rPr>
                    <w:t>mg/L</w:t>
                  </w:r>
                </w:p>
              </w:tc>
              <w:tc>
                <w:tcPr>
                  <w:tcW w:w="833" w:type="pct"/>
                  <w:tcBorders>
                    <w:tl2br w:val="nil"/>
                    <w:tr2bl w:val="nil"/>
                  </w:tcBorders>
                  <w:vAlign w:val="center"/>
                </w:tcPr>
                <w:p>
                  <w:pPr>
                    <w:adjustRightInd w:val="0"/>
                    <w:snapToGrid w:val="0"/>
                    <w:jc w:val="center"/>
                    <w:rPr>
                      <w:szCs w:val="21"/>
                    </w:rPr>
                  </w:pPr>
                  <w:r>
                    <w:rPr>
                      <w:rFonts w:hint="eastAsia"/>
                      <w:szCs w:val="21"/>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16" w:type="pct"/>
                  <w:vMerge w:val="continue"/>
                  <w:tcBorders>
                    <w:tl2br w:val="nil"/>
                    <w:tr2bl w:val="nil"/>
                  </w:tcBorders>
                  <w:vAlign w:val="center"/>
                </w:tcPr>
                <w:p>
                  <w:pPr>
                    <w:adjustRightInd w:val="0"/>
                    <w:snapToGrid w:val="0"/>
                    <w:jc w:val="center"/>
                    <w:rPr>
                      <w:szCs w:val="21"/>
                    </w:rPr>
                  </w:pPr>
                </w:p>
              </w:tc>
              <w:tc>
                <w:tcPr>
                  <w:tcW w:w="769" w:type="pct"/>
                  <w:vMerge w:val="continue"/>
                  <w:tcBorders>
                    <w:tl2br w:val="nil"/>
                    <w:tr2bl w:val="nil"/>
                  </w:tcBorders>
                  <w:vAlign w:val="center"/>
                </w:tcPr>
                <w:p>
                  <w:pPr>
                    <w:adjustRightInd w:val="0"/>
                    <w:snapToGrid w:val="0"/>
                    <w:jc w:val="center"/>
                    <w:rPr>
                      <w:szCs w:val="21"/>
                    </w:rPr>
                  </w:pPr>
                </w:p>
              </w:tc>
              <w:tc>
                <w:tcPr>
                  <w:tcW w:w="746" w:type="pct"/>
                  <w:vMerge w:val="continue"/>
                  <w:tcBorders>
                    <w:tl2br w:val="nil"/>
                    <w:tr2bl w:val="nil"/>
                  </w:tcBorders>
                  <w:vAlign w:val="center"/>
                </w:tcPr>
                <w:p>
                  <w:pPr>
                    <w:adjustRightInd w:val="0"/>
                    <w:snapToGrid w:val="0"/>
                    <w:jc w:val="center"/>
                    <w:rPr>
                      <w:szCs w:val="21"/>
                    </w:rPr>
                  </w:pPr>
                </w:p>
              </w:tc>
              <w:tc>
                <w:tcPr>
                  <w:tcW w:w="1099" w:type="pct"/>
                  <w:tcBorders>
                    <w:tl2br w:val="nil"/>
                    <w:tr2bl w:val="nil"/>
                  </w:tcBorders>
                  <w:vAlign w:val="center"/>
                </w:tcPr>
                <w:p>
                  <w:pPr>
                    <w:autoSpaceDE w:val="0"/>
                    <w:autoSpaceDN w:val="0"/>
                    <w:adjustRightInd w:val="0"/>
                    <w:snapToGrid w:val="0"/>
                    <w:jc w:val="center"/>
                    <w:rPr>
                      <w:szCs w:val="21"/>
                    </w:rPr>
                  </w:pPr>
                  <w:r>
                    <w:rPr>
                      <w:kern w:val="0"/>
                      <w:szCs w:val="21"/>
                      <w:lang w:bidi="zh-CN"/>
                    </w:rPr>
                    <w:t>总磷</w:t>
                  </w:r>
                </w:p>
              </w:tc>
              <w:tc>
                <w:tcPr>
                  <w:tcW w:w="833" w:type="pct"/>
                  <w:tcBorders>
                    <w:tl2br w:val="nil"/>
                    <w:tr2bl w:val="nil"/>
                  </w:tcBorders>
                  <w:vAlign w:val="center"/>
                </w:tcPr>
                <w:p>
                  <w:pPr>
                    <w:autoSpaceDE w:val="0"/>
                    <w:autoSpaceDN w:val="0"/>
                    <w:adjustRightInd w:val="0"/>
                    <w:snapToGrid w:val="0"/>
                    <w:jc w:val="center"/>
                    <w:rPr>
                      <w:szCs w:val="21"/>
                    </w:rPr>
                  </w:pPr>
                  <w:r>
                    <w:rPr>
                      <w:kern w:val="0"/>
                      <w:szCs w:val="21"/>
                      <w:lang w:bidi="zh-CN"/>
                    </w:rPr>
                    <w:t>mg/L</w:t>
                  </w:r>
                </w:p>
              </w:tc>
              <w:tc>
                <w:tcPr>
                  <w:tcW w:w="833" w:type="pct"/>
                  <w:tcBorders>
                    <w:tl2br w:val="nil"/>
                    <w:tr2bl w:val="nil"/>
                  </w:tcBorders>
                  <w:vAlign w:val="center"/>
                </w:tcPr>
                <w:p>
                  <w:pPr>
                    <w:adjustRightInd w:val="0"/>
                    <w:snapToGrid w:val="0"/>
                    <w:jc w:val="center"/>
                    <w:rPr>
                      <w:szCs w:val="21"/>
                    </w:rPr>
                  </w:pPr>
                  <w:r>
                    <w:rPr>
                      <w:rFonts w:hint="eastAsia"/>
                      <w:szCs w:val="21"/>
                    </w:rPr>
                    <w:t>0.01L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16" w:type="pct"/>
                  <w:vMerge w:val="continue"/>
                  <w:tcBorders>
                    <w:tl2br w:val="nil"/>
                    <w:tr2bl w:val="nil"/>
                  </w:tcBorders>
                  <w:vAlign w:val="center"/>
                </w:tcPr>
                <w:p>
                  <w:pPr>
                    <w:adjustRightInd w:val="0"/>
                    <w:snapToGrid w:val="0"/>
                    <w:jc w:val="center"/>
                    <w:rPr>
                      <w:szCs w:val="21"/>
                    </w:rPr>
                  </w:pPr>
                </w:p>
              </w:tc>
              <w:tc>
                <w:tcPr>
                  <w:tcW w:w="769" w:type="pct"/>
                  <w:vMerge w:val="continue"/>
                  <w:tcBorders>
                    <w:tl2br w:val="nil"/>
                    <w:tr2bl w:val="nil"/>
                  </w:tcBorders>
                  <w:vAlign w:val="center"/>
                </w:tcPr>
                <w:p>
                  <w:pPr>
                    <w:adjustRightInd w:val="0"/>
                    <w:snapToGrid w:val="0"/>
                    <w:jc w:val="center"/>
                    <w:rPr>
                      <w:szCs w:val="21"/>
                    </w:rPr>
                  </w:pPr>
                </w:p>
              </w:tc>
              <w:tc>
                <w:tcPr>
                  <w:tcW w:w="746" w:type="pct"/>
                  <w:vMerge w:val="continue"/>
                  <w:tcBorders>
                    <w:tl2br w:val="nil"/>
                    <w:tr2bl w:val="nil"/>
                  </w:tcBorders>
                  <w:vAlign w:val="center"/>
                </w:tcPr>
                <w:p>
                  <w:pPr>
                    <w:adjustRightInd w:val="0"/>
                    <w:snapToGrid w:val="0"/>
                    <w:jc w:val="center"/>
                    <w:rPr>
                      <w:szCs w:val="21"/>
                    </w:rPr>
                  </w:pPr>
                </w:p>
              </w:tc>
              <w:tc>
                <w:tcPr>
                  <w:tcW w:w="1099" w:type="pct"/>
                  <w:tcBorders>
                    <w:tl2br w:val="nil"/>
                    <w:tr2bl w:val="nil"/>
                  </w:tcBorders>
                  <w:vAlign w:val="center"/>
                </w:tcPr>
                <w:p>
                  <w:pPr>
                    <w:autoSpaceDE w:val="0"/>
                    <w:autoSpaceDN w:val="0"/>
                    <w:adjustRightInd w:val="0"/>
                    <w:snapToGrid w:val="0"/>
                    <w:jc w:val="center"/>
                    <w:rPr>
                      <w:szCs w:val="21"/>
                    </w:rPr>
                  </w:pPr>
                  <w:r>
                    <w:rPr>
                      <w:kern w:val="0"/>
                      <w:szCs w:val="21"/>
                      <w:lang w:bidi="zh-CN"/>
                    </w:rPr>
                    <w:t>总氮</w:t>
                  </w:r>
                </w:p>
              </w:tc>
              <w:tc>
                <w:tcPr>
                  <w:tcW w:w="833" w:type="pct"/>
                  <w:tcBorders>
                    <w:tl2br w:val="nil"/>
                    <w:tr2bl w:val="nil"/>
                  </w:tcBorders>
                  <w:vAlign w:val="center"/>
                </w:tcPr>
                <w:p>
                  <w:pPr>
                    <w:autoSpaceDE w:val="0"/>
                    <w:autoSpaceDN w:val="0"/>
                    <w:adjustRightInd w:val="0"/>
                    <w:snapToGrid w:val="0"/>
                    <w:jc w:val="center"/>
                    <w:rPr>
                      <w:szCs w:val="21"/>
                    </w:rPr>
                  </w:pPr>
                  <w:r>
                    <w:rPr>
                      <w:kern w:val="0"/>
                      <w:szCs w:val="21"/>
                      <w:lang w:bidi="zh-CN"/>
                    </w:rPr>
                    <w:t>mg/L</w:t>
                  </w:r>
                </w:p>
              </w:tc>
              <w:tc>
                <w:tcPr>
                  <w:tcW w:w="833" w:type="pct"/>
                  <w:tcBorders>
                    <w:tl2br w:val="nil"/>
                    <w:tr2bl w:val="nil"/>
                  </w:tcBorders>
                  <w:vAlign w:val="center"/>
                </w:tcPr>
                <w:p>
                  <w:pPr>
                    <w:adjustRightInd w:val="0"/>
                    <w:snapToGrid w:val="0"/>
                    <w:jc w:val="center"/>
                    <w:rPr>
                      <w:szCs w:val="21"/>
                    </w:rPr>
                  </w:pPr>
                  <w:r>
                    <w:rPr>
                      <w:rFonts w:hint="eastAsia"/>
                      <w:szCs w:val="21"/>
                    </w:rPr>
                    <w:t>0.34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16" w:type="pct"/>
                  <w:vMerge w:val="continue"/>
                  <w:tcBorders>
                    <w:tl2br w:val="nil"/>
                    <w:tr2bl w:val="nil"/>
                  </w:tcBorders>
                  <w:vAlign w:val="center"/>
                </w:tcPr>
                <w:p>
                  <w:pPr>
                    <w:adjustRightInd w:val="0"/>
                    <w:snapToGrid w:val="0"/>
                    <w:jc w:val="center"/>
                    <w:rPr>
                      <w:szCs w:val="21"/>
                    </w:rPr>
                  </w:pPr>
                </w:p>
              </w:tc>
              <w:tc>
                <w:tcPr>
                  <w:tcW w:w="769" w:type="pct"/>
                  <w:vMerge w:val="continue"/>
                  <w:tcBorders>
                    <w:tl2br w:val="nil"/>
                    <w:tr2bl w:val="nil"/>
                  </w:tcBorders>
                  <w:vAlign w:val="center"/>
                </w:tcPr>
                <w:p>
                  <w:pPr>
                    <w:adjustRightInd w:val="0"/>
                    <w:snapToGrid w:val="0"/>
                    <w:jc w:val="center"/>
                    <w:rPr>
                      <w:szCs w:val="21"/>
                    </w:rPr>
                  </w:pPr>
                </w:p>
              </w:tc>
              <w:tc>
                <w:tcPr>
                  <w:tcW w:w="746" w:type="pct"/>
                  <w:vMerge w:val="continue"/>
                  <w:tcBorders>
                    <w:tl2br w:val="nil"/>
                    <w:tr2bl w:val="nil"/>
                  </w:tcBorders>
                  <w:vAlign w:val="center"/>
                </w:tcPr>
                <w:p>
                  <w:pPr>
                    <w:adjustRightInd w:val="0"/>
                    <w:snapToGrid w:val="0"/>
                    <w:jc w:val="center"/>
                    <w:rPr>
                      <w:szCs w:val="21"/>
                    </w:rPr>
                  </w:pPr>
                </w:p>
              </w:tc>
              <w:tc>
                <w:tcPr>
                  <w:tcW w:w="1099" w:type="pct"/>
                  <w:tcBorders>
                    <w:tl2br w:val="nil"/>
                    <w:tr2bl w:val="nil"/>
                  </w:tcBorders>
                  <w:vAlign w:val="center"/>
                </w:tcPr>
                <w:p>
                  <w:pPr>
                    <w:autoSpaceDE w:val="0"/>
                    <w:autoSpaceDN w:val="0"/>
                    <w:adjustRightInd w:val="0"/>
                    <w:snapToGrid w:val="0"/>
                    <w:jc w:val="center"/>
                    <w:rPr>
                      <w:szCs w:val="21"/>
                    </w:rPr>
                  </w:pPr>
                  <w:r>
                    <w:rPr>
                      <w:kern w:val="0"/>
                      <w:szCs w:val="21"/>
                      <w:lang w:bidi="zh-CN"/>
                    </w:rPr>
                    <w:t>铜</w:t>
                  </w:r>
                </w:p>
              </w:tc>
              <w:tc>
                <w:tcPr>
                  <w:tcW w:w="833" w:type="pct"/>
                  <w:tcBorders>
                    <w:tl2br w:val="nil"/>
                    <w:tr2bl w:val="nil"/>
                  </w:tcBorders>
                  <w:vAlign w:val="center"/>
                </w:tcPr>
                <w:p>
                  <w:pPr>
                    <w:autoSpaceDE w:val="0"/>
                    <w:autoSpaceDN w:val="0"/>
                    <w:adjustRightInd w:val="0"/>
                    <w:snapToGrid w:val="0"/>
                    <w:jc w:val="center"/>
                    <w:rPr>
                      <w:szCs w:val="21"/>
                    </w:rPr>
                  </w:pPr>
                  <w:r>
                    <w:rPr>
                      <w:kern w:val="0"/>
                      <w:szCs w:val="21"/>
                      <w:lang w:bidi="zh-CN"/>
                    </w:rPr>
                    <w:t>mg/L</w:t>
                  </w:r>
                </w:p>
              </w:tc>
              <w:tc>
                <w:tcPr>
                  <w:tcW w:w="833" w:type="pct"/>
                  <w:tcBorders>
                    <w:tl2br w:val="nil"/>
                    <w:tr2bl w:val="nil"/>
                  </w:tcBorders>
                  <w:vAlign w:val="center"/>
                </w:tcPr>
                <w:p>
                  <w:pPr>
                    <w:adjustRightInd w:val="0"/>
                    <w:snapToGrid w:val="0"/>
                    <w:jc w:val="center"/>
                    <w:rPr>
                      <w:szCs w:val="21"/>
                    </w:rPr>
                  </w:pPr>
                  <w:r>
                    <w:rPr>
                      <w:rFonts w:hint="eastAsia"/>
                      <w:szCs w:val="21"/>
                    </w:rPr>
                    <w:t>0.00008L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16" w:type="pct"/>
                  <w:vMerge w:val="continue"/>
                  <w:tcBorders>
                    <w:tl2br w:val="nil"/>
                    <w:tr2bl w:val="nil"/>
                  </w:tcBorders>
                  <w:vAlign w:val="center"/>
                </w:tcPr>
                <w:p>
                  <w:pPr>
                    <w:adjustRightInd w:val="0"/>
                    <w:snapToGrid w:val="0"/>
                    <w:jc w:val="center"/>
                    <w:rPr>
                      <w:szCs w:val="21"/>
                    </w:rPr>
                  </w:pPr>
                </w:p>
              </w:tc>
              <w:tc>
                <w:tcPr>
                  <w:tcW w:w="769" w:type="pct"/>
                  <w:vMerge w:val="continue"/>
                  <w:tcBorders>
                    <w:tl2br w:val="nil"/>
                    <w:tr2bl w:val="nil"/>
                  </w:tcBorders>
                  <w:vAlign w:val="center"/>
                </w:tcPr>
                <w:p>
                  <w:pPr>
                    <w:adjustRightInd w:val="0"/>
                    <w:snapToGrid w:val="0"/>
                    <w:jc w:val="center"/>
                    <w:rPr>
                      <w:szCs w:val="21"/>
                    </w:rPr>
                  </w:pPr>
                </w:p>
              </w:tc>
              <w:tc>
                <w:tcPr>
                  <w:tcW w:w="746" w:type="pct"/>
                  <w:vMerge w:val="continue"/>
                  <w:tcBorders>
                    <w:tl2br w:val="nil"/>
                    <w:tr2bl w:val="nil"/>
                  </w:tcBorders>
                  <w:vAlign w:val="center"/>
                </w:tcPr>
                <w:p>
                  <w:pPr>
                    <w:adjustRightInd w:val="0"/>
                    <w:snapToGrid w:val="0"/>
                    <w:jc w:val="center"/>
                    <w:rPr>
                      <w:szCs w:val="21"/>
                    </w:rPr>
                  </w:pPr>
                </w:p>
              </w:tc>
              <w:tc>
                <w:tcPr>
                  <w:tcW w:w="1099" w:type="pct"/>
                  <w:tcBorders>
                    <w:tl2br w:val="nil"/>
                    <w:tr2bl w:val="nil"/>
                  </w:tcBorders>
                  <w:vAlign w:val="center"/>
                </w:tcPr>
                <w:p>
                  <w:pPr>
                    <w:autoSpaceDE w:val="0"/>
                    <w:autoSpaceDN w:val="0"/>
                    <w:adjustRightInd w:val="0"/>
                    <w:snapToGrid w:val="0"/>
                    <w:jc w:val="center"/>
                    <w:rPr>
                      <w:szCs w:val="21"/>
                    </w:rPr>
                  </w:pPr>
                  <w:r>
                    <w:rPr>
                      <w:kern w:val="0"/>
                      <w:szCs w:val="21"/>
                      <w:lang w:bidi="zh-CN"/>
                    </w:rPr>
                    <w:t>锌</w:t>
                  </w:r>
                </w:p>
              </w:tc>
              <w:tc>
                <w:tcPr>
                  <w:tcW w:w="833" w:type="pct"/>
                  <w:tcBorders>
                    <w:tl2br w:val="nil"/>
                    <w:tr2bl w:val="nil"/>
                  </w:tcBorders>
                  <w:vAlign w:val="center"/>
                </w:tcPr>
                <w:p>
                  <w:pPr>
                    <w:autoSpaceDE w:val="0"/>
                    <w:autoSpaceDN w:val="0"/>
                    <w:adjustRightInd w:val="0"/>
                    <w:snapToGrid w:val="0"/>
                    <w:jc w:val="center"/>
                    <w:rPr>
                      <w:szCs w:val="21"/>
                    </w:rPr>
                  </w:pPr>
                  <w:r>
                    <w:rPr>
                      <w:kern w:val="0"/>
                      <w:szCs w:val="21"/>
                      <w:lang w:bidi="zh-CN"/>
                    </w:rPr>
                    <w:t>mg/L</w:t>
                  </w:r>
                </w:p>
              </w:tc>
              <w:tc>
                <w:tcPr>
                  <w:tcW w:w="833" w:type="pct"/>
                  <w:tcBorders>
                    <w:tl2br w:val="nil"/>
                    <w:tr2bl w:val="nil"/>
                  </w:tcBorders>
                  <w:vAlign w:val="center"/>
                </w:tcPr>
                <w:p>
                  <w:pPr>
                    <w:adjustRightInd w:val="0"/>
                    <w:snapToGrid w:val="0"/>
                    <w:jc w:val="center"/>
                    <w:rPr>
                      <w:szCs w:val="21"/>
                    </w:rPr>
                  </w:pPr>
                  <w:r>
                    <w:rPr>
                      <w:rFonts w:hint="eastAsia"/>
                      <w:szCs w:val="21"/>
                    </w:rPr>
                    <w:t>0.0192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16" w:type="pct"/>
                  <w:vMerge w:val="continue"/>
                  <w:tcBorders>
                    <w:tl2br w:val="nil"/>
                    <w:tr2bl w:val="nil"/>
                  </w:tcBorders>
                  <w:vAlign w:val="center"/>
                </w:tcPr>
                <w:p>
                  <w:pPr>
                    <w:adjustRightInd w:val="0"/>
                    <w:snapToGrid w:val="0"/>
                    <w:jc w:val="center"/>
                    <w:rPr>
                      <w:szCs w:val="21"/>
                    </w:rPr>
                  </w:pPr>
                </w:p>
              </w:tc>
              <w:tc>
                <w:tcPr>
                  <w:tcW w:w="769" w:type="pct"/>
                  <w:vMerge w:val="continue"/>
                  <w:tcBorders>
                    <w:tl2br w:val="nil"/>
                    <w:tr2bl w:val="nil"/>
                  </w:tcBorders>
                  <w:vAlign w:val="center"/>
                </w:tcPr>
                <w:p>
                  <w:pPr>
                    <w:adjustRightInd w:val="0"/>
                    <w:snapToGrid w:val="0"/>
                    <w:jc w:val="center"/>
                    <w:rPr>
                      <w:szCs w:val="21"/>
                    </w:rPr>
                  </w:pPr>
                </w:p>
              </w:tc>
              <w:tc>
                <w:tcPr>
                  <w:tcW w:w="746" w:type="pct"/>
                  <w:vMerge w:val="continue"/>
                  <w:tcBorders>
                    <w:tl2br w:val="nil"/>
                    <w:tr2bl w:val="nil"/>
                  </w:tcBorders>
                  <w:vAlign w:val="center"/>
                </w:tcPr>
                <w:p>
                  <w:pPr>
                    <w:adjustRightInd w:val="0"/>
                    <w:snapToGrid w:val="0"/>
                    <w:jc w:val="center"/>
                    <w:rPr>
                      <w:szCs w:val="21"/>
                    </w:rPr>
                  </w:pPr>
                </w:p>
              </w:tc>
              <w:tc>
                <w:tcPr>
                  <w:tcW w:w="1099" w:type="pct"/>
                  <w:tcBorders>
                    <w:tl2br w:val="nil"/>
                    <w:tr2bl w:val="nil"/>
                  </w:tcBorders>
                  <w:vAlign w:val="center"/>
                </w:tcPr>
                <w:p>
                  <w:pPr>
                    <w:autoSpaceDE w:val="0"/>
                    <w:autoSpaceDN w:val="0"/>
                    <w:adjustRightInd w:val="0"/>
                    <w:snapToGrid w:val="0"/>
                    <w:jc w:val="center"/>
                    <w:rPr>
                      <w:szCs w:val="21"/>
                    </w:rPr>
                  </w:pPr>
                  <w:r>
                    <w:rPr>
                      <w:rFonts w:hint="eastAsia"/>
                      <w:kern w:val="0"/>
                      <w:szCs w:val="21"/>
                      <w:lang w:bidi="zh-CN"/>
                    </w:rPr>
                    <w:t>氟化物</w:t>
                  </w:r>
                </w:p>
              </w:tc>
              <w:tc>
                <w:tcPr>
                  <w:tcW w:w="833" w:type="pct"/>
                  <w:tcBorders>
                    <w:tl2br w:val="nil"/>
                    <w:tr2bl w:val="nil"/>
                  </w:tcBorders>
                  <w:vAlign w:val="center"/>
                </w:tcPr>
                <w:p>
                  <w:pPr>
                    <w:autoSpaceDE w:val="0"/>
                    <w:autoSpaceDN w:val="0"/>
                    <w:adjustRightInd w:val="0"/>
                    <w:snapToGrid w:val="0"/>
                    <w:jc w:val="center"/>
                    <w:rPr>
                      <w:szCs w:val="21"/>
                    </w:rPr>
                  </w:pPr>
                  <w:r>
                    <w:rPr>
                      <w:kern w:val="0"/>
                      <w:szCs w:val="21"/>
                      <w:lang w:bidi="zh-CN"/>
                    </w:rPr>
                    <w:t>mg/L</w:t>
                  </w:r>
                </w:p>
              </w:tc>
              <w:tc>
                <w:tcPr>
                  <w:tcW w:w="833" w:type="pct"/>
                  <w:tcBorders>
                    <w:tl2br w:val="nil"/>
                    <w:tr2bl w:val="nil"/>
                  </w:tcBorders>
                  <w:vAlign w:val="center"/>
                </w:tcPr>
                <w:p>
                  <w:pPr>
                    <w:adjustRightInd w:val="0"/>
                    <w:snapToGrid w:val="0"/>
                    <w:jc w:val="center"/>
                    <w:rPr>
                      <w:szCs w:val="21"/>
                    </w:rPr>
                  </w:pPr>
                  <w:r>
                    <w:rPr>
                      <w:rFonts w:hint="eastAsia"/>
                      <w:szCs w:val="21"/>
                    </w:rPr>
                    <w:t>0.046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16" w:type="pct"/>
                  <w:vMerge w:val="continue"/>
                  <w:tcBorders>
                    <w:tl2br w:val="nil"/>
                    <w:tr2bl w:val="nil"/>
                  </w:tcBorders>
                  <w:vAlign w:val="center"/>
                </w:tcPr>
                <w:p>
                  <w:pPr>
                    <w:adjustRightInd w:val="0"/>
                    <w:snapToGrid w:val="0"/>
                    <w:jc w:val="center"/>
                    <w:rPr>
                      <w:szCs w:val="21"/>
                    </w:rPr>
                  </w:pPr>
                </w:p>
              </w:tc>
              <w:tc>
                <w:tcPr>
                  <w:tcW w:w="769" w:type="pct"/>
                  <w:vMerge w:val="continue"/>
                  <w:tcBorders>
                    <w:tl2br w:val="nil"/>
                    <w:tr2bl w:val="nil"/>
                  </w:tcBorders>
                  <w:vAlign w:val="center"/>
                </w:tcPr>
                <w:p>
                  <w:pPr>
                    <w:adjustRightInd w:val="0"/>
                    <w:snapToGrid w:val="0"/>
                    <w:jc w:val="center"/>
                    <w:rPr>
                      <w:szCs w:val="21"/>
                    </w:rPr>
                  </w:pPr>
                </w:p>
              </w:tc>
              <w:tc>
                <w:tcPr>
                  <w:tcW w:w="746" w:type="pct"/>
                  <w:vMerge w:val="continue"/>
                  <w:tcBorders>
                    <w:tl2br w:val="nil"/>
                    <w:tr2bl w:val="nil"/>
                  </w:tcBorders>
                  <w:vAlign w:val="center"/>
                </w:tcPr>
                <w:p>
                  <w:pPr>
                    <w:adjustRightInd w:val="0"/>
                    <w:snapToGrid w:val="0"/>
                    <w:jc w:val="center"/>
                    <w:rPr>
                      <w:szCs w:val="21"/>
                    </w:rPr>
                  </w:pPr>
                </w:p>
              </w:tc>
              <w:tc>
                <w:tcPr>
                  <w:tcW w:w="1099" w:type="pct"/>
                  <w:tcBorders>
                    <w:tl2br w:val="nil"/>
                    <w:tr2bl w:val="nil"/>
                  </w:tcBorders>
                  <w:vAlign w:val="center"/>
                </w:tcPr>
                <w:p>
                  <w:pPr>
                    <w:autoSpaceDE w:val="0"/>
                    <w:autoSpaceDN w:val="0"/>
                    <w:adjustRightInd w:val="0"/>
                    <w:snapToGrid w:val="0"/>
                    <w:jc w:val="center"/>
                    <w:rPr>
                      <w:szCs w:val="21"/>
                    </w:rPr>
                  </w:pPr>
                  <w:r>
                    <w:rPr>
                      <w:rFonts w:hint="eastAsia"/>
                      <w:kern w:val="0"/>
                      <w:szCs w:val="21"/>
                      <w:lang w:bidi="zh-CN"/>
                    </w:rPr>
                    <w:t>硒</w:t>
                  </w:r>
                </w:p>
              </w:tc>
              <w:tc>
                <w:tcPr>
                  <w:tcW w:w="833" w:type="pct"/>
                  <w:tcBorders>
                    <w:tl2br w:val="nil"/>
                    <w:tr2bl w:val="nil"/>
                  </w:tcBorders>
                  <w:vAlign w:val="center"/>
                </w:tcPr>
                <w:p>
                  <w:pPr>
                    <w:autoSpaceDE w:val="0"/>
                    <w:autoSpaceDN w:val="0"/>
                    <w:adjustRightInd w:val="0"/>
                    <w:snapToGrid w:val="0"/>
                    <w:jc w:val="center"/>
                    <w:rPr>
                      <w:szCs w:val="21"/>
                    </w:rPr>
                  </w:pPr>
                  <w:r>
                    <w:rPr>
                      <w:kern w:val="0"/>
                      <w:szCs w:val="21"/>
                      <w:lang w:bidi="zh-CN"/>
                    </w:rPr>
                    <w:t>mg/L</w:t>
                  </w:r>
                </w:p>
              </w:tc>
              <w:tc>
                <w:tcPr>
                  <w:tcW w:w="833" w:type="pct"/>
                  <w:tcBorders>
                    <w:tl2br w:val="nil"/>
                    <w:tr2bl w:val="nil"/>
                  </w:tcBorders>
                  <w:vAlign w:val="center"/>
                </w:tcPr>
                <w:p>
                  <w:pPr>
                    <w:adjustRightInd w:val="0"/>
                    <w:snapToGrid w:val="0"/>
                    <w:jc w:val="center"/>
                    <w:rPr>
                      <w:szCs w:val="21"/>
                    </w:rPr>
                  </w:pPr>
                  <w:r>
                    <w:rPr>
                      <w:rFonts w:hint="eastAsia"/>
                      <w:szCs w:val="21"/>
                    </w:rPr>
                    <w:t>0.0004L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16" w:type="pct"/>
                  <w:vMerge w:val="continue"/>
                  <w:tcBorders>
                    <w:tl2br w:val="nil"/>
                    <w:tr2bl w:val="nil"/>
                  </w:tcBorders>
                  <w:vAlign w:val="center"/>
                </w:tcPr>
                <w:p>
                  <w:pPr>
                    <w:adjustRightInd w:val="0"/>
                    <w:snapToGrid w:val="0"/>
                    <w:jc w:val="center"/>
                    <w:rPr>
                      <w:szCs w:val="21"/>
                    </w:rPr>
                  </w:pPr>
                </w:p>
              </w:tc>
              <w:tc>
                <w:tcPr>
                  <w:tcW w:w="769" w:type="pct"/>
                  <w:vMerge w:val="continue"/>
                  <w:tcBorders>
                    <w:tl2br w:val="nil"/>
                    <w:tr2bl w:val="nil"/>
                  </w:tcBorders>
                  <w:vAlign w:val="center"/>
                </w:tcPr>
                <w:p>
                  <w:pPr>
                    <w:adjustRightInd w:val="0"/>
                    <w:snapToGrid w:val="0"/>
                    <w:jc w:val="center"/>
                    <w:rPr>
                      <w:szCs w:val="21"/>
                    </w:rPr>
                  </w:pPr>
                </w:p>
              </w:tc>
              <w:tc>
                <w:tcPr>
                  <w:tcW w:w="746" w:type="pct"/>
                  <w:vMerge w:val="continue"/>
                  <w:tcBorders>
                    <w:tl2br w:val="nil"/>
                    <w:tr2bl w:val="nil"/>
                  </w:tcBorders>
                  <w:vAlign w:val="center"/>
                </w:tcPr>
                <w:p>
                  <w:pPr>
                    <w:adjustRightInd w:val="0"/>
                    <w:snapToGrid w:val="0"/>
                    <w:jc w:val="center"/>
                    <w:rPr>
                      <w:szCs w:val="21"/>
                    </w:rPr>
                  </w:pPr>
                </w:p>
              </w:tc>
              <w:tc>
                <w:tcPr>
                  <w:tcW w:w="1099" w:type="pct"/>
                  <w:tcBorders>
                    <w:tl2br w:val="nil"/>
                    <w:tr2bl w:val="nil"/>
                  </w:tcBorders>
                  <w:vAlign w:val="center"/>
                </w:tcPr>
                <w:p>
                  <w:pPr>
                    <w:autoSpaceDE w:val="0"/>
                    <w:autoSpaceDN w:val="0"/>
                    <w:adjustRightInd w:val="0"/>
                    <w:snapToGrid w:val="0"/>
                    <w:jc w:val="center"/>
                    <w:rPr>
                      <w:szCs w:val="21"/>
                    </w:rPr>
                  </w:pPr>
                  <w:r>
                    <w:rPr>
                      <w:rFonts w:hint="eastAsia"/>
                      <w:kern w:val="0"/>
                      <w:szCs w:val="21"/>
                      <w:lang w:bidi="zh-CN"/>
                    </w:rPr>
                    <w:t>砷</w:t>
                  </w:r>
                </w:p>
              </w:tc>
              <w:tc>
                <w:tcPr>
                  <w:tcW w:w="833" w:type="pct"/>
                  <w:tcBorders>
                    <w:tl2br w:val="nil"/>
                    <w:tr2bl w:val="nil"/>
                  </w:tcBorders>
                  <w:vAlign w:val="center"/>
                </w:tcPr>
                <w:p>
                  <w:pPr>
                    <w:autoSpaceDE w:val="0"/>
                    <w:autoSpaceDN w:val="0"/>
                    <w:adjustRightInd w:val="0"/>
                    <w:snapToGrid w:val="0"/>
                    <w:jc w:val="center"/>
                    <w:rPr>
                      <w:szCs w:val="21"/>
                    </w:rPr>
                  </w:pPr>
                  <w:r>
                    <w:rPr>
                      <w:kern w:val="0"/>
                      <w:szCs w:val="21"/>
                      <w:lang w:bidi="zh-CN"/>
                    </w:rPr>
                    <w:t>mg/L</w:t>
                  </w:r>
                </w:p>
              </w:tc>
              <w:tc>
                <w:tcPr>
                  <w:tcW w:w="833" w:type="pct"/>
                  <w:tcBorders>
                    <w:tl2br w:val="nil"/>
                    <w:tr2bl w:val="nil"/>
                  </w:tcBorders>
                  <w:vAlign w:val="center"/>
                </w:tcPr>
                <w:p>
                  <w:pPr>
                    <w:adjustRightInd w:val="0"/>
                    <w:snapToGrid w:val="0"/>
                    <w:jc w:val="center"/>
                    <w:rPr>
                      <w:szCs w:val="21"/>
                    </w:rPr>
                  </w:pPr>
                  <w:r>
                    <w:rPr>
                      <w:rFonts w:hint="eastAsia"/>
                      <w:szCs w:val="21"/>
                    </w:rPr>
                    <w:t>0.0006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16" w:type="pct"/>
                  <w:vMerge w:val="continue"/>
                  <w:tcBorders>
                    <w:tl2br w:val="nil"/>
                    <w:tr2bl w:val="nil"/>
                  </w:tcBorders>
                  <w:vAlign w:val="center"/>
                </w:tcPr>
                <w:p>
                  <w:pPr>
                    <w:adjustRightInd w:val="0"/>
                    <w:snapToGrid w:val="0"/>
                    <w:jc w:val="center"/>
                    <w:rPr>
                      <w:szCs w:val="21"/>
                    </w:rPr>
                  </w:pPr>
                </w:p>
              </w:tc>
              <w:tc>
                <w:tcPr>
                  <w:tcW w:w="769" w:type="pct"/>
                  <w:vMerge w:val="continue"/>
                  <w:tcBorders>
                    <w:tl2br w:val="nil"/>
                    <w:tr2bl w:val="nil"/>
                  </w:tcBorders>
                  <w:vAlign w:val="center"/>
                </w:tcPr>
                <w:p>
                  <w:pPr>
                    <w:adjustRightInd w:val="0"/>
                    <w:snapToGrid w:val="0"/>
                    <w:jc w:val="center"/>
                    <w:rPr>
                      <w:szCs w:val="21"/>
                    </w:rPr>
                  </w:pPr>
                </w:p>
              </w:tc>
              <w:tc>
                <w:tcPr>
                  <w:tcW w:w="746" w:type="pct"/>
                  <w:vMerge w:val="continue"/>
                  <w:tcBorders>
                    <w:tl2br w:val="nil"/>
                    <w:tr2bl w:val="nil"/>
                  </w:tcBorders>
                  <w:vAlign w:val="center"/>
                </w:tcPr>
                <w:p>
                  <w:pPr>
                    <w:adjustRightInd w:val="0"/>
                    <w:snapToGrid w:val="0"/>
                    <w:jc w:val="center"/>
                    <w:rPr>
                      <w:szCs w:val="21"/>
                    </w:rPr>
                  </w:pPr>
                </w:p>
              </w:tc>
              <w:tc>
                <w:tcPr>
                  <w:tcW w:w="1099" w:type="pct"/>
                  <w:tcBorders>
                    <w:tl2br w:val="nil"/>
                    <w:tr2bl w:val="nil"/>
                  </w:tcBorders>
                  <w:vAlign w:val="center"/>
                </w:tcPr>
                <w:p>
                  <w:pPr>
                    <w:autoSpaceDE w:val="0"/>
                    <w:autoSpaceDN w:val="0"/>
                    <w:adjustRightInd w:val="0"/>
                    <w:snapToGrid w:val="0"/>
                    <w:jc w:val="center"/>
                    <w:rPr>
                      <w:szCs w:val="21"/>
                    </w:rPr>
                  </w:pPr>
                  <w:r>
                    <w:rPr>
                      <w:rFonts w:hint="eastAsia"/>
                      <w:kern w:val="0"/>
                      <w:szCs w:val="21"/>
                      <w:lang w:bidi="zh-CN"/>
                    </w:rPr>
                    <w:t>汞</w:t>
                  </w:r>
                </w:p>
              </w:tc>
              <w:tc>
                <w:tcPr>
                  <w:tcW w:w="833" w:type="pct"/>
                  <w:tcBorders>
                    <w:tl2br w:val="nil"/>
                    <w:tr2bl w:val="nil"/>
                  </w:tcBorders>
                  <w:vAlign w:val="center"/>
                </w:tcPr>
                <w:p>
                  <w:pPr>
                    <w:autoSpaceDE w:val="0"/>
                    <w:autoSpaceDN w:val="0"/>
                    <w:adjustRightInd w:val="0"/>
                    <w:snapToGrid w:val="0"/>
                    <w:jc w:val="center"/>
                    <w:rPr>
                      <w:szCs w:val="21"/>
                    </w:rPr>
                  </w:pPr>
                  <w:r>
                    <w:rPr>
                      <w:kern w:val="0"/>
                      <w:szCs w:val="21"/>
                      <w:lang w:bidi="zh-CN"/>
                    </w:rPr>
                    <w:t>mg/L</w:t>
                  </w:r>
                </w:p>
              </w:tc>
              <w:tc>
                <w:tcPr>
                  <w:tcW w:w="833" w:type="pct"/>
                  <w:tcBorders>
                    <w:tl2br w:val="nil"/>
                    <w:tr2bl w:val="nil"/>
                  </w:tcBorders>
                  <w:vAlign w:val="center"/>
                </w:tcPr>
                <w:p>
                  <w:pPr>
                    <w:adjustRightInd w:val="0"/>
                    <w:snapToGrid w:val="0"/>
                    <w:jc w:val="center"/>
                    <w:rPr>
                      <w:szCs w:val="21"/>
                    </w:rPr>
                  </w:pPr>
                  <w:r>
                    <w:rPr>
                      <w:rFonts w:hint="eastAsia"/>
                      <w:szCs w:val="21"/>
                    </w:rPr>
                    <w:t>0.00004L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16" w:type="pct"/>
                  <w:vMerge w:val="continue"/>
                  <w:tcBorders>
                    <w:tl2br w:val="nil"/>
                    <w:tr2bl w:val="nil"/>
                  </w:tcBorders>
                  <w:vAlign w:val="center"/>
                </w:tcPr>
                <w:p>
                  <w:pPr>
                    <w:adjustRightInd w:val="0"/>
                    <w:snapToGrid w:val="0"/>
                    <w:jc w:val="center"/>
                    <w:rPr>
                      <w:szCs w:val="21"/>
                    </w:rPr>
                  </w:pPr>
                </w:p>
              </w:tc>
              <w:tc>
                <w:tcPr>
                  <w:tcW w:w="769" w:type="pct"/>
                  <w:vMerge w:val="continue"/>
                  <w:tcBorders>
                    <w:tl2br w:val="nil"/>
                    <w:tr2bl w:val="nil"/>
                  </w:tcBorders>
                  <w:vAlign w:val="center"/>
                </w:tcPr>
                <w:p>
                  <w:pPr>
                    <w:adjustRightInd w:val="0"/>
                    <w:snapToGrid w:val="0"/>
                    <w:jc w:val="center"/>
                    <w:rPr>
                      <w:szCs w:val="21"/>
                    </w:rPr>
                  </w:pPr>
                </w:p>
              </w:tc>
              <w:tc>
                <w:tcPr>
                  <w:tcW w:w="746" w:type="pct"/>
                  <w:vMerge w:val="continue"/>
                  <w:tcBorders>
                    <w:tl2br w:val="nil"/>
                    <w:tr2bl w:val="nil"/>
                  </w:tcBorders>
                  <w:vAlign w:val="center"/>
                </w:tcPr>
                <w:p>
                  <w:pPr>
                    <w:adjustRightInd w:val="0"/>
                    <w:snapToGrid w:val="0"/>
                    <w:jc w:val="center"/>
                    <w:rPr>
                      <w:szCs w:val="21"/>
                    </w:rPr>
                  </w:pPr>
                </w:p>
              </w:tc>
              <w:tc>
                <w:tcPr>
                  <w:tcW w:w="1099" w:type="pct"/>
                  <w:tcBorders>
                    <w:tl2br w:val="nil"/>
                    <w:tr2bl w:val="nil"/>
                  </w:tcBorders>
                  <w:vAlign w:val="center"/>
                </w:tcPr>
                <w:p>
                  <w:pPr>
                    <w:autoSpaceDE w:val="0"/>
                    <w:autoSpaceDN w:val="0"/>
                    <w:adjustRightInd w:val="0"/>
                    <w:snapToGrid w:val="0"/>
                    <w:jc w:val="center"/>
                    <w:rPr>
                      <w:szCs w:val="21"/>
                    </w:rPr>
                  </w:pPr>
                  <w:r>
                    <w:rPr>
                      <w:kern w:val="0"/>
                      <w:szCs w:val="21"/>
                      <w:lang w:bidi="zh-CN"/>
                    </w:rPr>
                    <w:t>镉</w:t>
                  </w:r>
                </w:p>
              </w:tc>
              <w:tc>
                <w:tcPr>
                  <w:tcW w:w="833" w:type="pct"/>
                  <w:tcBorders>
                    <w:tl2br w:val="nil"/>
                    <w:tr2bl w:val="nil"/>
                  </w:tcBorders>
                  <w:vAlign w:val="center"/>
                </w:tcPr>
                <w:p>
                  <w:pPr>
                    <w:autoSpaceDE w:val="0"/>
                    <w:autoSpaceDN w:val="0"/>
                    <w:adjustRightInd w:val="0"/>
                    <w:snapToGrid w:val="0"/>
                    <w:jc w:val="center"/>
                    <w:rPr>
                      <w:szCs w:val="21"/>
                    </w:rPr>
                  </w:pPr>
                  <w:r>
                    <w:rPr>
                      <w:kern w:val="0"/>
                      <w:szCs w:val="21"/>
                      <w:lang w:bidi="zh-CN"/>
                    </w:rPr>
                    <w:t>mg/L</w:t>
                  </w:r>
                </w:p>
              </w:tc>
              <w:tc>
                <w:tcPr>
                  <w:tcW w:w="833" w:type="pct"/>
                  <w:tcBorders>
                    <w:tl2br w:val="nil"/>
                    <w:tr2bl w:val="nil"/>
                  </w:tcBorders>
                  <w:vAlign w:val="center"/>
                </w:tcPr>
                <w:p>
                  <w:pPr>
                    <w:adjustRightInd w:val="0"/>
                    <w:snapToGrid w:val="0"/>
                    <w:jc w:val="center"/>
                    <w:rPr>
                      <w:szCs w:val="21"/>
                    </w:rPr>
                  </w:pPr>
                  <w:r>
                    <w:rPr>
                      <w:rFonts w:hint="eastAsia"/>
                      <w:szCs w:val="21"/>
                    </w:rPr>
                    <w:t>0.00005L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16" w:type="pct"/>
                  <w:vMerge w:val="continue"/>
                  <w:tcBorders>
                    <w:tl2br w:val="nil"/>
                    <w:tr2bl w:val="nil"/>
                  </w:tcBorders>
                  <w:vAlign w:val="center"/>
                </w:tcPr>
                <w:p>
                  <w:pPr>
                    <w:adjustRightInd w:val="0"/>
                    <w:snapToGrid w:val="0"/>
                    <w:jc w:val="center"/>
                    <w:rPr>
                      <w:szCs w:val="21"/>
                    </w:rPr>
                  </w:pPr>
                </w:p>
              </w:tc>
              <w:tc>
                <w:tcPr>
                  <w:tcW w:w="769" w:type="pct"/>
                  <w:vMerge w:val="continue"/>
                  <w:tcBorders>
                    <w:tl2br w:val="nil"/>
                    <w:tr2bl w:val="nil"/>
                  </w:tcBorders>
                  <w:vAlign w:val="center"/>
                </w:tcPr>
                <w:p>
                  <w:pPr>
                    <w:adjustRightInd w:val="0"/>
                    <w:snapToGrid w:val="0"/>
                    <w:jc w:val="center"/>
                    <w:rPr>
                      <w:szCs w:val="21"/>
                    </w:rPr>
                  </w:pPr>
                </w:p>
              </w:tc>
              <w:tc>
                <w:tcPr>
                  <w:tcW w:w="746" w:type="pct"/>
                  <w:vMerge w:val="continue"/>
                  <w:tcBorders>
                    <w:tl2br w:val="nil"/>
                    <w:tr2bl w:val="nil"/>
                  </w:tcBorders>
                  <w:vAlign w:val="center"/>
                </w:tcPr>
                <w:p>
                  <w:pPr>
                    <w:adjustRightInd w:val="0"/>
                    <w:snapToGrid w:val="0"/>
                    <w:jc w:val="center"/>
                    <w:rPr>
                      <w:szCs w:val="21"/>
                    </w:rPr>
                  </w:pPr>
                </w:p>
              </w:tc>
              <w:tc>
                <w:tcPr>
                  <w:tcW w:w="1099" w:type="pct"/>
                  <w:tcBorders>
                    <w:tl2br w:val="nil"/>
                    <w:tr2bl w:val="nil"/>
                  </w:tcBorders>
                  <w:vAlign w:val="center"/>
                </w:tcPr>
                <w:p>
                  <w:pPr>
                    <w:autoSpaceDE w:val="0"/>
                    <w:autoSpaceDN w:val="0"/>
                    <w:adjustRightInd w:val="0"/>
                    <w:snapToGrid w:val="0"/>
                    <w:jc w:val="center"/>
                    <w:rPr>
                      <w:szCs w:val="21"/>
                    </w:rPr>
                  </w:pPr>
                  <w:r>
                    <w:rPr>
                      <w:kern w:val="0"/>
                      <w:szCs w:val="21"/>
                      <w:lang w:bidi="zh-CN"/>
                    </w:rPr>
                    <w:t>六价铬</w:t>
                  </w:r>
                </w:p>
              </w:tc>
              <w:tc>
                <w:tcPr>
                  <w:tcW w:w="833" w:type="pct"/>
                  <w:tcBorders>
                    <w:tl2br w:val="nil"/>
                    <w:tr2bl w:val="nil"/>
                  </w:tcBorders>
                  <w:vAlign w:val="center"/>
                </w:tcPr>
                <w:p>
                  <w:pPr>
                    <w:autoSpaceDE w:val="0"/>
                    <w:autoSpaceDN w:val="0"/>
                    <w:adjustRightInd w:val="0"/>
                    <w:snapToGrid w:val="0"/>
                    <w:jc w:val="center"/>
                    <w:rPr>
                      <w:szCs w:val="21"/>
                    </w:rPr>
                  </w:pPr>
                  <w:r>
                    <w:rPr>
                      <w:kern w:val="0"/>
                      <w:szCs w:val="21"/>
                      <w:lang w:bidi="zh-CN"/>
                    </w:rPr>
                    <w:t>mg/L</w:t>
                  </w:r>
                </w:p>
              </w:tc>
              <w:tc>
                <w:tcPr>
                  <w:tcW w:w="833" w:type="pct"/>
                  <w:tcBorders>
                    <w:tl2br w:val="nil"/>
                    <w:tr2bl w:val="nil"/>
                  </w:tcBorders>
                  <w:vAlign w:val="center"/>
                </w:tcPr>
                <w:p>
                  <w:pPr>
                    <w:adjustRightInd w:val="0"/>
                    <w:snapToGrid w:val="0"/>
                    <w:jc w:val="center"/>
                    <w:rPr>
                      <w:szCs w:val="21"/>
                    </w:rPr>
                  </w:pPr>
                  <w:r>
                    <w:rPr>
                      <w:rFonts w:hint="eastAsia"/>
                      <w:szCs w:val="21"/>
                    </w:rPr>
                    <w:t>0.004L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16" w:type="pct"/>
                  <w:vMerge w:val="continue"/>
                  <w:tcBorders>
                    <w:tl2br w:val="nil"/>
                    <w:tr2bl w:val="nil"/>
                  </w:tcBorders>
                  <w:vAlign w:val="center"/>
                </w:tcPr>
                <w:p>
                  <w:pPr>
                    <w:adjustRightInd w:val="0"/>
                    <w:snapToGrid w:val="0"/>
                    <w:jc w:val="center"/>
                    <w:rPr>
                      <w:szCs w:val="21"/>
                    </w:rPr>
                  </w:pPr>
                </w:p>
              </w:tc>
              <w:tc>
                <w:tcPr>
                  <w:tcW w:w="769" w:type="pct"/>
                  <w:vMerge w:val="continue"/>
                  <w:tcBorders>
                    <w:tl2br w:val="nil"/>
                    <w:tr2bl w:val="nil"/>
                  </w:tcBorders>
                  <w:vAlign w:val="center"/>
                </w:tcPr>
                <w:p>
                  <w:pPr>
                    <w:adjustRightInd w:val="0"/>
                    <w:snapToGrid w:val="0"/>
                    <w:jc w:val="center"/>
                    <w:rPr>
                      <w:szCs w:val="21"/>
                    </w:rPr>
                  </w:pPr>
                </w:p>
              </w:tc>
              <w:tc>
                <w:tcPr>
                  <w:tcW w:w="746" w:type="pct"/>
                  <w:vMerge w:val="continue"/>
                  <w:tcBorders>
                    <w:tl2br w:val="nil"/>
                    <w:tr2bl w:val="nil"/>
                  </w:tcBorders>
                  <w:vAlign w:val="center"/>
                </w:tcPr>
                <w:p>
                  <w:pPr>
                    <w:adjustRightInd w:val="0"/>
                    <w:snapToGrid w:val="0"/>
                    <w:jc w:val="center"/>
                    <w:rPr>
                      <w:szCs w:val="21"/>
                    </w:rPr>
                  </w:pPr>
                </w:p>
              </w:tc>
              <w:tc>
                <w:tcPr>
                  <w:tcW w:w="1099" w:type="pct"/>
                  <w:tcBorders>
                    <w:tl2br w:val="nil"/>
                    <w:tr2bl w:val="nil"/>
                  </w:tcBorders>
                  <w:vAlign w:val="center"/>
                </w:tcPr>
                <w:p>
                  <w:pPr>
                    <w:autoSpaceDE w:val="0"/>
                    <w:autoSpaceDN w:val="0"/>
                    <w:adjustRightInd w:val="0"/>
                    <w:snapToGrid w:val="0"/>
                    <w:jc w:val="center"/>
                    <w:rPr>
                      <w:szCs w:val="21"/>
                    </w:rPr>
                  </w:pPr>
                  <w:r>
                    <w:rPr>
                      <w:kern w:val="0"/>
                      <w:szCs w:val="21"/>
                      <w:lang w:bidi="zh-CN"/>
                    </w:rPr>
                    <w:t>铅</w:t>
                  </w:r>
                </w:p>
              </w:tc>
              <w:tc>
                <w:tcPr>
                  <w:tcW w:w="833" w:type="pct"/>
                  <w:tcBorders>
                    <w:tl2br w:val="nil"/>
                    <w:tr2bl w:val="nil"/>
                  </w:tcBorders>
                  <w:vAlign w:val="center"/>
                </w:tcPr>
                <w:p>
                  <w:pPr>
                    <w:autoSpaceDE w:val="0"/>
                    <w:autoSpaceDN w:val="0"/>
                    <w:adjustRightInd w:val="0"/>
                    <w:snapToGrid w:val="0"/>
                    <w:jc w:val="center"/>
                    <w:rPr>
                      <w:szCs w:val="21"/>
                    </w:rPr>
                  </w:pPr>
                  <w:r>
                    <w:rPr>
                      <w:kern w:val="0"/>
                      <w:szCs w:val="21"/>
                      <w:lang w:bidi="zh-CN"/>
                    </w:rPr>
                    <w:t>mg/L</w:t>
                  </w:r>
                </w:p>
              </w:tc>
              <w:tc>
                <w:tcPr>
                  <w:tcW w:w="833" w:type="pct"/>
                  <w:tcBorders>
                    <w:tl2br w:val="nil"/>
                    <w:tr2bl w:val="nil"/>
                  </w:tcBorders>
                  <w:vAlign w:val="center"/>
                </w:tcPr>
                <w:p>
                  <w:pPr>
                    <w:adjustRightInd w:val="0"/>
                    <w:snapToGrid w:val="0"/>
                    <w:jc w:val="center"/>
                    <w:rPr>
                      <w:szCs w:val="21"/>
                    </w:rPr>
                  </w:pPr>
                  <w:r>
                    <w:rPr>
                      <w:rFonts w:hint="eastAsia"/>
                      <w:szCs w:val="21"/>
                    </w:rPr>
                    <w:t>0.00009L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16" w:type="pct"/>
                  <w:vMerge w:val="continue"/>
                  <w:tcBorders>
                    <w:tl2br w:val="nil"/>
                    <w:tr2bl w:val="nil"/>
                  </w:tcBorders>
                  <w:vAlign w:val="center"/>
                </w:tcPr>
                <w:p>
                  <w:pPr>
                    <w:adjustRightInd w:val="0"/>
                    <w:snapToGrid w:val="0"/>
                    <w:jc w:val="center"/>
                    <w:rPr>
                      <w:szCs w:val="21"/>
                    </w:rPr>
                  </w:pPr>
                </w:p>
              </w:tc>
              <w:tc>
                <w:tcPr>
                  <w:tcW w:w="769" w:type="pct"/>
                  <w:vMerge w:val="continue"/>
                  <w:tcBorders>
                    <w:tl2br w:val="nil"/>
                    <w:tr2bl w:val="nil"/>
                  </w:tcBorders>
                  <w:vAlign w:val="center"/>
                </w:tcPr>
                <w:p>
                  <w:pPr>
                    <w:adjustRightInd w:val="0"/>
                    <w:snapToGrid w:val="0"/>
                    <w:jc w:val="center"/>
                    <w:rPr>
                      <w:szCs w:val="21"/>
                    </w:rPr>
                  </w:pPr>
                </w:p>
              </w:tc>
              <w:tc>
                <w:tcPr>
                  <w:tcW w:w="746" w:type="pct"/>
                  <w:vMerge w:val="continue"/>
                  <w:tcBorders>
                    <w:tl2br w:val="nil"/>
                    <w:tr2bl w:val="nil"/>
                  </w:tcBorders>
                  <w:vAlign w:val="center"/>
                </w:tcPr>
                <w:p>
                  <w:pPr>
                    <w:adjustRightInd w:val="0"/>
                    <w:snapToGrid w:val="0"/>
                    <w:jc w:val="center"/>
                    <w:rPr>
                      <w:szCs w:val="21"/>
                    </w:rPr>
                  </w:pPr>
                </w:p>
              </w:tc>
              <w:tc>
                <w:tcPr>
                  <w:tcW w:w="1099" w:type="pct"/>
                  <w:tcBorders>
                    <w:tl2br w:val="nil"/>
                    <w:tr2bl w:val="nil"/>
                  </w:tcBorders>
                  <w:vAlign w:val="center"/>
                </w:tcPr>
                <w:p>
                  <w:pPr>
                    <w:autoSpaceDE w:val="0"/>
                    <w:autoSpaceDN w:val="0"/>
                    <w:adjustRightInd w:val="0"/>
                    <w:snapToGrid w:val="0"/>
                    <w:jc w:val="center"/>
                    <w:rPr>
                      <w:szCs w:val="21"/>
                    </w:rPr>
                  </w:pPr>
                  <w:r>
                    <w:rPr>
                      <w:kern w:val="0"/>
                      <w:szCs w:val="21"/>
                      <w:lang w:bidi="zh-CN"/>
                    </w:rPr>
                    <w:t>氰化物</w:t>
                  </w:r>
                </w:p>
              </w:tc>
              <w:tc>
                <w:tcPr>
                  <w:tcW w:w="833" w:type="pct"/>
                  <w:tcBorders>
                    <w:tl2br w:val="nil"/>
                    <w:tr2bl w:val="nil"/>
                  </w:tcBorders>
                  <w:vAlign w:val="center"/>
                </w:tcPr>
                <w:p>
                  <w:pPr>
                    <w:autoSpaceDE w:val="0"/>
                    <w:autoSpaceDN w:val="0"/>
                    <w:adjustRightInd w:val="0"/>
                    <w:snapToGrid w:val="0"/>
                    <w:jc w:val="center"/>
                    <w:rPr>
                      <w:szCs w:val="21"/>
                    </w:rPr>
                  </w:pPr>
                  <w:r>
                    <w:rPr>
                      <w:kern w:val="0"/>
                      <w:szCs w:val="21"/>
                      <w:lang w:bidi="zh-CN"/>
                    </w:rPr>
                    <w:t>mg/L</w:t>
                  </w:r>
                </w:p>
              </w:tc>
              <w:tc>
                <w:tcPr>
                  <w:tcW w:w="833" w:type="pct"/>
                  <w:tcBorders>
                    <w:tl2br w:val="nil"/>
                    <w:tr2bl w:val="nil"/>
                  </w:tcBorders>
                  <w:vAlign w:val="center"/>
                </w:tcPr>
                <w:p>
                  <w:pPr>
                    <w:adjustRightInd w:val="0"/>
                    <w:snapToGrid w:val="0"/>
                    <w:jc w:val="center"/>
                    <w:rPr>
                      <w:szCs w:val="21"/>
                    </w:rPr>
                  </w:pPr>
                  <w:r>
                    <w:rPr>
                      <w:rFonts w:hint="eastAsia"/>
                      <w:szCs w:val="21"/>
                    </w:rPr>
                    <w:t>0.001L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16" w:type="pct"/>
                  <w:vMerge w:val="continue"/>
                  <w:tcBorders>
                    <w:tl2br w:val="nil"/>
                    <w:tr2bl w:val="nil"/>
                  </w:tcBorders>
                  <w:vAlign w:val="center"/>
                </w:tcPr>
                <w:p>
                  <w:pPr>
                    <w:adjustRightInd w:val="0"/>
                    <w:snapToGrid w:val="0"/>
                    <w:jc w:val="center"/>
                    <w:rPr>
                      <w:szCs w:val="21"/>
                    </w:rPr>
                  </w:pPr>
                </w:p>
              </w:tc>
              <w:tc>
                <w:tcPr>
                  <w:tcW w:w="769" w:type="pct"/>
                  <w:vMerge w:val="continue"/>
                  <w:tcBorders>
                    <w:tl2br w:val="nil"/>
                    <w:tr2bl w:val="nil"/>
                  </w:tcBorders>
                  <w:vAlign w:val="center"/>
                </w:tcPr>
                <w:p>
                  <w:pPr>
                    <w:adjustRightInd w:val="0"/>
                    <w:snapToGrid w:val="0"/>
                    <w:jc w:val="center"/>
                    <w:rPr>
                      <w:szCs w:val="21"/>
                    </w:rPr>
                  </w:pPr>
                </w:p>
              </w:tc>
              <w:tc>
                <w:tcPr>
                  <w:tcW w:w="746" w:type="pct"/>
                  <w:vMerge w:val="continue"/>
                  <w:tcBorders>
                    <w:tl2br w:val="nil"/>
                    <w:tr2bl w:val="nil"/>
                  </w:tcBorders>
                  <w:vAlign w:val="center"/>
                </w:tcPr>
                <w:p>
                  <w:pPr>
                    <w:adjustRightInd w:val="0"/>
                    <w:snapToGrid w:val="0"/>
                    <w:jc w:val="center"/>
                    <w:rPr>
                      <w:szCs w:val="21"/>
                    </w:rPr>
                  </w:pPr>
                </w:p>
              </w:tc>
              <w:tc>
                <w:tcPr>
                  <w:tcW w:w="1099" w:type="pct"/>
                  <w:tcBorders>
                    <w:tl2br w:val="nil"/>
                    <w:tr2bl w:val="nil"/>
                  </w:tcBorders>
                  <w:vAlign w:val="center"/>
                </w:tcPr>
                <w:p>
                  <w:pPr>
                    <w:autoSpaceDE w:val="0"/>
                    <w:autoSpaceDN w:val="0"/>
                    <w:adjustRightInd w:val="0"/>
                    <w:snapToGrid w:val="0"/>
                    <w:jc w:val="center"/>
                    <w:rPr>
                      <w:szCs w:val="21"/>
                    </w:rPr>
                  </w:pPr>
                  <w:r>
                    <w:rPr>
                      <w:kern w:val="0"/>
                      <w:szCs w:val="21"/>
                      <w:lang w:bidi="zh-CN"/>
                    </w:rPr>
                    <w:t>挥发酚</w:t>
                  </w:r>
                </w:p>
              </w:tc>
              <w:tc>
                <w:tcPr>
                  <w:tcW w:w="833" w:type="pct"/>
                  <w:tcBorders>
                    <w:tl2br w:val="nil"/>
                    <w:tr2bl w:val="nil"/>
                  </w:tcBorders>
                  <w:vAlign w:val="center"/>
                </w:tcPr>
                <w:p>
                  <w:pPr>
                    <w:autoSpaceDE w:val="0"/>
                    <w:autoSpaceDN w:val="0"/>
                    <w:adjustRightInd w:val="0"/>
                    <w:snapToGrid w:val="0"/>
                    <w:jc w:val="center"/>
                    <w:rPr>
                      <w:szCs w:val="21"/>
                    </w:rPr>
                  </w:pPr>
                  <w:r>
                    <w:rPr>
                      <w:kern w:val="0"/>
                      <w:szCs w:val="21"/>
                      <w:lang w:bidi="zh-CN"/>
                    </w:rPr>
                    <w:t>mg/L</w:t>
                  </w:r>
                </w:p>
              </w:tc>
              <w:tc>
                <w:tcPr>
                  <w:tcW w:w="833" w:type="pct"/>
                  <w:tcBorders>
                    <w:tl2br w:val="nil"/>
                    <w:tr2bl w:val="nil"/>
                  </w:tcBorders>
                  <w:vAlign w:val="center"/>
                </w:tcPr>
                <w:p>
                  <w:pPr>
                    <w:adjustRightInd w:val="0"/>
                    <w:snapToGrid w:val="0"/>
                    <w:jc w:val="center"/>
                    <w:rPr>
                      <w:szCs w:val="21"/>
                    </w:rPr>
                  </w:pPr>
                  <w:r>
                    <w:rPr>
                      <w:rFonts w:hint="eastAsia"/>
                      <w:szCs w:val="21"/>
                    </w:rPr>
                    <w:t>0.0003L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16" w:type="pct"/>
                  <w:vMerge w:val="continue"/>
                  <w:tcBorders>
                    <w:tl2br w:val="nil"/>
                    <w:tr2bl w:val="nil"/>
                  </w:tcBorders>
                  <w:vAlign w:val="center"/>
                </w:tcPr>
                <w:p>
                  <w:pPr>
                    <w:adjustRightInd w:val="0"/>
                    <w:snapToGrid w:val="0"/>
                    <w:jc w:val="center"/>
                    <w:rPr>
                      <w:szCs w:val="21"/>
                    </w:rPr>
                  </w:pPr>
                </w:p>
              </w:tc>
              <w:tc>
                <w:tcPr>
                  <w:tcW w:w="769" w:type="pct"/>
                  <w:vMerge w:val="continue"/>
                  <w:tcBorders>
                    <w:tl2br w:val="nil"/>
                    <w:tr2bl w:val="nil"/>
                  </w:tcBorders>
                  <w:vAlign w:val="center"/>
                </w:tcPr>
                <w:p>
                  <w:pPr>
                    <w:adjustRightInd w:val="0"/>
                    <w:snapToGrid w:val="0"/>
                    <w:jc w:val="center"/>
                    <w:rPr>
                      <w:szCs w:val="21"/>
                    </w:rPr>
                  </w:pPr>
                </w:p>
              </w:tc>
              <w:tc>
                <w:tcPr>
                  <w:tcW w:w="746" w:type="pct"/>
                  <w:vMerge w:val="continue"/>
                  <w:tcBorders>
                    <w:tl2br w:val="nil"/>
                    <w:tr2bl w:val="nil"/>
                  </w:tcBorders>
                  <w:vAlign w:val="center"/>
                </w:tcPr>
                <w:p>
                  <w:pPr>
                    <w:adjustRightInd w:val="0"/>
                    <w:snapToGrid w:val="0"/>
                    <w:jc w:val="center"/>
                    <w:rPr>
                      <w:szCs w:val="21"/>
                    </w:rPr>
                  </w:pPr>
                </w:p>
              </w:tc>
              <w:tc>
                <w:tcPr>
                  <w:tcW w:w="1099" w:type="pct"/>
                  <w:tcBorders>
                    <w:tl2br w:val="nil"/>
                    <w:tr2bl w:val="nil"/>
                  </w:tcBorders>
                  <w:vAlign w:val="center"/>
                </w:tcPr>
                <w:p>
                  <w:pPr>
                    <w:autoSpaceDE w:val="0"/>
                    <w:autoSpaceDN w:val="0"/>
                    <w:adjustRightInd w:val="0"/>
                    <w:snapToGrid w:val="0"/>
                    <w:jc w:val="center"/>
                    <w:rPr>
                      <w:szCs w:val="21"/>
                    </w:rPr>
                  </w:pPr>
                  <w:r>
                    <w:rPr>
                      <w:kern w:val="0"/>
                      <w:szCs w:val="21"/>
                      <w:lang w:bidi="zh-CN"/>
                    </w:rPr>
                    <w:t>石油类</w:t>
                  </w:r>
                </w:p>
              </w:tc>
              <w:tc>
                <w:tcPr>
                  <w:tcW w:w="833" w:type="pct"/>
                  <w:tcBorders>
                    <w:tl2br w:val="nil"/>
                    <w:tr2bl w:val="nil"/>
                  </w:tcBorders>
                  <w:vAlign w:val="center"/>
                </w:tcPr>
                <w:p>
                  <w:pPr>
                    <w:autoSpaceDE w:val="0"/>
                    <w:autoSpaceDN w:val="0"/>
                    <w:adjustRightInd w:val="0"/>
                    <w:snapToGrid w:val="0"/>
                    <w:jc w:val="center"/>
                    <w:rPr>
                      <w:szCs w:val="21"/>
                    </w:rPr>
                  </w:pPr>
                  <w:r>
                    <w:rPr>
                      <w:kern w:val="0"/>
                      <w:szCs w:val="21"/>
                      <w:lang w:bidi="zh-CN"/>
                    </w:rPr>
                    <w:t>mg/L</w:t>
                  </w:r>
                </w:p>
              </w:tc>
              <w:tc>
                <w:tcPr>
                  <w:tcW w:w="833" w:type="pct"/>
                  <w:tcBorders>
                    <w:tl2br w:val="nil"/>
                    <w:tr2bl w:val="nil"/>
                  </w:tcBorders>
                  <w:vAlign w:val="center"/>
                </w:tcPr>
                <w:p>
                  <w:pPr>
                    <w:adjustRightInd w:val="0"/>
                    <w:snapToGrid w:val="0"/>
                    <w:jc w:val="center"/>
                    <w:rPr>
                      <w:szCs w:val="21"/>
                    </w:rPr>
                  </w:pPr>
                  <w:r>
                    <w:rPr>
                      <w:rFonts w:hint="eastAsia"/>
                      <w:szCs w:val="21"/>
                    </w:rPr>
                    <w:t>0.01L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16" w:type="pct"/>
                  <w:vMerge w:val="continue"/>
                  <w:tcBorders>
                    <w:tl2br w:val="nil"/>
                    <w:tr2bl w:val="nil"/>
                  </w:tcBorders>
                  <w:vAlign w:val="center"/>
                </w:tcPr>
                <w:p>
                  <w:pPr>
                    <w:adjustRightInd w:val="0"/>
                    <w:snapToGrid w:val="0"/>
                    <w:jc w:val="center"/>
                    <w:rPr>
                      <w:szCs w:val="21"/>
                    </w:rPr>
                  </w:pPr>
                </w:p>
              </w:tc>
              <w:tc>
                <w:tcPr>
                  <w:tcW w:w="769" w:type="pct"/>
                  <w:vMerge w:val="continue"/>
                  <w:tcBorders>
                    <w:tl2br w:val="nil"/>
                    <w:tr2bl w:val="nil"/>
                  </w:tcBorders>
                  <w:vAlign w:val="center"/>
                </w:tcPr>
                <w:p>
                  <w:pPr>
                    <w:adjustRightInd w:val="0"/>
                    <w:snapToGrid w:val="0"/>
                    <w:jc w:val="center"/>
                    <w:rPr>
                      <w:szCs w:val="21"/>
                    </w:rPr>
                  </w:pPr>
                </w:p>
              </w:tc>
              <w:tc>
                <w:tcPr>
                  <w:tcW w:w="746" w:type="pct"/>
                  <w:vMerge w:val="continue"/>
                  <w:tcBorders>
                    <w:tl2br w:val="nil"/>
                    <w:tr2bl w:val="nil"/>
                  </w:tcBorders>
                  <w:vAlign w:val="center"/>
                </w:tcPr>
                <w:p>
                  <w:pPr>
                    <w:adjustRightInd w:val="0"/>
                    <w:snapToGrid w:val="0"/>
                    <w:jc w:val="center"/>
                    <w:rPr>
                      <w:szCs w:val="21"/>
                    </w:rPr>
                  </w:pPr>
                </w:p>
              </w:tc>
              <w:tc>
                <w:tcPr>
                  <w:tcW w:w="1099" w:type="pct"/>
                  <w:tcBorders>
                    <w:tl2br w:val="nil"/>
                    <w:tr2bl w:val="nil"/>
                  </w:tcBorders>
                  <w:vAlign w:val="center"/>
                </w:tcPr>
                <w:p>
                  <w:pPr>
                    <w:autoSpaceDE w:val="0"/>
                    <w:autoSpaceDN w:val="0"/>
                    <w:adjustRightInd w:val="0"/>
                    <w:snapToGrid w:val="0"/>
                    <w:jc w:val="center"/>
                    <w:rPr>
                      <w:szCs w:val="21"/>
                    </w:rPr>
                  </w:pPr>
                  <w:r>
                    <w:rPr>
                      <w:kern w:val="0"/>
                      <w:szCs w:val="21"/>
                      <w:lang w:bidi="zh-CN"/>
                    </w:rPr>
                    <w:t>阴离子表面活性剂</w:t>
                  </w:r>
                </w:p>
              </w:tc>
              <w:tc>
                <w:tcPr>
                  <w:tcW w:w="833" w:type="pct"/>
                  <w:tcBorders>
                    <w:tl2br w:val="nil"/>
                    <w:tr2bl w:val="nil"/>
                  </w:tcBorders>
                  <w:vAlign w:val="center"/>
                </w:tcPr>
                <w:p>
                  <w:pPr>
                    <w:autoSpaceDE w:val="0"/>
                    <w:autoSpaceDN w:val="0"/>
                    <w:adjustRightInd w:val="0"/>
                    <w:snapToGrid w:val="0"/>
                    <w:jc w:val="center"/>
                    <w:rPr>
                      <w:szCs w:val="21"/>
                    </w:rPr>
                  </w:pPr>
                  <w:r>
                    <w:rPr>
                      <w:rFonts w:hint="eastAsia"/>
                      <w:kern w:val="0"/>
                      <w:szCs w:val="21"/>
                      <w:lang w:bidi="zh-CN"/>
                    </w:rPr>
                    <w:t>mg/L</w:t>
                  </w:r>
                </w:p>
              </w:tc>
              <w:tc>
                <w:tcPr>
                  <w:tcW w:w="833" w:type="pct"/>
                  <w:tcBorders>
                    <w:tl2br w:val="nil"/>
                    <w:tr2bl w:val="nil"/>
                  </w:tcBorders>
                  <w:vAlign w:val="center"/>
                </w:tcPr>
                <w:p>
                  <w:pPr>
                    <w:adjustRightInd w:val="0"/>
                    <w:snapToGrid w:val="0"/>
                    <w:jc w:val="center"/>
                    <w:rPr>
                      <w:szCs w:val="21"/>
                    </w:rPr>
                  </w:pPr>
                  <w:r>
                    <w:rPr>
                      <w:rFonts w:hint="eastAsia"/>
                      <w:szCs w:val="21"/>
                    </w:rPr>
                    <w:t>0.05L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16" w:type="pct"/>
                  <w:vMerge w:val="continue"/>
                  <w:tcBorders>
                    <w:tl2br w:val="nil"/>
                    <w:tr2bl w:val="nil"/>
                  </w:tcBorders>
                  <w:vAlign w:val="center"/>
                </w:tcPr>
                <w:p>
                  <w:pPr>
                    <w:adjustRightInd w:val="0"/>
                    <w:snapToGrid w:val="0"/>
                    <w:jc w:val="center"/>
                    <w:rPr>
                      <w:szCs w:val="21"/>
                    </w:rPr>
                  </w:pPr>
                </w:p>
              </w:tc>
              <w:tc>
                <w:tcPr>
                  <w:tcW w:w="769" w:type="pct"/>
                  <w:vMerge w:val="continue"/>
                  <w:tcBorders>
                    <w:tl2br w:val="nil"/>
                    <w:tr2bl w:val="nil"/>
                  </w:tcBorders>
                  <w:vAlign w:val="center"/>
                </w:tcPr>
                <w:p>
                  <w:pPr>
                    <w:adjustRightInd w:val="0"/>
                    <w:snapToGrid w:val="0"/>
                    <w:jc w:val="center"/>
                    <w:rPr>
                      <w:szCs w:val="21"/>
                    </w:rPr>
                  </w:pPr>
                </w:p>
              </w:tc>
              <w:tc>
                <w:tcPr>
                  <w:tcW w:w="746" w:type="pct"/>
                  <w:vMerge w:val="continue"/>
                  <w:tcBorders>
                    <w:tl2br w:val="nil"/>
                    <w:tr2bl w:val="nil"/>
                  </w:tcBorders>
                  <w:vAlign w:val="center"/>
                </w:tcPr>
                <w:p>
                  <w:pPr>
                    <w:adjustRightInd w:val="0"/>
                    <w:snapToGrid w:val="0"/>
                    <w:jc w:val="center"/>
                    <w:rPr>
                      <w:szCs w:val="21"/>
                    </w:rPr>
                  </w:pPr>
                </w:p>
              </w:tc>
              <w:tc>
                <w:tcPr>
                  <w:tcW w:w="1099" w:type="pct"/>
                  <w:tcBorders>
                    <w:tl2br w:val="nil"/>
                    <w:tr2bl w:val="nil"/>
                  </w:tcBorders>
                  <w:vAlign w:val="center"/>
                </w:tcPr>
                <w:p>
                  <w:pPr>
                    <w:autoSpaceDE w:val="0"/>
                    <w:autoSpaceDN w:val="0"/>
                    <w:adjustRightInd w:val="0"/>
                    <w:snapToGrid w:val="0"/>
                    <w:jc w:val="center"/>
                    <w:rPr>
                      <w:szCs w:val="21"/>
                    </w:rPr>
                  </w:pPr>
                  <w:r>
                    <w:rPr>
                      <w:kern w:val="0"/>
                      <w:szCs w:val="21"/>
                      <w:lang w:bidi="zh-CN"/>
                    </w:rPr>
                    <w:t>硫化物</w:t>
                  </w:r>
                </w:p>
              </w:tc>
              <w:tc>
                <w:tcPr>
                  <w:tcW w:w="833" w:type="pct"/>
                  <w:tcBorders>
                    <w:tl2br w:val="nil"/>
                    <w:tr2bl w:val="nil"/>
                  </w:tcBorders>
                  <w:vAlign w:val="center"/>
                </w:tcPr>
                <w:p>
                  <w:pPr>
                    <w:autoSpaceDE w:val="0"/>
                    <w:autoSpaceDN w:val="0"/>
                    <w:adjustRightInd w:val="0"/>
                    <w:snapToGrid w:val="0"/>
                    <w:jc w:val="center"/>
                    <w:rPr>
                      <w:szCs w:val="21"/>
                    </w:rPr>
                  </w:pPr>
                  <w:r>
                    <w:rPr>
                      <w:kern w:val="0"/>
                      <w:szCs w:val="21"/>
                      <w:lang w:bidi="zh-CN"/>
                    </w:rPr>
                    <w:t>mg/L</w:t>
                  </w:r>
                </w:p>
              </w:tc>
              <w:tc>
                <w:tcPr>
                  <w:tcW w:w="833" w:type="pct"/>
                  <w:tcBorders>
                    <w:tl2br w:val="nil"/>
                    <w:tr2bl w:val="nil"/>
                  </w:tcBorders>
                  <w:vAlign w:val="center"/>
                </w:tcPr>
                <w:p>
                  <w:pPr>
                    <w:adjustRightInd w:val="0"/>
                    <w:snapToGrid w:val="0"/>
                    <w:jc w:val="center"/>
                    <w:rPr>
                      <w:szCs w:val="21"/>
                    </w:rPr>
                  </w:pPr>
                  <w:r>
                    <w:rPr>
                      <w:rFonts w:hint="eastAsia"/>
                      <w:szCs w:val="21"/>
                    </w:rPr>
                    <w:t>0.005L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16" w:type="pct"/>
                  <w:vMerge w:val="continue"/>
                  <w:tcBorders>
                    <w:tl2br w:val="nil"/>
                    <w:tr2bl w:val="nil"/>
                  </w:tcBorders>
                  <w:vAlign w:val="center"/>
                </w:tcPr>
                <w:p>
                  <w:pPr>
                    <w:adjustRightInd w:val="0"/>
                    <w:snapToGrid w:val="0"/>
                    <w:jc w:val="center"/>
                    <w:rPr>
                      <w:szCs w:val="21"/>
                    </w:rPr>
                  </w:pPr>
                </w:p>
              </w:tc>
              <w:tc>
                <w:tcPr>
                  <w:tcW w:w="769" w:type="pct"/>
                  <w:vMerge w:val="continue"/>
                  <w:tcBorders>
                    <w:tl2br w:val="nil"/>
                    <w:tr2bl w:val="nil"/>
                  </w:tcBorders>
                  <w:vAlign w:val="center"/>
                </w:tcPr>
                <w:p>
                  <w:pPr>
                    <w:adjustRightInd w:val="0"/>
                    <w:snapToGrid w:val="0"/>
                    <w:jc w:val="center"/>
                    <w:rPr>
                      <w:szCs w:val="21"/>
                    </w:rPr>
                  </w:pPr>
                </w:p>
              </w:tc>
              <w:tc>
                <w:tcPr>
                  <w:tcW w:w="746" w:type="pct"/>
                  <w:vMerge w:val="continue"/>
                  <w:tcBorders>
                    <w:tl2br w:val="nil"/>
                    <w:tr2bl w:val="nil"/>
                  </w:tcBorders>
                  <w:vAlign w:val="center"/>
                </w:tcPr>
                <w:p>
                  <w:pPr>
                    <w:adjustRightInd w:val="0"/>
                    <w:snapToGrid w:val="0"/>
                    <w:jc w:val="center"/>
                    <w:rPr>
                      <w:szCs w:val="21"/>
                    </w:rPr>
                  </w:pPr>
                </w:p>
              </w:tc>
              <w:tc>
                <w:tcPr>
                  <w:tcW w:w="1099" w:type="pct"/>
                  <w:tcBorders>
                    <w:tl2br w:val="nil"/>
                    <w:tr2bl w:val="nil"/>
                  </w:tcBorders>
                  <w:vAlign w:val="center"/>
                </w:tcPr>
                <w:p>
                  <w:pPr>
                    <w:autoSpaceDE w:val="0"/>
                    <w:autoSpaceDN w:val="0"/>
                    <w:adjustRightInd w:val="0"/>
                    <w:snapToGrid w:val="0"/>
                    <w:jc w:val="center"/>
                    <w:rPr>
                      <w:szCs w:val="21"/>
                    </w:rPr>
                  </w:pPr>
                  <w:r>
                    <w:rPr>
                      <w:kern w:val="0"/>
                      <w:szCs w:val="21"/>
                      <w:lang w:bidi="zh-CN"/>
                    </w:rPr>
                    <w:t>粪大肠菌群</w:t>
                  </w:r>
                </w:p>
              </w:tc>
              <w:tc>
                <w:tcPr>
                  <w:tcW w:w="833" w:type="pct"/>
                  <w:tcBorders>
                    <w:tl2br w:val="nil"/>
                    <w:tr2bl w:val="nil"/>
                  </w:tcBorders>
                  <w:vAlign w:val="center"/>
                </w:tcPr>
                <w:p>
                  <w:pPr>
                    <w:autoSpaceDE w:val="0"/>
                    <w:autoSpaceDN w:val="0"/>
                    <w:adjustRightInd w:val="0"/>
                    <w:snapToGrid w:val="0"/>
                    <w:jc w:val="center"/>
                    <w:rPr>
                      <w:szCs w:val="21"/>
                    </w:rPr>
                  </w:pPr>
                  <w:r>
                    <w:rPr>
                      <w:kern w:val="0"/>
                      <w:szCs w:val="21"/>
                      <w:lang w:bidi="zh-CN"/>
                    </w:rPr>
                    <w:t>（个/l）</w:t>
                  </w:r>
                </w:p>
              </w:tc>
              <w:tc>
                <w:tcPr>
                  <w:tcW w:w="833" w:type="pct"/>
                  <w:tcBorders>
                    <w:tl2br w:val="nil"/>
                    <w:tr2bl w:val="nil"/>
                  </w:tcBorders>
                  <w:vAlign w:val="center"/>
                </w:tcPr>
                <w:p>
                  <w:pPr>
                    <w:adjustRightInd w:val="0"/>
                    <w:snapToGrid w:val="0"/>
                    <w:jc w:val="center"/>
                    <w:rPr>
                      <w:szCs w:val="21"/>
                    </w:rPr>
                  </w:pPr>
                  <w:r>
                    <w:rPr>
                      <w:rFonts w:hint="eastAsia"/>
                      <w:szCs w:val="21"/>
                    </w:rPr>
                    <w:t>2800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16" w:type="pct"/>
                  <w:vMerge w:val="continue"/>
                  <w:tcBorders>
                    <w:tl2br w:val="nil"/>
                    <w:tr2bl w:val="nil"/>
                  </w:tcBorders>
                  <w:vAlign w:val="center"/>
                </w:tcPr>
                <w:p>
                  <w:pPr>
                    <w:adjustRightInd w:val="0"/>
                    <w:snapToGrid w:val="0"/>
                    <w:jc w:val="center"/>
                    <w:rPr>
                      <w:szCs w:val="21"/>
                    </w:rPr>
                  </w:pPr>
                </w:p>
              </w:tc>
              <w:tc>
                <w:tcPr>
                  <w:tcW w:w="769" w:type="pct"/>
                  <w:vMerge w:val="continue"/>
                  <w:tcBorders>
                    <w:tl2br w:val="nil"/>
                    <w:tr2bl w:val="nil"/>
                  </w:tcBorders>
                  <w:vAlign w:val="center"/>
                </w:tcPr>
                <w:p>
                  <w:pPr>
                    <w:adjustRightInd w:val="0"/>
                    <w:snapToGrid w:val="0"/>
                    <w:jc w:val="center"/>
                    <w:rPr>
                      <w:szCs w:val="21"/>
                    </w:rPr>
                  </w:pPr>
                </w:p>
              </w:tc>
              <w:tc>
                <w:tcPr>
                  <w:tcW w:w="746" w:type="pct"/>
                  <w:vMerge w:val="continue"/>
                  <w:tcBorders>
                    <w:tl2br w:val="nil"/>
                    <w:tr2bl w:val="nil"/>
                  </w:tcBorders>
                  <w:vAlign w:val="center"/>
                </w:tcPr>
                <w:p>
                  <w:pPr>
                    <w:adjustRightInd w:val="0"/>
                    <w:snapToGrid w:val="0"/>
                    <w:jc w:val="center"/>
                    <w:rPr>
                      <w:szCs w:val="21"/>
                    </w:rPr>
                  </w:pPr>
                </w:p>
              </w:tc>
              <w:tc>
                <w:tcPr>
                  <w:tcW w:w="1099" w:type="pct"/>
                  <w:tcBorders>
                    <w:tl2br w:val="nil"/>
                    <w:tr2bl w:val="nil"/>
                  </w:tcBorders>
                  <w:vAlign w:val="center"/>
                </w:tcPr>
                <w:p>
                  <w:pPr>
                    <w:autoSpaceDE w:val="0"/>
                    <w:autoSpaceDN w:val="0"/>
                    <w:adjustRightInd w:val="0"/>
                    <w:snapToGrid w:val="0"/>
                    <w:jc w:val="center"/>
                    <w:rPr>
                      <w:kern w:val="0"/>
                      <w:szCs w:val="21"/>
                      <w:lang w:bidi="zh-CN"/>
                    </w:rPr>
                  </w:pPr>
                  <w:r>
                    <w:rPr>
                      <w:kern w:val="0"/>
                      <w:szCs w:val="21"/>
                      <w:lang w:bidi="zh-CN"/>
                    </w:rPr>
                    <w:t>锑</w:t>
                  </w:r>
                </w:p>
              </w:tc>
              <w:tc>
                <w:tcPr>
                  <w:tcW w:w="833" w:type="pct"/>
                  <w:tcBorders>
                    <w:tl2br w:val="nil"/>
                    <w:tr2bl w:val="nil"/>
                  </w:tcBorders>
                  <w:vAlign w:val="center"/>
                </w:tcPr>
                <w:p>
                  <w:pPr>
                    <w:autoSpaceDE w:val="0"/>
                    <w:autoSpaceDN w:val="0"/>
                    <w:adjustRightInd w:val="0"/>
                    <w:snapToGrid w:val="0"/>
                    <w:jc w:val="center"/>
                    <w:rPr>
                      <w:kern w:val="0"/>
                      <w:szCs w:val="21"/>
                      <w:lang w:bidi="zh-CN"/>
                    </w:rPr>
                  </w:pPr>
                  <w:r>
                    <w:rPr>
                      <w:kern w:val="0"/>
                      <w:szCs w:val="21"/>
                      <w:lang w:bidi="zh-CN"/>
                    </w:rPr>
                    <w:t>mg/L</w:t>
                  </w:r>
                </w:p>
              </w:tc>
              <w:tc>
                <w:tcPr>
                  <w:tcW w:w="833" w:type="pct"/>
                  <w:tcBorders>
                    <w:tl2br w:val="nil"/>
                    <w:tr2bl w:val="nil"/>
                  </w:tcBorders>
                  <w:vAlign w:val="center"/>
                </w:tcPr>
                <w:p>
                  <w:pPr>
                    <w:adjustRightInd w:val="0"/>
                    <w:snapToGrid w:val="0"/>
                    <w:jc w:val="center"/>
                    <w:rPr>
                      <w:szCs w:val="21"/>
                    </w:rPr>
                  </w:pPr>
                  <w:r>
                    <w:rPr>
                      <w:rFonts w:hint="eastAsia"/>
                      <w:szCs w:val="21"/>
                    </w:rPr>
                    <w:t>0.0004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16" w:type="pct"/>
                  <w:vMerge w:val="continue"/>
                  <w:tcBorders>
                    <w:tl2br w:val="nil"/>
                    <w:tr2bl w:val="nil"/>
                  </w:tcBorders>
                  <w:vAlign w:val="center"/>
                </w:tcPr>
                <w:p>
                  <w:pPr>
                    <w:adjustRightInd w:val="0"/>
                    <w:snapToGrid w:val="0"/>
                    <w:jc w:val="center"/>
                    <w:rPr>
                      <w:szCs w:val="21"/>
                    </w:rPr>
                  </w:pPr>
                </w:p>
              </w:tc>
              <w:tc>
                <w:tcPr>
                  <w:tcW w:w="769" w:type="pct"/>
                  <w:vMerge w:val="continue"/>
                  <w:tcBorders>
                    <w:tl2br w:val="nil"/>
                    <w:tr2bl w:val="nil"/>
                  </w:tcBorders>
                  <w:vAlign w:val="center"/>
                </w:tcPr>
                <w:p>
                  <w:pPr>
                    <w:adjustRightInd w:val="0"/>
                    <w:snapToGrid w:val="0"/>
                    <w:jc w:val="center"/>
                    <w:rPr>
                      <w:szCs w:val="21"/>
                    </w:rPr>
                  </w:pPr>
                </w:p>
              </w:tc>
              <w:tc>
                <w:tcPr>
                  <w:tcW w:w="746" w:type="pct"/>
                  <w:vMerge w:val="continue"/>
                  <w:tcBorders>
                    <w:tl2br w:val="nil"/>
                    <w:tr2bl w:val="nil"/>
                  </w:tcBorders>
                  <w:vAlign w:val="center"/>
                </w:tcPr>
                <w:p>
                  <w:pPr>
                    <w:adjustRightInd w:val="0"/>
                    <w:snapToGrid w:val="0"/>
                    <w:jc w:val="center"/>
                    <w:rPr>
                      <w:szCs w:val="21"/>
                    </w:rPr>
                  </w:pPr>
                </w:p>
              </w:tc>
              <w:tc>
                <w:tcPr>
                  <w:tcW w:w="1099" w:type="pct"/>
                  <w:tcBorders>
                    <w:tl2br w:val="nil"/>
                    <w:tr2bl w:val="nil"/>
                  </w:tcBorders>
                  <w:vAlign w:val="center"/>
                </w:tcPr>
                <w:p>
                  <w:pPr>
                    <w:autoSpaceDE w:val="0"/>
                    <w:autoSpaceDN w:val="0"/>
                    <w:adjustRightInd w:val="0"/>
                    <w:snapToGrid w:val="0"/>
                    <w:jc w:val="center"/>
                    <w:rPr>
                      <w:kern w:val="0"/>
                      <w:szCs w:val="21"/>
                      <w:lang w:bidi="zh-CN"/>
                    </w:rPr>
                  </w:pPr>
                  <w:r>
                    <w:rPr>
                      <w:kern w:val="0"/>
                      <w:szCs w:val="21"/>
                      <w:lang w:bidi="zh-CN"/>
                    </w:rPr>
                    <w:t>铊</w:t>
                  </w:r>
                </w:p>
              </w:tc>
              <w:tc>
                <w:tcPr>
                  <w:tcW w:w="833" w:type="pct"/>
                  <w:tcBorders>
                    <w:tl2br w:val="nil"/>
                    <w:tr2bl w:val="nil"/>
                  </w:tcBorders>
                  <w:vAlign w:val="center"/>
                </w:tcPr>
                <w:p>
                  <w:pPr>
                    <w:autoSpaceDE w:val="0"/>
                    <w:autoSpaceDN w:val="0"/>
                    <w:adjustRightInd w:val="0"/>
                    <w:snapToGrid w:val="0"/>
                    <w:jc w:val="center"/>
                    <w:rPr>
                      <w:kern w:val="0"/>
                      <w:szCs w:val="21"/>
                      <w:lang w:bidi="zh-CN"/>
                    </w:rPr>
                  </w:pPr>
                  <w:r>
                    <w:rPr>
                      <w:kern w:val="0"/>
                      <w:szCs w:val="21"/>
                      <w:lang w:bidi="zh-CN"/>
                    </w:rPr>
                    <w:t>mg/L</w:t>
                  </w:r>
                </w:p>
              </w:tc>
              <w:tc>
                <w:tcPr>
                  <w:tcW w:w="833" w:type="pct"/>
                  <w:tcBorders>
                    <w:tl2br w:val="nil"/>
                    <w:tr2bl w:val="nil"/>
                  </w:tcBorders>
                  <w:vAlign w:val="center"/>
                </w:tcPr>
                <w:p>
                  <w:pPr>
                    <w:adjustRightInd w:val="0"/>
                    <w:snapToGrid w:val="0"/>
                    <w:jc w:val="center"/>
                    <w:rPr>
                      <w:szCs w:val="21"/>
                    </w:rPr>
                  </w:pPr>
                  <w:r>
                    <w:rPr>
                      <w:rFonts w:hint="eastAsia"/>
                      <w:szCs w:val="21"/>
                    </w:rPr>
                    <w:t>0.00002L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16" w:type="pct"/>
                  <w:vMerge w:val="continue"/>
                  <w:tcBorders>
                    <w:tl2br w:val="nil"/>
                    <w:tr2bl w:val="nil"/>
                  </w:tcBorders>
                  <w:vAlign w:val="center"/>
                </w:tcPr>
                <w:p>
                  <w:pPr>
                    <w:adjustRightInd w:val="0"/>
                    <w:snapToGrid w:val="0"/>
                    <w:jc w:val="center"/>
                    <w:rPr>
                      <w:szCs w:val="21"/>
                    </w:rPr>
                  </w:pPr>
                </w:p>
              </w:tc>
              <w:tc>
                <w:tcPr>
                  <w:tcW w:w="769" w:type="pct"/>
                  <w:vMerge w:val="continue"/>
                  <w:tcBorders>
                    <w:tl2br w:val="nil"/>
                    <w:tr2bl w:val="nil"/>
                  </w:tcBorders>
                  <w:vAlign w:val="center"/>
                </w:tcPr>
                <w:p>
                  <w:pPr>
                    <w:adjustRightInd w:val="0"/>
                    <w:snapToGrid w:val="0"/>
                    <w:jc w:val="center"/>
                    <w:rPr>
                      <w:szCs w:val="21"/>
                    </w:rPr>
                  </w:pPr>
                </w:p>
              </w:tc>
              <w:tc>
                <w:tcPr>
                  <w:tcW w:w="746" w:type="pct"/>
                  <w:vMerge w:val="continue"/>
                  <w:tcBorders>
                    <w:tl2br w:val="nil"/>
                    <w:tr2bl w:val="nil"/>
                  </w:tcBorders>
                  <w:vAlign w:val="center"/>
                </w:tcPr>
                <w:p>
                  <w:pPr>
                    <w:adjustRightInd w:val="0"/>
                    <w:snapToGrid w:val="0"/>
                    <w:jc w:val="center"/>
                    <w:rPr>
                      <w:szCs w:val="21"/>
                    </w:rPr>
                  </w:pPr>
                </w:p>
              </w:tc>
              <w:tc>
                <w:tcPr>
                  <w:tcW w:w="1099" w:type="pct"/>
                  <w:tcBorders>
                    <w:tl2br w:val="nil"/>
                    <w:tr2bl w:val="nil"/>
                  </w:tcBorders>
                  <w:vAlign w:val="center"/>
                </w:tcPr>
                <w:p>
                  <w:pPr>
                    <w:autoSpaceDE w:val="0"/>
                    <w:autoSpaceDN w:val="0"/>
                    <w:adjustRightInd w:val="0"/>
                    <w:snapToGrid w:val="0"/>
                    <w:jc w:val="center"/>
                    <w:rPr>
                      <w:szCs w:val="21"/>
                    </w:rPr>
                  </w:pPr>
                  <w:r>
                    <w:rPr>
                      <w:kern w:val="0"/>
                      <w:szCs w:val="21"/>
                      <w:lang w:bidi="zh-CN"/>
                    </w:rPr>
                    <w:t>镉</w:t>
                  </w:r>
                </w:p>
              </w:tc>
              <w:tc>
                <w:tcPr>
                  <w:tcW w:w="833" w:type="pct"/>
                  <w:tcBorders>
                    <w:tl2br w:val="nil"/>
                    <w:tr2bl w:val="nil"/>
                  </w:tcBorders>
                  <w:vAlign w:val="center"/>
                </w:tcPr>
                <w:p>
                  <w:pPr>
                    <w:autoSpaceDE w:val="0"/>
                    <w:autoSpaceDN w:val="0"/>
                    <w:adjustRightInd w:val="0"/>
                    <w:snapToGrid w:val="0"/>
                    <w:jc w:val="center"/>
                    <w:rPr>
                      <w:szCs w:val="21"/>
                    </w:rPr>
                  </w:pPr>
                  <w:r>
                    <w:rPr>
                      <w:kern w:val="0"/>
                      <w:szCs w:val="21"/>
                      <w:lang w:bidi="zh-CN"/>
                    </w:rPr>
                    <w:t>mg/L</w:t>
                  </w:r>
                </w:p>
              </w:tc>
              <w:tc>
                <w:tcPr>
                  <w:tcW w:w="833" w:type="pct"/>
                  <w:tcBorders>
                    <w:tl2br w:val="nil"/>
                    <w:tr2bl w:val="nil"/>
                  </w:tcBorders>
                  <w:vAlign w:val="center"/>
                </w:tcPr>
                <w:p>
                  <w:pPr>
                    <w:adjustRightInd w:val="0"/>
                    <w:snapToGrid w:val="0"/>
                    <w:jc w:val="center"/>
                    <w:rPr>
                      <w:szCs w:val="21"/>
                    </w:rPr>
                  </w:pPr>
                  <w:r>
                    <w:rPr>
                      <w:rFonts w:hint="eastAsia"/>
                      <w:szCs w:val="21"/>
                    </w:rPr>
                    <w:t>0.00005L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16" w:type="pct"/>
                  <w:vMerge w:val="continue"/>
                  <w:tcBorders>
                    <w:tl2br w:val="nil"/>
                    <w:tr2bl w:val="nil"/>
                  </w:tcBorders>
                  <w:vAlign w:val="center"/>
                </w:tcPr>
                <w:p>
                  <w:pPr>
                    <w:adjustRightInd w:val="0"/>
                    <w:snapToGrid w:val="0"/>
                    <w:jc w:val="center"/>
                    <w:rPr>
                      <w:szCs w:val="21"/>
                    </w:rPr>
                  </w:pPr>
                </w:p>
              </w:tc>
              <w:tc>
                <w:tcPr>
                  <w:tcW w:w="769" w:type="pct"/>
                  <w:vMerge w:val="continue"/>
                  <w:tcBorders>
                    <w:tl2br w:val="nil"/>
                    <w:tr2bl w:val="nil"/>
                  </w:tcBorders>
                  <w:vAlign w:val="center"/>
                </w:tcPr>
                <w:p>
                  <w:pPr>
                    <w:adjustRightInd w:val="0"/>
                    <w:snapToGrid w:val="0"/>
                    <w:jc w:val="center"/>
                    <w:rPr>
                      <w:szCs w:val="21"/>
                    </w:rPr>
                  </w:pPr>
                </w:p>
              </w:tc>
              <w:tc>
                <w:tcPr>
                  <w:tcW w:w="746" w:type="pct"/>
                  <w:vMerge w:val="continue"/>
                  <w:tcBorders>
                    <w:tl2br w:val="nil"/>
                    <w:tr2bl w:val="nil"/>
                  </w:tcBorders>
                  <w:vAlign w:val="center"/>
                </w:tcPr>
                <w:p>
                  <w:pPr>
                    <w:adjustRightInd w:val="0"/>
                    <w:snapToGrid w:val="0"/>
                    <w:jc w:val="center"/>
                    <w:rPr>
                      <w:szCs w:val="21"/>
                    </w:rPr>
                  </w:pPr>
                </w:p>
              </w:tc>
              <w:tc>
                <w:tcPr>
                  <w:tcW w:w="1099" w:type="pct"/>
                  <w:tcBorders>
                    <w:tl2br w:val="nil"/>
                    <w:tr2bl w:val="nil"/>
                  </w:tcBorders>
                  <w:vAlign w:val="center"/>
                </w:tcPr>
                <w:p>
                  <w:pPr>
                    <w:autoSpaceDE w:val="0"/>
                    <w:autoSpaceDN w:val="0"/>
                    <w:adjustRightInd w:val="0"/>
                    <w:snapToGrid w:val="0"/>
                    <w:jc w:val="center"/>
                    <w:rPr>
                      <w:szCs w:val="21"/>
                    </w:rPr>
                  </w:pPr>
                  <w:r>
                    <w:rPr>
                      <w:kern w:val="0"/>
                      <w:szCs w:val="21"/>
                      <w:lang w:bidi="zh-CN"/>
                    </w:rPr>
                    <w:t>六价铬</w:t>
                  </w:r>
                </w:p>
              </w:tc>
              <w:tc>
                <w:tcPr>
                  <w:tcW w:w="833" w:type="pct"/>
                  <w:tcBorders>
                    <w:tl2br w:val="nil"/>
                    <w:tr2bl w:val="nil"/>
                  </w:tcBorders>
                  <w:vAlign w:val="center"/>
                </w:tcPr>
                <w:p>
                  <w:pPr>
                    <w:autoSpaceDE w:val="0"/>
                    <w:autoSpaceDN w:val="0"/>
                    <w:adjustRightInd w:val="0"/>
                    <w:snapToGrid w:val="0"/>
                    <w:jc w:val="center"/>
                    <w:rPr>
                      <w:szCs w:val="21"/>
                    </w:rPr>
                  </w:pPr>
                  <w:r>
                    <w:rPr>
                      <w:kern w:val="0"/>
                      <w:szCs w:val="21"/>
                      <w:lang w:bidi="zh-CN"/>
                    </w:rPr>
                    <w:t>mg/L</w:t>
                  </w:r>
                </w:p>
              </w:tc>
              <w:tc>
                <w:tcPr>
                  <w:tcW w:w="833" w:type="pct"/>
                  <w:tcBorders>
                    <w:tl2br w:val="nil"/>
                    <w:tr2bl w:val="nil"/>
                  </w:tcBorders>
                  <w:vAlign w:val="center"/>
                </w:tcPr>
                <w:p>
                  <w:pPr>
                    <w:adjustRightInd w:val="0"/>
                    <w:snapToGrid w:val="0"/>
                    <w:jc w:val="center"/>
                    <w:rPr>
                      <w:szCs w:val="21"/>
                    </w:rPr>
                  </w:pPr>
                  <w:r>
                    <w:rPr>
                      <w:rFonts w:hint="eastAsia"/>
                      <w:szCs w:val="21"/>
                    </w:rPr>
                    <w:t>0.004L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16" w:type="pct"/>
                  <w:vMerge w:val="continue"/>
                  <w:tcBorders>
                    <w:tl2br w:val="nil"/>
                    <w:tr2bl w:val="nil"/>
                  </w:tcBorders>
                  <w:vAlign w:val="center"/>
                </w:tcPr>
                <w:p>
                  <w:pPr>
                    <w:adjustRightInd w:val="0"/>
                    <w:snapToGrid w:val="0"/>
                    <w:jc w:val="center"/>
                    <w:rPr>
                      <w:szCs w:val="21"/>
                    </w:rPr>
                  </w:pPr>
                </w:p>
              </w:tc>
              <w:tc>
                <w:tcPr>
                  <w:tcW w:w="769" w:type="pct"/>
                  <w:vMerge w:val="continue"/>
                  <w:tcBorders>
                    <w:tl2br w:val="nil"/>
                    <w:tr2bl w:val="nil"/>
                  </w:tcBorders>
                  <w:vAlign w:val="center"/>
                </w:tcPr>
                <w:p>
                  <w:pPr>
                    <w:adjustRightInd w:val="0"/>
                    <w:snapToGrid w:val="0"/>
                    <w:jc w:val="center"/>
                    <w:rPr>
                      <w:szCs w:val="21"/>
                    </w:rPr>
                  </w:pPr>
                </w:p>
              </w:tc>
              <w:tc>
                <w:tcPr>
                  <w:tcW w:w="746" w:type="pct"/>
                  <w:vMerge w:val="continue"/>
                  <w:tcBorders>
                    <w:tl2br w:val="nil"/>
                    <w:tr2bl w:val="nil"/>
                  </w:tcBorders>
                  <w:vAlign w:val="center"/>
                </w:tcPr>
                <w:p>
                  <w:pPr>
                    <w:adjustRightInd w:val="0"/>
                    <w:snapToGrid w:val="0"/>
                    <w:jc w:val="center"/>
                    <w:rPr>
                      <w:szCs w:val="21"/>
                    </w:rPr>
                  </w:pPr>
                </w:p>
              </w:tc>
              <w:tc>
                <w:tcPr>
                  <w:tcW w:w="1099" w:type="pct"/>
                  <w:tcBorders>
                    <w:tl2br w:val="nil"/>
                    <w:tr2bl w:val="nil"/>
                  </w:tcBorders>
                  <w:vAlign w:val="center"/>
                </w:tcPr>
                <w:p>
                  <w:pPr>
                    <w:autoSpaceDE w:val="0"/>
                    <w:autoSpaceDN w:val="0"/>
                    <w:adjustRightInd w:val="0"/>
                    <w:snapToGrid w:val="0"/>
                    <w:jc w:val="center"/>
                    <w:rPr>
                      <w:szCs w:val="21"/>
                    </w:rPr>
                  </w:pPr>
                  <w:r>
                    <w:rPr>
                      <w:kern w:val="0"/>
                      <w:szCs w:val="21"/>
                      <w:lang w:bidi="zh-CN"/>
                    </w:rPr>
                    <w:t>铅</w:t>
                  </w:r>
                </w:p>
              </w:tc>
              <w:tc>
                <w:tcPr>
                  <w:tcW w:w="833" w:type="pct"/>
                  <w:tcBorders>
                    <w:tl2br w:val="nil"/>
                    <w:tr2bl w:val="nil"/>
                  </w:tcBorders>
                  <w:vAlign w:val="center"/>
                </w:tcPr>
                <w:p>
                  <w:pPr>
                    <w:autoSpaceDE w:val="0"/>
                    <w:autoSpaceDN w:val="0"/>
                    <w:adjustRightInd w:val="0"/>
                    <w:snapToGrid w:val="0"/>
                    <w:jc w:val="center"/>
                    <w:rPr>
                      <w:szCs w:val="21"/>
                    </w:rPr>
                  </w:pPr>
                  <w:r>
                    <w:rPr>
                      <w:kern w:val="0"/>
                      <w:szCs w:val="21"/>
                      <w:lang w:bidi="zh-CN"/>
                    </w:rPr>
                    <w:t>mg/L</w:t>
                  </w:r>
                </w:p>
              </w:tc>
              <w:tc>
                <w:tcPr>
                  <w:tcW w:w="833" w:type="pct"/>
                  <w:tcBorders>
                    <w:tl2br w:val="nil"/>
                    <w:tr2bl w:val="nil"/>
                  </w:tcBorders>
                  <w:vAlign w:val="center"/>
                </w:tcPr>
                <w:p>
                  <w:pPr>
                    <w:adjustRightInd w:val="0"/>
                    <w:snapToGrid w:val="0"/>
                    <w:jc w:val="center"/>
                    <w:rPr>
                      <w:szCs w:val="21"/>
                    </w:rPr>
                  </w:pPr>
                  <w:r>
                    <w:rPr>
                      <w:rFonts w:hint="eastAsia"/>
                      <w:szCs w:val="21"/>
                    </w:rPr>
                    <w:t>0.00009L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16" w:type="pct"/>
                  <w:vMerge w:val="continue"/>
                  <w:tcBorders>
                    <w:tl2br w:val="nil"/>
                    <w:tr2bl w:val="nil"/>
                  </w:tcBorders>
                  <w:vAlign w:val="center"/>
                </w:tcPr>
                <w:p>
                  <w:pPr>
                    <w:adjustRightInd w:val="0"/>
                    <w:snapToGrid w:val="0"/>
                    <w:jc w:val="center"/>
                    <w:rPr>
                      <w:szCs w:val="21"/>
                    </w:rPr>
                  </w:pPr>
                </w:p>
              </w:tc>
              <w:tc>
                <w:tcPr>
                  <w:tcW w:w="769" w:type="pct"/>
                  <w:vMerge w:val="continue"/>
                  <w:tcBorders>
                    <w:tl2br w:val="nil"/>
                    <w:tr2bl w:val="nil"/>
                  </w:tcBorders>
                  <w:vAlign w:val="center"/>
                </w:tcPr>
                <w:p>
                  <w:pPr>
                    <w:adjustRightInd w:val="0"/>
                    <w:snapToGrid w:val="0"/>
                    <w:jc w:val="center"/>
                    <w:rPr>
                      <w:szCs w:val="21"/>
                    </w:rPr>
                  </w:pPr>
                </w:p>
              </w:tc>
              <w:tc>
                <w:tcPr>
                  <w:tcW w:w="746" w:type="pct"/>
                  <w:vMerge w:val="continue"/>
                  <w:tcBorders>
                    <w:tl2br w:val="nil"/>
                    <w:tr2bl w:val="nil"/>
                  </w:tcBorders>
                  <w:vAlign w:val="center"/>
                </w:tcPr>
                <w:p>
                  <w:pPr>
                    <w:adjustRightInd w:val="0"/>
                    <w:snapToGrid w:val="0"/>
                    <w:jc w:val="center"/>
                    <w:rPr>
                      <w:szCs w:val="21"/>
                    </w:rPr>
                  </w:pPr>
                </w:p>
              </w:tc>
              <w:tc>
                <w:tcPr>
                  <w:tcW w:w="1099" w:type="pct"/>
                  <w:tcBorders>
                    <w:tl2br w:val="nil"/>
                    <w:tr2bl w:val="nil"/>
                  </w:tcBorders>
                  <w:vAlign w:val="center"/>
                </w:tcPr>
                <w:p>
                  <w:pPr>
                    <w:autoSpaceDE w:val="0"/>
                    <w:autoSpaceDN w:val="0"/>
                    <w:adjustRightInd w:val="0"/>
                    <w:snapToGrid w:val="0"/>
                    <w:jc w:val="center"/>
                    <w:rPr>
                      <w:szCs w:val="21"/>
                    </w:rPr>
                  </w:pPr>
                  <w:r>
                    <w:rPr>
                      <w:kern w:val="0"/>
                      <w:szCs w:val="21"/>
                      <w:lang w:bidi="zh-CN"/>
                    </w:rPr>
                    <w:t>氰化物</w:t>
                  </w:r>
                </w:p>
              </w:tc>
              <w:tc>
                <w:tcPr>
                  <w:tcW w:w="833" w:type="pct"/>
                  <w:tcBorders>
                    <w:tl2br w:val="nil"/>
                    <w:tr2bl w:val="nil"/>
                  </w:tcBorders>
                  <w:vAlign w:val="center"/>
                </w:tcPr>
                <w:p>
                  <w:pPr>
                    <w:autoSpaceDE w:val="0"/>
                    <w:autoSpaceDN w:val="0"/>
                    <w:adjustRightInd w:val="0"/>
                    <w:snapToGrid w:val="0"/>
                    <w:jc w:val="center"/>
                    <w:rPr>
                      <w:szCs w:val="21"/>
                    </w:rPr>
                  </w:pPr>
                  <w:r>
                    <w:rPr>
                      <w:kern w:val="0"/>
                      <w:szCs w:val="21"/>
                      <w:lang w:bidi="zh-CN"/>
                    </w:rPr>
                    <w:t>mg/L</w:t>
                  </w:r>
                </w:p>
              </w:tc>
              <w:tc>
                <w:tcPr>
                  <w:tcW w:w="833" w:type="pct"/>
                  <w:tcBorders>
                    <w:tl2br w:val="nil"/>
                    <w:tr2bl w:val="nil"/>
                  </w:tcBorders>
                  <w:vAlign w:val="center"/>
                </w:tcPr>
                <w:p>
                  <w:pPr>
                    <w:adjustRightInd w:val="0"/>
                    <w:snapToGrid w:val="0"/>
                    <w:jc w:val="center"/>
                    <w:rPr>
                      <w:szCs w:val="21"/>
                    </w:rPr>
                  </w:pPr>
                  <w:r>
                    <w:rPr>
                      <w:rFonts w:hint="eastAsia"/>
                      <w:szCs w:val="21"/>
                    </w:rPr>
                    <w:t>0.001L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16" w:type="pct"/>
                  <w:vMerge w:val="continue"/>
                  <w:tcBorders>
                    <w:tl2br w:val="nil"/>
                    <w:tr2bl w:val="nil"/>
                  </w:tcBorders>
                  <w:vAlign w:val="center"/>
                </w:tcPr>
                <w:p>
                  <w:pPr>
                    <w:adjustRightInd w:val="0"/>
                    <w:snapToGrid w:val="0"/>
                    <w:jc w:val="center"/>
                    <w:rPr>
                      <w:szCs w:val="21"/>
                    </w:rPr>
                  </w:pPr>
                </w:p>
              </w:tc>
              <w:tc>
                <w:tcPr>
                  <w:tcW w:w="769" w:type="pct"/>
                  <w:vMerge w:val="continue"/>
                  <w:tcBorders>
                    <w:tl2br w:val="nil"/>
                    <w:tr2bl w:val="nil"/>
                  </w:tcBorders>
                  <w:vAlign w:val="center"/>
                </w:tcPr>
                <w:p>
                  <w:pPr>
                    <w:adjustRightInd w:val="0"/>
                    <w:snapToGrid w:val="0"/>
                    <w:jc w:val="center"/>
                    <w:rPr>
                      <w:szCs w:val="21"/>
                    </w:rPr>
                  </w:pPr>
                </w:p>
              </w:tc>
              <w:tc>
                <w:tcPr>
                  <w:tcW w:w="746" w:type="pct"/>
                  <w:vMerge w:val="continue"/>
                  <w:tcBorders>
                    <w:tl2br w:val="nil"/>
                    <w:tr2bl w:val="nil"/>
                  </w:tcBorders>
                  <w:vAlign w:val="center"/>
                </w:tcPr>
                <w:p>
                  <w:pPr>
                    <w:adjustRightInd w:val="0"/>
                    <w:snapToGrid w:val="0"/>
                    <w:jc w:val="center"/>
                    <w:rPr>
                      <w:szCs w:val="21"/>
                    </w:rPr>
                  </w:pPr>
                </w:p>
              </w:tc>
              <w:tc>
                <w:tcPr>
                  <w:tcW w:w="1099" w:type="pct"/>
                  <w:tcBorders>
                    <w:tl2br w:val="nil"/>
                    <w:tr2bl w:val="nil"/>
                  </w:tcBorders>
                  <w:vAlign w:val="center"/>
                </w:tcPr>
                <w:p>
                  <w:pPr>
                    <w:autoSpaceDE w:val="0"/>
                    <w:autoSpaceDN w:val="0"/>
                    <w:adjustRightInd w:val="0"/>
                    <w:snapToGrid w:val="0"/>
                    <w:jc w:val="center"/>
                    <w:rPr>
                      <w:szCs w:val="21"/>
                    </w:rPr>
                  </w:pPr>
                  <w:r>
                    <w:rPr>
                      <w:kern w:val="0"/>
                      <w:szCs w:val="21"/>
                      <w:lang w:bidi="zh-CN"/>
                    </w:rPr>
                    <w:t>挥发酚</w:t>
                  </w:r>
                </w:p>
              </w:tc>
              <w:tc>
                <w:tcPr>
                  <w:tcW w:w="833" w:type="pct"/>
                  <w:tcBorders>
                    <w:tl2br w:val="nil"/>
                    <w:tr2bl w:val="nil"/>
                  </w:tcBorders>
                  <w:vAlign w:val="center"/>
                </w:tcPr>
                <w:p>
                  <w:pPr>
                    <w:autoSpaceDE w:val="0"/>
                    <w:autoSpaceDN w:val="0"/>
                    <w:adjustRightInd w:val="0"/>
                    <w:snapToGrid w:val="0"/>
                    <w:jc w:val="center"/>
                    <w:rPr>
                      <w:szCs w:val="21"/>
                    </w:rPr>
                  </w:pPr>
                  <w:r>
                    <w:rPr>
                      <w:kern w:val="0"/>
                      <w:szCs w:val="21"/>
                      <w:lang w:bidi="zh-CN"/>
                    </w:rPr>
                    <w:t>mg/L</w:t>
                  </w:r>
                </w:p>
              </w:tc>
              <w:tc>
                <w:tcPr>
                  <w:tcW w:w="833" w:type="pct"/>
                  <w:tcBorders>
                    <w:tl2br w:val="nil"/>
                    <w:tr2bl w:val="nil"/>
                  </w:tcBorders>
                  <w:vAlign w:val="center"/>
                </w:tcPr>
                <w:p>
                  <w:pPr>
                    <w:adjustRightInd w:val="0"/>
                    <w:snapToGrid w:val="0"/>
                    <w:jc w:val="center"/>
                    <w:rPr>
                      <w:szCs w:val="21"/>
                    </w:rPr>
                  </w:pPr>
                  <w:r>
                    <w:rPr>
                      <w:rFonts w:hint="eastAsia"/>
                      <w:szCs w:val="21"/>
                    </w:rPr>
                    <w:t>0.0003L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16" w:type="pct"/>
                  <w:vMerge w:val="continue"/>
                  <w:tcBorders>
                    <w:tl2br w:val="nil"/>
                    <w:tr2bl w:val="nil"/>
                  </w:tcBorders>
                  <w:vAlign w:val="center"/>
                </w:tcPr>
                <w:p>
                  <w:pPr>
                    <w:adjustRightInd w:val="0"/>
                    <w:snapToGrid w:val="0"/>
                    <w:jc w:val="center"/>
                    <w:rPr>
                      <w:szCs w:val="21"/>
                    </w:rPr>
                  </w:pPr>
                </w:p>
              </w:tc>
              <w:tc>
                <w:tcPr>
                  <w:tcW w:w="769" w:type="pct"/>
                  <w:vMerge w:val="continue"/>
                  <w:tcBorders>
                    <w:tl2br w:val="nil"/>
                    <w:tr2bl w:val="nil"/>
                  </w:tcBorders>
                  <w:vAlign w:val="center"/>
                </w:tcPr>
                <w:p>
                  <w:pPr>
                    <w:adjustRightInd w:val="0"/>
                    <w:snapToGrid w:val="0"/>
                    <w:jc w:val="center"/>
                    <w:rPr>
                      <w:szCs w:val="21"/>
                    </w:rPr>
                  </w:pPr>
                </w:p>
              </w:tc>
              <w:tc>
                <w:tcPr>
                  <w:tcW w:w="746" w:type="pct"/>
                  <w:vMerge w:val="continue"/>
                  <w:tcBorders>
                    <w:tl2br w:val="nil"/>
                    <w:tr2bl w:val="nil"/>
                  </w:tcBorders>
                  <w:vAlign w:val="center"/>
                </w:tcPr>
                <w:p>
                  <w:pPr>
                    <w:adjustRightInd w:val="0"/>
                    <w:snapToGrid w:val="0"/>
                    <w:jc w:val="center"/>
                    <w:rPr>
                      <w:szCs w:val="21"/>
                    </w:rPr>
                  </w:pPr>
                </w:p>
              </w:tc>
              <w:tc>
                <w:tcPr>
                  <w:tcW w:w="1099" w:type="pct"/>
                  <w:tcBorders>
                    <w:tl2br w:val="nil"/>
                    <w:tr2bl w:val="nil"/>
                  </w:tcBorders>
                  <w:vAlign w:val="center"/>
                </w:tcPr>
                <w:p>
                  <w:pPr>
                    <w:autoSpaceDE w:val="0"/>
                    <w:autoSpaceDN w:val="0"/>
                    <w:adjustRightInd w:val="0"/>
                    <w:snapToGrid w:val="0"/>
                    <w:jc w:val="center"/>
                    <w:rPr>
                      <w:szCs w:val="21"/>
                    </w:rPr>
                  </w:pPr>
                  <w:r>
                    <w:rPr>
                      <w:kern w:val="0"/>
                      <w:szCs w:val="21"/>
                      <w:lang w:bidi="zh-CN"/>
                    </w:rPr>
                    <w:t>石油类</w:t>
                  </w:r>
                </w:p>
              </w:tc>
              <w:tc>
                <w:tcPr>
                  <w:tcW w:w="833" w:type="pct"/>
                  <w:tcBorders>
                    <w:tl2br w:val="nil"/>
                    <w:tr2bl w:val="nil"/>
                  </w:tcBorders>
                  <w:vAlign w:val="center"/>
                </w:tcPr>
                <w:p>
                  <w:pPr>
                    <w:autoSpaceDE w:val="0"/>
                    <w:autoSpaceDN w:val="0"/>
                    <w:adjustRightInd w:val="0"/>
                    <w:snapToGrid w:val="0"/>
                    <w:jc w:val="center"/>
                    <w:rPr>
                      <w:szCs w:val="21"/>
                    </w:rPr>
                  </w:pPr>
                  <w:r>
                    <w:rPr>
                      <w:kern w:val="0"/>
                      <w:szCs w:val="21"/>
                      <w:lang w:bidi="zh-CN"/>
                    </w:rPr>
                    <w:t>mg/L</w:t>
                  </w:r>
                </w:p>
              </w:tc>
              <w:tc>
                <w:tcPr>
                  <w:tcW w:w="833" w:type="pct"/>
                  <w:tcBorders>
                    <w:tl2br w:val="nil"/>
                    <w:tr2bl w:val="nil"/>
                  </w:tcBorders>
                  <w:vAlign w:val="center"/>
                </w:tcPr>
                <w:p>
                  <w:pPr>
                    <w:adjustRightInd w:val="0"/>
                    <w:snapToGrid w:val="0"/>
                    <w:jc w:val="center"/>
                    <w:rPr>
                      <w:szCs w:val="21"/>
                    </w:rPr>
                  </w:pPr>
                  <w:r>
                    <w:rPr>
                      <w:rFonts w:hint="eastAsia"/>
                      <w:szCs w:val="21"/>
                    </w:rPr>
                    <w:t>0.01L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16" w:type="pct"/>
                  <w:vMerge w:val="continue"/>
                  <w:tcBorders>
                    <w:tl2br w:val="nil"/>
                    <w:tr2bl w:val="nil"/>
                  </w:tcBorders>
                  <w:vAlign w:val="center"/>
                </w:tcPr>
                <w:p>
                  <w:pPr>
                    <w:adjustRightInd w:val="0"/>
                    <w:snapToGrid w:val="0"/>
                    <w:jc w:val="center"/>
                    <w:rPr>
                      <w:szCs w:val="21"/>
                    </w:rPr>
                  </w:pPr>
                </w:p>
              </w:tc>
              <w:tc>
                <w:tcPr>
                  <w:tcW w:w="769" w:type="pct"/>
                  <w:vMerge w:val="continue"/>
                  <w:tcBorders>
                    <w:tl2br w:val="nil"/>
                    <w:tr2bl w:val="nil"/>
                  </w:tcBorders>
                  <w:vAlign w:val="center"/>
                </w:tcPr>
                <w:p>
                  <w:pPr>
                    <w:adjustRightInd w:val="0"/>
                    <w:snapToGrid w:val="0"/>
                    <w:jc w:val="center"/>
                    <w:rPr>
                      <w:szCs w:val="21"/>
                    </w:rPr>
                  </w:pPr>
                </w:p>
              </w:tc>
              <w:tc>
                <w:tcPr>
                  <w:tcW w:w="746" w:type="pct"/>
                  <w:vMerge w:val="continue"/>
                  <w:tcBorders>
                    <w:tl2br w:val="nil"/>
                    <w:tr2bl w:val="nil"/>
                  </w:tcBorders>
                  <w:vAlign w:val="center"/>
                </w:tcPr>
                <w:p>
                  <w:pPr>
                    <w:adjustRightInd w:val="0"/>
                    <w:snapToGrid w:val="0"/>
                    <w:jc w:val="center"/>
                    <w:rPr>
                      <w:szCs w:val="21"/>
                    </w:rPr>
                  </w:pPr>
                </w:p>
              </w:tc>
              <w:tc>
                <w:tcPr>
                  <w:tcW w:w="1099" w:type="pct"/>
                  <w:tcBorders>
                    <w:tl2br w:val="nil"/>
                    <w:tr2bl w:val="nil"/>
                  </w:tcBorders>
                  <w:vAlign w:val="center"/>
                </w:tcPr>
                <w:p>
                  <w:pPr>
                    <w:autoSpaceDE w:val="0"/>
                    <w:autoSpaceDN w:val="0"/>
                    <w:adjustRightInd w:val="0"/>
                    <w:snapToGrid w:val="0"/>
                    <w:jc w:val="center"/>
                    <w:rPr>
                      <w:szCs w:val="21"/>
                    </w:rPr>
                  </w:pPr>
                  <w:r>
                    <w:rPr>
                      <w:kern w:val="0"/>
                      <w:szCs w:val="21"/>
                      <w:lang w:bidi="zh-CN"/>
                    </w:rPr>
                    <w:t>阴离子表面活性剂</w:t>
                  </w:r>
                </w:p>
              </w:tc>
              <w:tc>
                <w:tcPr>
                  <w:tcW w:w="833" w:type="pct"/>
                  <w:tcBorders>
                    <w:tl2br w:val="nil"/>
                    <w:tr2bl w:val="nil"/>
                  </w:tcBorders>
                  <w:vAlign w:val="center"/>
                </w:tcPr>
                <w:p>
                  <w:pPr>
                    <w:autoSpaceDE w:val="0"/>
                    <w:autoSpaceDN w:val="0"/>
                    <w:adjustRightInd w:val="0"/>
                    <w:snapToGrid w:val="0"/>
                    <w:jc w:val="center"/>
                    <w:rPr>
                      <w:szCs w:val="21"/>
                    </w:rPr>
                  </w:pPr>
                  <w:r>
                    <w:rPr>
                      <w:rFonts w:hint="eastAsia"/>
                      <w:kern w:val="0"/>
                      <w:szCs w:val="21"/>
                      <w:lang w:bidi="zh-CN"/>
                    </w:rPr>
                    <w:t>mg/L</w:t>
                  </w:r>
                </w:p>
              </w:tc>
              <w:tc>
                <w:tcPr>
                  <w:tcW w:w="833" w:type="pct"/>
                  <w:tcBorders>
                    <w:tl2br w:val="nil"/>
                    <w:tr2bl w:val="nil"/>
                  </w:tcBorders>
                  <w:vAlign w:val="center"/>
                </w:tcPr>
                <w:p>
                  <w:pPr>
                    <w:adjustRightInd w:val="0"/>
                    <w:snapToGrid w:val="0"/>
                    <w:jc w:val="center"/>
                    <w:rPr>
                      <w:szCs w:val="21"/>
                    </w:rPr>
                  </w:pPr>
                  <w:r>
                    <w:rPr>
                      <w:rFonts w:hint="eastAsia"/>
                      <w:szCs w:val="21"/>
                    </w:rPr>
                    <w:t>0.05L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16" w:type="pct"/>
                  <w:vMerge w:val="continue"/>
                  <w:tcBorders>
                    <w:tl2br w:val="nil"/>
                    <w:tr2bl w:val="nil"/>
                  </w:tcBorders>
                  <w:vAlign w:val="center"/>
                </w:tcPr>
                <w:p>
                  <w:pPr>
                    <w:adjustRightInd w:val="0"/>
                    <w:snapToGrid w:val="0"/>
                    <w:jc w:val="center"/>
                    <w:rPr>
                      <w:szCs w:val="21"/>
                    </w:rPr>
                  </w:pPr>
                </w:p>
              </w:tc>
              <w:tc>
                <w:tcPr>
                  <w:tcW w:w="769" w:type="pct"/>
                  <w:vMerge w:val="continue"/>
                  <w:tcBorders>
                    <w:tl2br w:val="nil"/>
                    <w:tr2bl w:val="nil"/>
                  </w:tcBorders>
                  <w:vAlign w:val="center"/>
                </w:tcPr>
                <w:p>
                  <w:pPr>
                    <w:adjustRightInd w:val="0"/>
                    <w:snapToGrid w:val="0"/>
                    <w:jc w:val="center"/>
                    <w:rPr>
                      <w:szCs w:val="21"/>
                    </w:rPr>
                  </w:pPr>
                </w:p>
              </w:tc>
              <w:tc>
                <w:tcPr>
                  <w:tcW w:w="746" w:type="pct"/>
                  <w:vMerge w:val="continue"/>
                  <w:tcBorders>
                    <w:tl2br w:val="nil"/>
                    <w:tr2bl w:val="nil"/>
                  </w:tcBorders>
                  <w:vAlign w:val="center"/>
                </w:tcPr>
                <w:p>
                  <w:pPr>
                    <w:adjustRightInd w:val="0"/>
                    <w:snapToGrid w:val="0"/>
                    <w:jc w:val="center"/>
                    <w:rPr>
                      <w:szCs w:val="21"/>
                    </w:rPr>
                  </w:pPr>
                </w:p>
              </w:tc>
              <w:tc>
                <w:tcPr>
                  <w:tcW w:w="1099" w:type="pct"/>
                  <w:tcBorders>
                    <w:tl2br w:val="nil"/>
                    <w:tr2bl w:val="nil"/>
                  </w:tcBorders>
                  <w:vAlign w:val="center"/>
                </w:tcPr>
                <w:p>
                  <w:pPr>
                    <w:autoSpaceDE w:val="0"/>
                    <w:autoSpaceDN w:val="0"/>
                    <w:adjustRightInd w:val="0"/>
                    <w:snapToGrid w:val="0"/>
                    <w:jc w:val="center"/>
                    <w:rPr>
                      <w:szCs w:val="21"/>
                    </w:rPr>
                  </w:pPr>
                  <w:r>
                    <w:rPr>
                      <w:kern w:val="0"/>
                      <w:szCs w:val="21"/>
                      <w:lang w:bidi="zh-CN"/>
                    </w:rPr>
                    <w:t>硫化物</w:t>
                  </w:r>
                </w:p>
              </w:tc>
              <w:tc>
                <w:tcPr>
                  <w:tcW w:w="833" w:type="pct"/>
                  <w:tcBorders>
                    <w:tl2br w:val="nil"/>
                    <w:tr2bl w:val="nil"/>
                  </w:tcBorders>
                  <w:vAlign w:val="center"/>
                </w:tcPr>
                <w:p>
                  <w:pPr>
                    <w:autoSpaceDE w:val="0"/>
                    <w:autoSpaceDN w:val="0"/>
                    <w:adjustRightInd w:val="0"/>
                    <w:snapToGrid w:val="0"/>
                    <w:jc w:val="center"/>
                    <w:rPr>
                      <w:szCs w:val="21"/>
                    </w:rPr>
                  </w:pPr>
                  <w:r>
                    <w:rPr>
                      <w:kern w:val="0"/>
                      <w:szCs w:val="21"/>
                      <w:lang w:bidi="zh-CN"/>
                    </w:rPr>
                    <w:t>mg/L</w:t>
                  </w:r>
                </w:p>
              </w:tc>
              <w:tc>
                <w:tcPr>
                  <w:tcW w:w="833" w:type="pct"/>
                  <w:tcBorders>
                    <w:tl2br w:val="nil"/>
                    <w:tr2bl w:val="nil"/>
                  </w:tcBorders>
                  <w:vAlign w:val="center"/>
                </w:tcPr>
                <w:p>
                  <w:pPr>
                    <w:adjustRightInd w:val="0"/>
                    <w:snapToGrid w:val="0"/>
                    <w:jc w:val="center"/>
                    <w:rPr>
                      <w:szCs w:val="21"/>
                    </w:rPr>
                  </w:pPr>
                  <w:r>
                    <w:rPr>
                      <w:rFonts w:hint="eastAsia"/>
                      <w:szCs w:val="21"/>
                    </w:rPr>
                    <w:t>0.005L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16" w:type="pct"/>
                  <w:vMerge w:val="continue"/>
                  <w:tcBorders>
                    <w:tl2br w:val="nil"/>
                    <w:tr2bl w:val="nil"/>
                  </w:tcBorders>
                  <w:vAlign w:val="center"/>
                </w:tcPr>
                <w:p>
                  <w:pPr>
                    <w:adjustRightInd w:val="0"/>
                    <w:snapToGrid w:val="0"/>
                    <w:jc w:val="center"/>
                    <w:rPr>
                      <w:szCs w:val="21"/>
                    </w:rPr>
                  </w:pPr>
                </w:p>
              </w:tc>
              <w:tc>
                <w:tcPr>
                  <w:tcW w:w="769" w:type="pct"/>
                  <w:vMerge w:val="continue"/>
                  <w:tcBorders>
                    <w:tl2br w:val="nil"/>
                    <w:tr2bl w:val="nil"/>
                  </w:tcBorders>
                  <w:vAlign w:val="center"/>
                </w:tcPr>
                <w:p>
                  <w:pPr>
                    <w:adjustRightInd w:val="0"/>
                    <w:snapToGrid w:val="0"/>
                    <w:jc w:val="center"/>
                    <w:rPr>
                      <w:szCs w:val="21"/>
                    </w:rPr>
                  </w:pPr>
                </w:p>
              </w:tc>
              <w:tc>
                <w:tcPr>
                  <w:tcW w:w="746" w:type="pct"/>
                  <w:vMerge w:val="continue"/>
                  <w:tcBorders>
                    <w:tl2br w:val="nil"/>
                    <w:tr2bl w:val="nil"/>
                  </w:tcBorders>
                  <w:vAlign w:val="center"/>
                </w:tcPr>
                <w:p>
                  <w:pPr>
                    <w:adjustRightInd w:val="0"/>
                    <w:snapToGrid w:val="0"/>
                    <w:jc w:val="center"/>
                    <w:rPr>
                      <w:szCs w:val="21"/>
                    </w:rPr>
                  </w:pPr>
                </w:p>
              </w:tc>
              <w:tc>
                <w:tcPr>
                  <w:tcW w:w="1099" w:type="pct"/>
                  <w:tcBorders>
                    <w:tl2br w:val="nil"/>
                    <w:tr2bl w:val="nil"/>
                  </w:tcBorders>
                  <w:vAlign w:val="center"/>
                </w:tcPr>
                <w:p>
                  <w:pPr>
                    <w:autoSpaceDE w:val="0"/>
                    <w:autoSpaceDN w:val="0"/>
                    <w:adjustRightInd w:val="0"/>
                    <w:snapToGrid w:val="0"/>
                    <w:jc w:val="center"/>
                    <w:rPr>
                      <w:szCs w:val="21"/>
                    </w:rPr>
                  </w:pPr>
                  <w:r>
                    <w:rPr>
                      <w:kern w:val="0"/>
                      <w:szCs w:val="21"/>
                      <w:lang w:bidi="zh-CN"/>
                    </w:rPr>
                    <w:t>粪大肠菌群</w:t>
                  </w:r>
                </w:p>
              </w:tc>
              <w:tc>
                <w:tcPr>
                  <w:tcW w:w="833" w:type="pct"/>
                  <w:tcBorders>
                    <w:tl2br w:val="nil"/>
                    <w:tr2bl w:val="nil"/>
                  </w:tcBorders>
                  <w:vAlign w:val="center"/>
                </w:tcPr>
                <w:p>
                  <w:pPr>
                    <w:autoSpaceDE w:val="0"/>
                    <w:autoSpaceDN w:val="0"/>
                    <w:adjustRightInd w:val="0"/>
                    <w:snapToGrid w:val="0"/>
                    <w:jc w:val="center"/>
                    <w:rPr>
                      <w:szCs w:val="21"/>
                    </w:rPr>
                  </w:pPr>
                  <w:r>
                    <w:rPr>
                      <w:kern w:val="0"/>
                      <w:szCs w:val="21"/>
                      <w:lang w:bidi="zh-CN"/>
                    </w:rPr>
                    <w:t>（个/l）</w:t>
                  </w:r>
                </w:p>
              </w:tc>
              <w:tc>
                <w:tcPr>
                  <w:tcW w:w="833" w:type="pct"/>
                  <w:tcBorders>
                    <w:tl2br w:val="nil"/>
                    <w:tr2bl w:val="nil"/>
                  </w:tcBorders>
                  <w:vAlign w:val="center"/>
                </w:tcPr>
                <w:p>
                  <w:pPr>
                    <w:adjustRightInd w:val="0"/>
                    <w:snapToGrid w:val="0"/>
                    <w:jc w:val="center"/>
                    <w:rPr>
                      <w:szCs w:val="21"/>
                    </w:rPr>
                  </w:pPr>
                  <w:r>
                    <w:rPr>
                      <w:rFonts w:hint="eastAsia"/>
                      <w:szCs w:val="21"/>
                    </w:rPr>
                    <w:t>2800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16" w:type="pct"/>
                  <w:vMerge w:val="continue"/>
                  <w:tcBorders>
                    <w:tl2br w:val="nil"/>
                    <w:tr2bl w:val="nil"/>
                  </w:tcBorders>
                  <w:vAlign w:val="center"/>
                </w:tcPr>
                <w:p>
                  <w:pPr>
                    <w:adjustRightInd w:val="0"/>
                    <w:snapToGrid w:val="0"/>
                    <w:jc w:val="center"/>
                    <w:rPr>
                      <w:szCs w:val="21"/>
                    </w:rPr>
                  </w:pPr>
                </w:p>
              </w:tc>
              <w:tc>
                <w:tcPr>
                  <w:tcW w:w="769" w:type="pct"/>
                  <w:vMerge w:val="continue"/>
                  <w:tcBorders>
                    <w:tl2br w:val="nil"/>
                    <w:tr2bl w:val="nil"/>
                  </w:tcBorders>
                  <w:vAlign w:val="center"/>
                </w:tcPr>
                <w:p>
                  <w:pPr>
                    <w:adjustRightInd w:val="0"/>
                    <w:snapToGrid w:val="0"/>
                    <w:jc w:val="center"/>
                    <w:rPr>
                      <w:szCs w:val="21"/>
                    </w:rPr>
                  </w:pPr>
                </w:p>
              </w:tc>
              <w:tc>
                <w:tcPr>
                  <w:tcW w:w="746" w:type="pct"/>
                  <w:vMerge w:val="continue"/>
                  <w:tcBorders>
                    <w:tl2br w:val="nil"/>
                    <w:tr2bl w:val="nil"/>
                  </w:tcBorders>
                  <w:vAlign w:val="center"/>
                </w:tcPr>
                <w:p>
                  <w:pPr>
                    <w:adjustRightInd w:val="0"/>
                    <w:snapToGrid w:val="0"/>
                    <w:jc w:val="center"/>
                    <w:rPr>
                      <w:szCs w:val="21"/>
                    </w:rPr>
                  </w:pPr>
                </w:p>
              </w:tc>
              <w:tc>
                <w:tcPr>
                  <w:tcW w:w="1099" w:type="pct"/>
                  <w:tcBorders>
                    <w:tl2br w:val="nil"/>
                    <w:tr2bl w:val="nil"/>
                  </w:tcBorders>
                  <w:vAlign w:val="center"/>
                </w:tcPr>
                <w:p>
                  <w:pPr>
                    <w:autoSpaceDE w:val="0"/>
                    <w:autoSpaceDN w:val="0"/>
                    <w:adjustRightInd w:val="0"/>
                    <w:snapToGrid w:val="0"/>
                    <w:jc w:val="center"/>
                    <w:rPr>
                      <w:kern w:val="0"/>
                      <w:szCs w:val="21"/>
                      <w:lang w:bidi="zh-CN"/>
                    </w:rPr>
                  </w:pPr>
                  <w:r>
                    <w:rPr>
                      <w:kern w:val="0"/>
                      <w:szCs w:val="21"/>
                      <w:lang w:bidi="zh-CN"/>
                    </w:rPr>
                    <w:t>锑</w:t>
                  </w:r>
                </w:p>
              </w:tc>
              <w:tc>
                <w:tcPr>
                  <w:tcW w:w="833" w:type="pct"/>
                  <w:tcBorders>
                    <w:tl2br w:val="nil"/>
                    <w:tr2bl w:val="nil"/>
                  </w:tcBorders>
                  <w:vAlign w:val="center"/>
                </w:tcPr>
                <w:p>
                  <w:pPr>
                    <w:autoSpaceDE w:val="0"/>
                    <w:autoSpaceDN w:val="0"/>
                    <w:adjustRightInd w:val="0"/>
                    <w:snapToGrid w:val="0"/>
                    <w:jc w:val="center"/>
                    <w:rPr>
                      <w:kern w:val="0"/>
                      <w:szCs w:val="21"/>
                      <w:lang w:bidi="zh-CN"/>
                    </w:rPr>
                  </w:pPr>
                  <w:r>
                    <w:rPr>
                      <w:kern w:val="0"/>
                      <w:szCs w:val="21"/>
                      <w:lang w:bidi="zh-CN"/>
                    </w:rPr>
                    <w:t>mg/L</w:t>
                  </w:r>
                </w:p>
              </w:tc>
              <w:tc>
                <w:tcPr>
                  <w:tcW w:w="833" w:type="pct"/>
                  <w:tcBorders>
                    <w:tl2br w:val="nil"/>
                    <w:tr2bl w:val="nil"/>
                  </w:tcBorders>
                  <w:vAlign w:val="center"/>
                </w:tcPr>
                <w:p>
                  <w:pPr>
                    <w:adjustRightInd w:val="0"/>
                    <w:snapToGrid w:val="0"/>
                    <w:jc w:val="center"/>
                    <w:rPr>
                      <w:szCs w:val="21"/>
                    </w:rPr>
                  </w:pPr>
                  <w:r>
                    <w:rPr>
                      <w:rFonts w:hint="eastAsia"/>
                      <w:szCs w:val="21"/>
                    </w:rPr>
                    <w:t>0.0004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716" w:type="pct"/>
                  <w:vMerge w:val="continue"/>
                  <w:tcBorders>
                    <w:tl2br w:val="nil"/>
                    <w:tr2bl w:val="nil"/>
                  </w:tcBorders>
                  <w:vAlign w:val="center"/>
                </w:tcPr>
                <w:p>
                  <w:pPr>
                    <w:adjustRightInd w:val="0"/>
                    <w:snapToGrid w:val="0"/>
                    <w:jc w:val="center"/>
                    <w:rPr>
                      <w:szCs w:val="21"/>
                    </w:rPr>
                  </w:pPr>
                </w:p>
              </w:tc>
              <w:tc>
                <w:tcPr>
                  <w:tcW w:w="769" w:type="pct"/>
                  <w:vMerge w:val="continue"/>
                  <w:tcBorders>
                    <w:tl2br w:val="nil"/>
                    <w:tr2bl w:val="nil"/>
                  </w:tcBorders>
                  <w:vAlign w:val="center"/>
                </w:tcPr>
                <w:p>
                  <w:pPr>
                    <w:adjustRightInd w:val="0"/>
                    <w:snapToGrid w:val="0"/>
                    <w:jc w:val="center"/>
                    <w:rPr>
                      <w:szCs w:val="21"/>
                    </w:rPr>
                  </w:pPr>
                </w:p>
              </w:tc>
              <w:tc>
                <w:tcPr>
                  <w:tcW w:w="746" w:type="pct"/>
                  <w:vMerge w:val="continue"/>
                  <w:tcBorders>
                    <w:tl2br w:val="nil"/>
                    <w:tr2bl w:val="nil"/>
                  </w:tcBorders>
                  <w:vAlign w:val="center"/>
                </w:tcPr>
                <w:p>
                  <w:pPr>
                    <w:adjustRightInd w:val="0"/>
                    <w:snapToGrid w:val="0"/>
                    <w:jc w:val="center"/>
                    <w:rPr>
                      <w:szCs w:val="21"/>
                    </w:rPr>
                  </w:pPr>
                </w:p>
              </w:tc>
              <w:tc>
                <w:tcPr>
                  <w:tcW w:w="1099" w:type="pct"/>
                  <w:tcBorders>
                    <w:tl2br w:val="nil"/>
                    <w:tr2bl w:val="nil"/>
                  </w:tcBorders>
                  <w:vAlign w:val="center"/>
                </w:tcPr>
                <w:p>
                  <w:pPr>
                    <w:autoSpaceDE w:val="0"/>
                    <w:autoSpaceDN w:val="0"/>
                    <w:adjustRightInd w:val="0"/>
                    <w:snapToGrid w:val="0"/>
                    <w:jc w:val="center"/>
                    <w:rPr>
                      <w:kern w:val="0"/>
                      <w:szCs w:val="21"/>
                      <w:lang w:bidi="zh-CN"/>
                    </w:rPr>
                  </w:pPr>
                  <w:r>
                    <w:rPr>
                      <w:kern w:val="0"/>
                      <w:szCs w:val="21"/>
                      <w:lang w:bidi="zh-CN"/>
                    </w:rPr>
                    <w:t>铊</w:t>
                  </w:r>
                </w:p>
              </w:tc>
              <w:tc>
                <w:tcPr>
                  <w:tcW w:w="833" w:type="pct"/>
                  <w:tcBorders>
                    <w:tl2br w:val="nil"/>
                    <w:tr2bl w:val="nil"/>
                  </w:tcBorders>
                  <w:vAlign w:val="center"/>
                </w:tcPr>
                <w:p>
                  <w:pPr>
                    <w:autoSpaceDE w:val="0"/>
                    <w:autoSpaceDN w:val="0"/>
                    <w:adjustRightInd w:val="0"/>
                    <w:snapToGrid w:val="0"/>
                    <w:jc w:val="center"/>
                    <w:rPr>
                      <w:kern w:val="0"/>
                      <w:szCs w:val="21"/>
                      <w:lang w:bidi="zh-CN"/>
                    </w:rPr>
                  </w:pPr>
                  <w:r>
                    <w:rPr>
                      <w:kern w:val="0"/>
                      <w:szCs w:val="21"/>
                      <w:lang w:bidi="zh-CN"/>
                    </w:rPr>
                    <w:t>mg/L</w:t>
                  </w:r>
                </w:p>
              </w:tc>
              <w:tc>
                <w:tcPr>
                  <w:tcW w:w="833" w:type="pct"/>
                  <w:tcBorders>
                    <w:tl2br w:val="nil"/>
                    <w:tr2bl w:val="nil"/>
                  </w:tcBorders>
                  <w:vAlign w:val="center"/>
                </w:tcPr>
                <w:p>
                  <w:pPr>
                    <w:adjustRightInd w:val="0"/>
                    <w:snapToGrid w:val="0"/>
                    <w:jc w:val="center"/>
                    <w:rPr>
                      <w:szCs w:val="21"/>
                    </w:rPr>
                  </w:pPr>
                  <w:r>
                    <w:rPr>
                      <w:rFonts w:hint="eastAsia"/>
                      <w:szCs w:val="21"/>
                    </w:rPr>
                    <w:t>0.00002L</w:t>
                  </w:r>
                </w:p>
              </w:tc>
            </w:tr>
          </w:tbl>
          <w:p>
            <w:pPr>
              <w:adjustRightInd w:val="0"/>
              <w:snapToGrid w:val="0"/>
              <w:spacing w:line="360" w:lineRule="auto"/>
              <w:ind w:firstLine="480" w:firstLineChars="200"/>
              <w:rPr>
                <w:sz w:val="24"/>
              </w:rPr>
            </w:pPr>
            <w:r>
              <w:rPr>
                <w:sz w:val="24"/>
              </w:rPr>
              <w:t>由表</w:t>
            </w:r>
            <w:r>
              <w:rPr>
                <w:rFonts w:hint="eastAsia"/>
                <w:sz w:val="24"/>
              </w:rPr>
              <w:t>4-3</w:t>
            </w:r>
            <w:r>
              <w:rPr>
                <w:sz w:val="24"/>
              </w:rPr>
              <w:t>数据可知，排入河口上游水质较好，</w:t>
            </w:r>
            <w:r>
              <w:rPr>
                <w:rFonts w:hint="eastAsia"/>
                <w:sz w:val="24"/>
              </w:rPr>
              <w:t>各检测</w:t>
            </w:r>
            <w:r>
              <w:rPr>
                <w:sz w:val="24"/>
              </w:rPr>
              <w:t>因子均可达到《地表水环境质量标准》（GB3838-2002）Ⅲ类标准要求。</w:t>
            </w:r>
          </w:p>
          <w:p>
            <w:pPr>
              <w:adjustRightInd w:val="0"/>
              <w:snapToGrid w:val="0"/>
              <w:spacing w:line="360" w:lineRule="auto"/>
              <w:ind w:firstLine="480" w:firstLineChars="200"/>
              <w:rPr>
                <w:sz w:val="24"/>
              </w:rPr>
            </w:pPr>
            <w:r>
              <w:rPr>
                <w:sz w:val="24"/>
              </w:rPr>
              <w:t>水功能区水质现状小结：综上所述，本项目所涉及的</w:t>
            </w:r>
            <w:r>
              <w:rPr>
                <w:rFonts w:hint="eastAsia"/>
                <w:sz w:val="24"/>
              </w:rPr>
              <w:t>新田河</w:t>
            </w:r>
            <w:r>
              <w:rPr>
                <w:sz w:val="24"/>
              </w:rPr>
              <w:t>现状为</w:t>
            </w:r>
            <w:r>
              <w:rPr>
                <w:rFonts w:hint="eastAsia"/>
                <w:sz w:val="24"/>
              </w:rPr>
              <w:t>保留</w:t>
            </w:r>
            <w:r>
              <w:rPr>
                <w:sz w:val="24"/>
              </w:rPr>
              <w:t>区，现状水质可满足《地表水环境质量标准》（GB3838-2002）III类水质标准。</w:t>
            </w:r>
          </w:p>
          <w:p>
            <w:pPr>
              <w:adjustRightInd w:val="0"/>
              <w:snapToGrid w:val="0"/>
              <w:spacing w:line="360" w:lineRule="auto"/>
              <w:ind w:firstLine="480" w:firstLineChars="200"/>
              <w:rPr>
                <w:sz w:val="24"/>
              </w:rPr>
            </w:pPr>
            <w:r>
              <w:rPr>
                <w:sz w:val="24"/>
              </w:rPr>
              <w:t>本次论证过程，采用新田河水质中</w:t>
            </w:r>
            <w:r>
              <w:rPr>
                <w:rFonts w:hint="eastAsia"/>
                <w:color w:val="000000"/>
                <w:sz w:val="24"/>
                <w:szCs w:val="22"/>
              </w:rPr>
              <w:t>COD、总氮、总磷、BOD</w:t>
            </w:r>
            <w:r>
              <w:rPr>
                <w:rFonts w:hint="eastAsia"/>
                <w:color w:val="000000"/>
                <w:sz w:val="24"/>
                <w:szCs w:val="22"/>
                <w:vertAlign w:val="subscript"/>
              </w:rPr>
              <w:t>5</w:t>
            </w:r>
            <w:r>
              <w:rPr>
                <w:sz w:val="24"/>
              </w:rPr>
              <w:t>监测数据作为预测本底值数据，分别为COD</w:t>
            </w:r>
            <w:r>
              <w:rPr>
                <w:rFonts w:hint="eastAsia"/>
                <w:sz w:val="24"/>
              </w:rPr>
              <w:t>：9</w:t>
            </w:r>
            <w:r>
              <w:rPr>
                <w:sz w:val="24"/>
              </w:rPr>
              <w:t>mg/L、总氮</w:t>
            </w:r>
            <w:r>
              <w:rPr>
                <w:rFonts w:hint="eastAsia"/>
                <w:sz w:val="24"/>
              </w:rPr>
              <w:t>：0.34</w:t>
            </w:r>
            <w:r>
              <w:rPr>
                <w:sz w:val="24"/>
              </w:rPr>
              <w:t>mg/L</w:t>
            </w:r>
            <w:r>
              <w:rPr>
                <w:rFonts w:hint="eastAsia"/>
                <w:sz w:val="24"/>
              </w:rPr>
              <w:t>、总磷：0.01mg/L、BOD</w:t>
            </w:r>
            <w:r>
              <w:rPr>
                <w:rFonts w:hint="eastAsia"/>
                <w:sz w:val="24"/>
                <w:vertAlign w:val="subscript"/>
              </w:rPr>
              <w:t>5</w:t>
            </w:r>
            <w:r>
              <w:rPr>
                <w:rFonts w:hint="eastAsia"/>
                <w:sz w:val="24"/>
              </w:rPr>
              <w:t>：1.8mg/L</w:t>
            </w:r>
            <w:r>
              <w:rPr>
                <w:sz w:val="24"/>
              </w:rPr>
              <w:t>。</w:t>
            </w:r>
          </w:p>
          <w:p>
            <w:pPr>
              <w:adjustRightInd w:val="0"/>
              <w:snapToGrid w:val="0"/>
              <w:spacing w:line="360" w:lineRule="auto"/>
              <w:ind w:firstLine="482" w:firstLineChars="200"/>
              <w:rPr>
                <w:b/>
                <w:bCs/>
                <w:color w:val="000000"/>
                <w:sz w:val="24"/>
              </w:rPr>
            </w:pPr>
            <w:r>
              <w:rPr>
                <w:rFonts w:hint="eastAsia"/>
                <w:b/>
                <w:bCs/>
                <w:color w:val="000000"/>
                <w:sz w:val="24"/>
              </w:rPr>
              <w:t>7.3水功能区纳污能力及限制排放总量</w:t>
            </w:r>
          </w:p>
          <w:p>
            <w:pPr>
              <w:adjustRightInd w:val="0"/>
              <w:snapToGrid w:val="0"/>
              <w:spacing w:line="360" w:lineRule="auto"/>
              <w:ind w:firstLine="480" w:firstLineChars="200"/>
              <w:rPr>
                <w:sz w:val="24"/>
              </w:rPr>
            </w:pPr>
            <w:r>
              <w:rPr>
                <w:rFonts w:hint="eastAsia"/>
                <w:sz w:val="24"/>
              </w:rPr>
              <w:t>根据《水域纳污能力计算规程》（GB/T25173-2010）中的计算公式，</w:t>
            </w:r>
            <w:r>
              <w:rPr>
                <w:sz w:val="24"/>
              </w:rPr>
              <w:t>对</w:t>
            </w:r>
            <w:r>
              <w:rPr>
                <w:rFonts w:hint="eastAsia"/>
                <w:sz w:val="24"/>
              </w:rPr>
              <w:t>项目废水受纳水体日东河</w:t>
            </w:r>
            <w:r>
              <w:rPr>
                <w:rFonts w:hint="eastAsia"/>
                <w:color w:val="000000"/>
                <w:sz w:val="24"/>
                <w:szCs w:val="22"/>
              </w:rPr>
              <w:t>COD、总氮、总磷、BOD</w:t>
            </w:r>
            <w:r>
              <w:rPr>
                <w:rFonts w:hint="eastAsia"/>
                <w:color w:val="000000"/>
                <w:sz w:val="24"/>
                <w:szCs w:val="22"/>
                <w:vertAlign w:val="subscript"/>
              </w:rPr>
              <w:t>5</w:t>
            </w:r>
            <w:r>
              <w:rPr>
                <w:rFonts w:hint="eastAsia"/>
                <w:sz w:val="24"/>
              </w:rPr>
              <w:t>的纳污能力进行计算，</w:t>
            </w:r>
            <w:r>
              <w:rPr>
                <w:sz w:val="24"/>
              </w:rPr>
              <w:t>计算公式如下：</w:t>
            </w:r>
          </w:p>
          <w:p>
            <w:pPr>
              <w:snapToGrid w:val="0"/>
              <w:jc w:val="center"/>
              <w:rPr>
                <w:sz w:val="28"/>
              </w:rPr>
            </w:pPr>
            <w:r>
              <w:rPr>
                <w:sz w:val="28"/>
              </w:rPr>
              <w:drawing>
                <wp:inline distT="0" distB="0" distL="114300" distR="114300">
                  <wp:extent cx="4486275" cy="2047875"/>
                  <wp:effectExtent l="0" t="0" r="9525"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20"/>
                          <a:srcRect r="2484"/>
                          <a:stretch>
                            <a:fillRect/>
                          </a:stretch>
                        </pic:blipFill>
                        <pic:spPr>
                          <a:xfrm>
                            <a:off x="0" y="0"/>
                            <a:ext cx="4486275" cy="2047875"/>
                          </a:xfrm>
                          <a:prstGeom prst="rect">
                            <a:avLst/>
                          </a:prstGeom>
                          <a:noFill/>
                          <a:ln>
                            <a:noFill/>
                          </a:ln>
                        </pic:spPr>
                      </pic:pic>
                    </a:graphicData>
                  </a:graphic>
                </wp:inline>
              </w:drawing>
            </w:r>
          </w:p>
          <w:p>
            <w:pPr>
              <w:adjustRightInd w:val="0"/>
              <w:snapToGrid w:val="0"/>
              <w:jc w:val="center"/>
              <w:rPr>
                <w:b/>
                <w:bCs/>
                <w:szCs w:val="21"/>
              </w:rPr>
            </w:pPr>
          </w:p>
          <w:p>
            <w:pPr>
              <w:adjustRightInd w:val="0"/>
              <w:snapToGrid w:val="0"/>
              <w:jc w:val="center"/>
              <w:rPr>
                <w:b/>
                <w:bCs/>
                <w:szCs w:val="21"/>
              </w:rPr>
            </w:pPr>
            <w:r>
              <w:rPr>
                <w:b/>
                <w:bCs/>
                <w:szCs w:val="21"/>
              </w:rPr>
              <w:t>表</w:t>
            </w:r>
            <w:r>
              <w:rPr>
                <w:rFonts w:hint="eastAsia"/>
                <w:b/>
                <w:bCs/>
                <w:szCs w:val="21"/>
              </w:rPr>
              <w:t>4-4</w:t>
            </w:r>
            <w:r>
              <w:rPr>
                <w:b/>
                <w:bCs/>
                <w:szCs w:val="21"/>
              </w:rPr>
              <w:t xml:space="preserve">  </w:t>
            </w:r>
            <w:r>
              <w:rPr>
                <w:rFonts w:hint="eastAsia"/>
                <w:b/>
                <w:bCs/>
                <w:szCs w:val="21"/>
              </w:rPr>
              <w:t>日东河各相关因子纳污能力计算相关参数表</w:t>
            </w:r>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
              <w:gridCol w:w="738"/>
              <w:gridCol w:w="1091"/>
              <w:gridCol w:w="1091"/>
              <w:gridCol w:w="1008"/>
              <w:gridCol w:w="1008"/>
              <w:gridCol w:w="846"/>
              <w:gridCol w:w="846"/>
              <w:gridCol w:w="8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 w:type="pct"/>
                  <w:shd w:val="clear" w:color="auto" w:fill="auto"/>
                  <w:vAlign w:val="center"/>
                </w:tcPr>
                <w:p>
                  <w:pPr>
                    <w:adjustRightInd w:val="0"/>
                    <w:snapToGrid w:val="0"/>
                    <w:jc w:val="center"/>
                    <w:rPr>
                      <w:szCs w:val="21"/>
                    </w:rPr>
                  </w:pPr>
                  <w:r>
                    <w:rPr>
                      <w:szCs w:val="21"/>
                    </w:rPr>
                    <w:t>受纳水体</w:t>
                  </w:r>
                </w:p>
              </w:tc>
              <w:tc>
                <w:tcPr>
                  <w:tcW w:w="507" w:type="pct"/>
                  <w:shd w:val="clear" w:color="auto" w:fill="auto"/>
                  <w:vAlign w:val="center"/>
                </w:tcPr>
                <w:p>
                  <w:pPr>
                    <w:adjustRightInd w:val="0"/>
                    <w:snapToGrid w:val="0"/>
                    <w:jc w:val="center"/>
                    <w:rPr>
                      <w:szCs w:val="21"/>
                    </w:rPr>
                  </w:pPr>
                  <w:r>
                    <w:rPr>
                      <w:rFonts w:hint="eastAsia"/>
                      <w:szCs w:val="21"/>
                    </w:rPr>
                    <w:t>相关因子</w:t>
                  </w:r>
                </w:p>
              </w:tc>
              <w:tc>
                <w:tcPr>
                  <w:tcW w:w="684" w:type="pct"/>
                  <w:shd w:val="clear" w:color="auto" w:fill="auto"/>
                  <w:vAlign w:val="center"/>
                </w:tcPr>
                <w:p>
                  <w:pPr>
                    <w:adjustRightInd w:val="0"/>
                    <w:snapToGrid w:val="0"/>
                    <w:jc w:val="center"/>
                    <w:rPr>
                      <w:szCs w:val="21"/>
                    </w:rPr>
                  </w:pPr>
                  <w:r>
                    <w:rPr>
                      <w:rFonts w:hint="eastAsia"/>
                      <w:szCs w:val="21"/>
                    </w:rPr>
                    <w:t>C</w:t>
                  </w:r>
                  <w:r>
                    <w:rPr>
                      <w:rFonts w:hint="eastAsia"/>
                      <w:szCs w:val="21"/>
                      <w:vertAlign w:val="subscript"/>
                    </w:rPr>
                    <w:t>s</w:t>
                  </w:r>
                  <w:r>
                    <w:rPr>
                      <w:szCs w:val="21"/>
                    </w:rPr>
                    <w:t>（m</w:t>
                  </w:r>
                  <w:r>
                    <w:rPr>
                      <w:rFonts w:hint="eastAsia"/>
                      <w:szCs w:val="21"/>
                    </w:rPr>
                    <w:t>g/L</w:t>
                  </w:r>
                  <w:r>
                    <w:rPr>
                      <w:szCs w:val="21"/>
                    </w:rPr>
                    <w:t>）</w:t>
                  </w:r>
                </w:p>
              </w:tc>
              <w:tc>
                <w:tcPr>
                  <w:tcW w:w="684" w:type="pct"/>
                  <w:shd w:val="clear" w:color="auto" w:fill="auto"/>
                  <w:vAlign w:val="center"/>
                </w:tcPr>
                <w:p>
                  <w:pPr>
                    <w:adjustRightInd w:val="0"/>
                    <w:snapToGrid w:val="0"/>
                    <w:jc w:val="center"/>
                    <w:rPr>
                      <w:szCs w:val="21"/>
                    </w:rPr>
                  </w:pPr>
                  <w:r>
                    <w:rPr>
                      <w:szCs w:val="21"/>
                    </w:rPr>
                    <w:t>C</w:t>
                  </w:r>
                  <w:r>
                    <w:rPr>
                      <w:rFonts w:hint="eastAsia"/>
                      <w:szCs w:val="21"/>
                      <w:vertAlign w:val="subscript"/>
                    </w:rPr>
                    <w:t>0</w:t>
                  </w:r>
                  <w:r>
                    <w:rPr>
                      <w:szCs w:val="21"/>
                    </w:rPr>
                    <w:t>（mg/L）</w:t>
                  </w:r>
                </w:p>
              </w:tc>
              <w:tc>
                <w:tcPr>
                  <w:tcW w:w="632" w:type="pct"/>
                  <w:shd w:val="clear" w:color="auto" w:fill="auto"/>
                  <w:vAlign w:val="center"/>
                </w:tcPr>
                <w:p>
                  <w:pPr>
                    <w:adjustRightInd w:val="0"/>
                    <w:snapToGrid w:val="0"/>
                    <w:jc w:val="center"/>
                    <w:rPr>
                      <w:szCs w:val="21"/>
                    </w:rPr>
                  </w:pPr>
                  <w:r>
                    <w:rPr>
                      <w:rFonts w:hint="eastAsia"/>
                      <w:szCs w:val="21"/>
                    </w:rPr>
                    <w:t>Q</w:t>
                  </w:r>
                  <w:r>
                    <w:rPr>
                      <w:rFonts w:hint="eastAsia"/>
                      <w:szCs w:val="21"/>
                      <w:vertAlign w:val="subscript"/>
                    </w:rPr>
                    <w:t>p</w:t>
                  </w:r>
                  <w:r>
                    <w:rPr>
                      <w:szCs w:val="21"/>
                    </w:rPr>
                    <w:t>（m</w:t>
                  </w:r>
                  <w:r>
                    <w:rPr>
                      <w:rFonts w:hint="eastAsia"/>
                      <w:szCs w:val="21"/>
                      <w:vertAlign w:val="superscript"/>
                    </w:rPr>
                    <w:t>3</w:t>
                  </w:r>
                  <w:r>
                    <w:rPr>
                      <w:szCs w:val="21"/>
                    </w:rPr>
                    <w:t>/</w:t>
                  </w:r>
                  <w:r>
                    <w:rPr>
                      <w:rFonts w:hint="eastAsia"/>
                      <w:szCs w:val="21"/>
                    </w:rPr>
                    <w:t>s</w:t>
                  </w:r>
                  <w:r>
                    <w:rPr>
                      <w:szCs w:val="21"/>
                    </w:rPr>
                    <w:t>）</w:t>
                  </w:r>
                </w:p>
              </w:tc>
              <w:tc>
                <w:tcPr>
                  <w:tcW w:w="632" w:type="pct"/>
                  <w:vAlign w:val="center"/>
                </w:tcPr>
                <w:p>
                  <w:pPr>
                    <w:adjustRightInd w:val="0"/>
                    <w:snapToGrid w:val="0"/>
                    <w:jc w:val="center"/>
                    <w:rPr>
                      <w:szCs w:val="21"/>
                    </w:rPr>
                  </w:pPr>
                  <w:r>
                    <w:rPr>
                      <w:rFonts w:hint="eastAsia"/>
                      <w:szCs w:val="21"/>
                    </w:rPr>
                    <w:t>Q</w:t>
                  </w:r>
                  <w:r>
                    <w:rPr>
                      <w:szCs w:val="21"/>
                    </w:rPr>
                    <w:t>（m</w:t>
                  </w:r>
                  <w:r>
                    <w:rPr>
                      <w:rFonts w:hint="eastAsia"/>
                      <w:szCs w:val="21"/>
                      <w:vertAlign w:val="superscript"/>
                    </w:rPr>
                    <w:t>3</w:t>
                  </w:r>
                  <w:r>
                    <w:rPr>
                      <w:szCs w:val="21"/>
                    </w:rPr>
                    <w:t>/</w:t>
                  </w:r>
                  <w:r>
                    <w:rPr>
                      <w:rFonts w:hint="eastAsia"/>
                      <w:szCs w:val="21"/>
                    </w:rPr>
                    <w:t>s</w:t>
                  </w:r>
                  <w:r>
                    <w:rPr>
                      <w:szCs w:val="21"/>
                    </w:rPr>
                    <w:t>）</w:t>
                  </w:r>
                </w:p>
              </w:tc>
              <w:tc>
                <w:tcPr>
                  <w:tcW w:w="530" w:type="pct"/>
                  <w:vAlign w:val="center"/>
                </w:tcPr>
                <w:p>
                  <w:pPr>
                    <w:adjustRightInd w:val="0"/>
                    <w:snapToGrid w:val="0"/>
                    <w:jc w:val="center"/>
                    <w:rPr>
                      <w:szCs w:val="21"/>
                    </w:rPr>
                  </w:pPr>
                  <w:r>
                    <w:rPr>
                      <w:rFonts w:hint="eastAsia"/>
                      <w:szCs w:val="21"/>
                    </w:rPr>
                    <w:t>纳污能力（t/a）</w:t>
                  </w:r>
                </w:p>
              </w:tc>
              <w:tc>
                <w:tcPr>
                  <w:tcW w:w="530" w:type="pct"/>
                  <w:vAlign w:val="center"/>
                </w:tcPr>
                <w:p>
                  <w:pPr>
                    <w:adjustRightInd w:val="0"/>
                    <w:snapToGrid w:val="0"/>
                    <w:jc w:val="center"/>
                    <w:rPr>
                      <w:szCs w:val="21"/>
                    </w:rPr>
                  </w:pPr>
                  <w:r>
                    <w:rPr>
                      <w:rFonts w:hint="eastAsia"/>
                      <w:szCs w:val="21"/>
                    </w:rPr>
                    <w:t>本项目排放量（t/a）</w:t>
                  </w:r>
                </w:p>
              </w:tc>
              <w:tc>
                <w:tcPr>
                  <w:tcW w:w="530" w:type="pct"/>
                  <w:vAlign w:val="center"/>
                </w:tcPr>
                <w:p>
                  <w:pPr>
                    <w:adjustRightInd w:val="0"/>
                    <w:snapToGrid w:val="0"/>
                    <w:jc w:val="center"/>
                    <w:rPr>
                      <w:szCs w:val="21"/>
                    </w:rPr>
                  </w:pPr>
                  <w:r>
                    <w:rPr>
                      <w:rFonts w:hint="eastAsia"/>
                      <w:szCs w:val="21"/>
                    </w:rPr>
                    <w:t>剩余纳污容量（t/a）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267" w:type="pct"/>
                  <w:vMerge w:val="restart"/>
                  <w:shd w:val="clear" w:color="auto" w:fill="auto"/>
                  <w:vAlign w:val="center"/>
                </w:tcPr>
                <w:p>
                  <w:pPr>
                    <w:adjustRightInd w:val="0"/>
                    <w:snapToGrid w:val="0"/>
                    <w:jc w:val="center"/>
                    <w:rPr>
                      <w:szCs w:val="21"/>
                    </w:rPr>
                  </w:pPr>
                  <w:r>
                    <w:rPr>
                      <w:rFonts w:hint="eastAsia"/>
                      <w:szCs w:val="21"/>
                    </w:rPr>
                    <w:t>日东河</w:t>
                  </w:r>
                </w:p>
              </w:tc>
              <w:tc>
                <w:tcPr>
                  <w:tcW w:w="507" w:type="pct"/>
                  <w:shd w:val="clear" w:color="auto" w:fill="auto"/>
                  <w:vAlign w:val="center"/>
                </w:tcPr>
                <w:p>
                  <w:pPr>
                    <w:adjustRightInd w:val="0"/>
                    <w:snapToGrid w:val="0"/>
                    <w:jc w:val="center"/>
                    <w:rPr>
                      <w:szCs w:val="21"/>
                    </w:rPr>
                  </w:pPr>
                  <w:r>
                    <w:rPr>
                      <w:rFonts w:hint="eastAsia"/>
                      <w:szCs w:val="21"/>
                    </w:rPr>
                    <w:t>COD</w:t>
                  </w:r>
                </w:p>
              </w:tc>
              <w:tc>
                <w:tcPr>
                  <w:tcW w:w="684" w:type="pct"/>
                  <w:shd w:val="clear" w:color="auto" w:fill="auto"/>
                  <w:vAlign w:val="center"/>
                </w:tcPr>
                <w:p>
                  <w:pPr>
                    <w:adjustRightInd w:val="0"/>
                    <w:snapToGrid w:val="0"/>
                    <w:jc w:val="center"/>
                    <w:rPr>
                      <w:szCs w:val="21"/>
                    </w:rPr>
                  </w:pPr>
                  <w:r>
                    <w:rPr>
                      <w:rFonts w:hint="eastAsia"/>
                      <w:szCs w:val="21"/>
                    </w:rPr>
                    <w:t>20.0</w:t>
                  </w:r>
                </w:p>
              </w:tc>
              <w:tc>
                <w:tcPr>
                  <w:tcW w:w="684" w:type="pct"/>
                  <w:shd w:val="clear" w:color="auto" w:fill="auto"/>
                  <w:vAlign w:val="center"/>
                </w:tcPr>
                <w:p>
                  <w:pPr>
                    <w:adjustRightInd w:val="0"/>
                    <w:snapToGrid w:val="0"/>
                    <w:jc w:val="center"/>
                    <w:rPr>
                      <w:szCs w:val="21"/>
                    </w:rPr>
                  </w:pPr>
                  <w:r>
                    <w:rPr>
                      <w:szCs w:val="21"/>
                    </w:rPr>
                    <w:t>8.25</w:t>
                  </w:r>
                </w:p>
              </w:tc>
              <w:tc>
                <w:tcPr>
                  <w:tcW w:w="632" w:type="pct"/>
                  <w:vMerge w:val="restart"/>
                  <w:shd w:val="clear" w:color="auto" w:fill="auto"/>
                  <w:vAlign w:val="center"/>
                </w:tcPr>
                <w:p>
                  <w:pPr>
                    <w:adjustRightInd w:val="0"/>
                    <w:snapToGrid w:val="0"/>
                    <w:jc w:val="center"/>
                    <w:rPr>
                      <w:szCs w:val="21"/>
                    </w:rPr>
                  </w:pPr>
                  <w:r>
                    <w:rPr>
                      <w:rFonts w:hint="eastAsia"/>
                      <w:szCs w:val="21"/>
                    </w:rPr>
                    <w:t>0.000675</w:t>
                  </w:r>
                </w:p>
              </w:tc>
              <w:tc>
                <w:tcPr>
                  <w:tcW w:w="632" w:type="pct"/>
                  <w:vMerge w:val="restart"/>
                  <w:vAlign w:val="center"/>
                </w:tcPr>
                <w:p>
                  <w:pPr>
                    <w:adjustRightInd w:val="0"/>
                    <w:snapToGrid w:val="0"/>
                    <w:jc w:val="center"/>
                    <w:rPr>
                      <w:szCs w:val="21"/>
                    </w:rPr>
                  </w:pPr>
                  <w:r>
                    <w:rPr>
                      <w:rFonts w:hint="eastAsia"/>
                      <w:szCs w:val="21"/>
                    </w:rPr>
                    <w:t>1.45</w:t>
                  </w:r>
                </w:p>
              </w:tc>
              <w:tc>
                <w:tcPr>
                  <w:tcW w:w="530" w:type="pct"/>
                  <w:vAlign w:val="center"/>
                </w:tcPr>
                <w:p>
                  <w:pPr>
                    <w:adjustRightInd w:val="0"/>
                    <w:snapToGrid w:val="0"/>
                    <w:jc w:val="center"/>
                    <w:rPr>
                      <w:szCs w:val="21"/>
                    </w:rPr>
                  </w:pPr>
                  <w:r>
                    <w:rPr>
                      <w:rFonts w:hint="eastAsia"/>
                      <w:szCs w:val="21"/>
                    </w:rPr>
                    <w:t>17.045</w:t>
                  </w:r>
                </w:p>
              </w:tc>
              <w:tc>
                <w:tcPr>
                  <w:tcW w:w="530" w:type="pct"/>
                  <w:vAlign w:val="center"/>
                </w:tcPr>
                <w:p>
                  <w:pPr>
                    <w:adjustRightInd w:val="0"/>
                    <w:snapToGrid w:val="0"/>
                    <w:jc w:val="center"/>
                    <w:rPr>
                      <w:szCs w:val="21"/>
                    </w:rPr>
                  </w:pPr>
                  <w:r>
                    <w:rPr>
                      <w:rFonts w:hint="eastAsia"/>
                      <w:szCs w:val="21"/>
                    </w:rPr>
                    <w:t>0.058</w:t>
                  </w:r>
                </w:p>
              </w:tc>
              <w:tc>
                <w:tcPr>
                  <w:tcW w:w="530" w:type="pct"/>
                  <w:vAlign w:val="center"/>
                </w:tcPr>
                <w:p>
                  <w:pPr>
                    <w:adjustRightInd w:val="0"/>
                    <w:snapToGrid w:val="0"/>
                    <w:jc w:val="center"/>
                    <w:rPr>
                      <w:szCs w:val="21"/>
                    </w:rPr>
                  </w:pPr>
                  <w:r>
                    <w:rPr>
                      <w:rFonts w:hint="eastAsia"/>
                      <w:szCs w:val="21"/>
                    </w:rPr>
                    <w:t>16.987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267" w:type="pct"/>
                  <w:vMerge w:val="continue"/>
                  <w:shd w:val="clear" w:color="auto" w:fill="auto"/>
                  <w:vAlign w:val="center"/>
                </w:tcPr>
                <w:p>
                  <w:pPr>
                    <w:adjustRightInd w:val="0"/>
                    <w:snapToGrid w:val="0"/>
                    <w:jc w:val="center"/>
                    <w:rPr>
                      <w:szCs w:val="21"/>
                    </w:rPr>
                  </w:pPr>
                </w:p>
              </w:tc>
              <w:tc>
                <w:tcPr>
                  <w:tcW w:w="507" w:type="pct"/>
                  <w:shd w:val="clear" w:color="auto" w:fill="auto"/>
                  <w:vAlign w:val="center"/>
                </w:tcPr>
                <w:p>
                  <w:pPr>
                    <w:adjustRightInd w:val="0"/>
                    <w:snapToGrid w:val="0"/>
                    <w:jc w:val="center"/>
                    <w:rPr>
                      <w:szCs w:val="21"/>
                    </w:rPr>
                  </w:pPr>
                  <w:r>
                    <w:rPr>
                      <w:rFonts w:hint="eastAsia"/>
                      <w:szCs w:val="21"/>
                    </w:rPr>
                    <w:t>总氮</w:t>
                  </w:r>
                </w:p>
              </w:tc>
              <w:tc>
                <w:tcPr>
                  <w:tcW w:w="684" w:type="pct"/>
                  <w:shd w:val="clear" w:color="auto" w:fill="auto"/>
                  <w:vAlign w:val="center"/>
                </w:tcPr>
                <w:p>
                  <w:pPr>
                    <w:adjustRightInd w:val="0"/>
                    <w:snapToGrid w:val="0"/>
                    <w:jc w:val="center"/>
                    <w:rPr>
                      <w:szCs w:val="21"/>
                    </w:rPr>
                  </w:pPr>
                  <w:r>
                    <w:rPr>
                      <w:rFonts w:hint="eastAsia"/>
                      <w:szCs w:val="21"/>
                    </w:rPr>
                    <w:t>1.0</w:t>
                  </w:r>
                </w:p>
              </w:tc>
              <w:tc>
                <w:tcPr>
                  <w:tcW w:w="684" w:type="pct"/>
                  <w:shd w:val="clear" w:color="auto" w:fill="auto"/>
                  <w:vAlign w:val="center"/>
                </w:tcPr>
                <w:p>
                  <w:pPr>
                    <w:adjustRightInd w:val="0"/>
                    <w:snapToGrid w:val="0"/>
                    <w:jc w:val="center"/>
                    <w:rPr>
                      <w:szCs w:val="21"/>
                    </w:rPr>
                  </w:pPr>
                  <w:r>
                    <w:rPr>
                      <w:szCs w:val="21"/>
                    </w:rPr>
                    <w:t>1.84</w:t>
                  </w:r>
                </w:p>
              </w:tc>
              <w:tc>
                <w:tcPr>
                  <w:tcW w:w="632" w:type="pct"/>
                  <w:vMerge w:val="continue"/>
                  <w:shd w:val="clear" w:color="auto" w:fill="auto"/>
                  <w:vAlign w:val="center"/>
                </w:tcPr>
                <w:p>
                  <w:pPr>
                    <w:adjustRightInd w:val="0"/>
                    <w:snapToGrid w:val="0"/>
                    <w:jc w:val="center"/>
                    <w:rPr>
                      <w:szCs w:val="21"/>
                    </w:rPr>
                  </w:pPr>
                </w:p>
              </w:tc>
              <w:tc>
                <w:tcPr>
                  <w:tcW w:w="632" w:type="pct"/>
                  <w:vMerge w:val="continue"/>
                  <w:vAlign w:val="center"/>
                </w:tcPr>
                <w:p>
                  <w:pPr>
                    <w:adjustRightInd w:val="0"/>
                    <w:snapToGrid w:val="0"/>
                    <w:jc w:val="center"/>
                    <w:rPr>
                      <w:szCs w:val="21"/>
                    </w:rPr>
                  </w:pPr>
                </w:p>
              </w:tc>
              <w:tc>
                <w:tcPr>
                  <w:tcW w:w="530" w:type="pct"/>
                  <w:vAlign w:val="center"/>
                </w:tcPr>
                <w:p>
                  <w:pPr>
                    <w:adjustRightInd w:val="0"/>
                    <w:snapToGrid w:val="0"/>
                    <w:jc w:val="center"/>
                    <w:rPr>
                      <w:szCs w:val="21"/>
                    </w:rPr>
                  </w:pPr>
                  <w:r>
                    <w:rPr>
                      <w:rFonts w:hint="eastAsia"/>
                      <w:szCs w:val="21"/>
                    </w:rPr>
                    <w:t>1.22</w:t>
                  </w:r>
                </w:p>
              </w:tc>
              <w:tc>
                <w:tcPr>
                  <w:tcW w:w="530" w:type="pct"/>
                  <w:vAlign w:val="center"/>
                </w:tcPr>
                <w:p>
                  <w:pPr>
                    <w:adjustRightInd w:val="0"/>
                    <w:snapToGrid w:val="0"/>
                    <w:jc w:val="center"/>
                    <w:rPr>
                      <w:szCs w:val="21"/>
                    </w:rPr>
                  </w:pPr>
                  <w:r>
                    <w:rPr>
                      <w:rFonts w:hint="eastAsia"/>
                      <w:szCs w:val="21"/>
                    </w:rPr>
                    <w:t>0.013</w:t>
                  </w:r>
                </w:p>
              </w:tc>
              <w:tc>
                <w:tcPr>
                  <w:tcW w:w="530" w:type="pct"/>
                  <w:vAlign w:val="center"/>
                </w:tcPr>
                <w:p>
                  <w:pPr>
                    <w:adjustRightInd w:val="0"/>
                    <w:snapToGrid w:val="0"/>
                    <w:jc w:val="center"/>
                    <w:rPr>
                      <w:szCs w:val="21"/>
                    </w:rPr>
                  </w:pPr>
                  <w:r>
                    <w:rPr>
                      <w:rFonts w:hint="eastAsia"/>
                      <w:szCs w:val="21"/>
                    </w:rPr>
                    <w:t>1.207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267" w:type="pct"/>
                  <w:vMerge w:val="continue"/>
                  <w:shd w:val="clear" w:color="auto" w:fill="auto"/>
                  <w:vAlign w:val="center"/>
                </w:tcPr>
                <w:p>
                  <w:pPr>
                    <w:adjustRightInd w:val="0"/>
                    <w:snapToGrid w:val="0"/>
                    <w:jc w:val="center"/>
                    <w:rPr>
                      <w:szCs w:val="21"/>
                    </w:rPr>
                  </w:pPr>
                </w:p>
              </w:tc>
              <w:tc>
                <w:tcPr>
                  <w:tcW w:w="507" w:type="pct"/>
                  <w:shd w:val="clear" w:color="auto" w:fill="auto"/>
                  <w:vAlign w:val="center"/>
                </w:tcPr>
                <w:p>
                  <w:pPr>
                    <w:adjustRightInd w:val="0"/>
                    <w:snapToGrid w:val="0"/>
                    <w:jc w:val="center"/>
                    <w:rPr>
                      <w:szCs w:val="21"/>
                    </w:rPr>
                  </w:pPr>
                  <w:r>
                    <w:rPr>
                      <w:rFonts w:hint="eastAsia"/>
                      <w:szCs w:val="21"/>
                    </w:rPr>
                    <w:t>总磷</w:t>
                  </w:r>
                </w:p>
              </w:tc>
              <w:tc>
                <w:tcPr>
                  <w:tcW w:w="684" w:type="pct"/>
                  <w:shd w:val="clear" w:color="auto" w:fill="auto"/>
                  <w:vAlign w:val="center"/>
                </w:tcPr>
                <w:p>
                  <w:pPr>
                    <w:adjustRightInd w:val="0"/>
                    <w:snapToGrid w:val="0"/>
                    <w:jc w:val="center"/>
                    <w:rPr>
                      <w:szCs w:val="21"/>
                    </w:rPr>
                  </w:pPr>
                  <w:r>
                    <w:rPr>
                      <w:rFonts w:hint="eastAsia"/>
                      <w:szCs w:val="21"/>
                    </w:rPr>
                    <w:t>0.2</w:t>
                  </w:r>
                </w:p>
              </w:tc>
              <w:tc>
                <w:tcPr>
                  <w:tcW w:w="684" w:type="pct"/>
                  <w:shd w:val="clear" w:color="auto" w:fill="auto"/>
                  <w:vAlign w:val="center"/>
                </w:tcPr>
                <w:p>
                  <w:pPr>
                    <w:adjustRightInd w:val="0"/>
                    <w:snapToGrid w:val="0"/>
                    <w:jc w:val="center"/>
                    <w:rPr>
                      <w:szCs w:val="21"/>
                    </w:rPr>
                  </w:pPr>
                  <w:r>
                    <w:rPr>
                      <w:szCs w:val="21"/>
                    </w:rPr>
                    <w:t>0.609</w:t>
                  </w:r>
                </w:p>
              </w:tc>
              <w:tc>
                <w:tcPr>
                  <w:tcW w:w="632" w:type="pct"/>
                  <w:vMerge w:val="continue"/>
                  <w:shd w:val="clear" w:color="auto" w:fill="auto"/>
                  <w:vAlign w:val="center"/>
                </w:tcPr>
                <w:p>
                  <w:pPr>
                    <w:adjustRightInd w:val="0"/>
                    <w:snapToGrid w:val="0"/>
                    <w:jc w:val="center"/>
                    <w:rPr>
                      <w:szCs w:val="21"/>
                    </w:rPr>
                  </w:pPr>
                </w:p>
              </w:tc>
              <w:tc>
                <w:tcPr>
                  <w:tcW w:w="632" w:type="pct"/>
                  <w:vMerge w:val="continue"/>
                  <w:vAlign w:val="center"/>
                </w:tcPr>
                <w:p>
                  <w:pPr>
                    <w:adjustRightInd w:val="0"/>
                    <w:snapToGrid w:val="0"/>
                    <w:jc w:val="center"/>
                    <w:rPr>
                      <w:szCs w:val="21"/>
                    </w:rPr>
                  </w:pPr>
                </w:p>
              </w:tc>
              <w:tc>
                <w:tcPr>
                  <w:tcW w:w="530" w:type="pct"/>
                  <w:vAlign w:val="center"/>
                </w:tcPr>
                <w:p>
                  <w:pPr>
                    <w:adjustRightInd w:val="0"/>
                    <w:snapToGrid w:val="0"/>
                    <w:jc w:val="center"/>
                    <w:rPr>
                      <w:szCs w:val="21"/>
                    </w:rPr>
                  </w:pPr>
                  <w:r>
                    <w:rPr>
                      <w:rFonts w:hint="eastAsia"/>
                      <w:szCs w:val="21"/>
                    </w:rPr>
                    <w:t>0.59</w:t>
                  </w:r>
                </w:p>
              </w:tc>
              <w:tc>
                <w:tcPr>
                  <w:tcW w:w="530" w:type="pct"/>
                  <w:vAlign w:val="center"/>
                </w:tcPr>
                <w:p>
                  <w:pPr>
                    <w:adjustRightInd w:val="0"/>
                    <w:snapToGrid w:val="0"/>
                    <w:jc w:val="center"/>
                    <w:rPr>
                      <w:szCs w:val="21"/>
                    </w:rPr>
                  </w:pPr>
                  <w:r>
                    <w:rPr>
                      <w:rFonts w:hint="eastAsia"/>
                      <w:szCs w:val="21"/>
                    </w:rPr>
                    <w:t>0.0043</w:t>
                  </w:r>
                </w:p>
              </w:tc>
              <w:tc>
                <w:tcPr>
                  <w:tcW w:w="530" w:type="pct"/>
                  <w:vAlign w:val="center"/>
                </w:tcPr>
                <w:p>
                  <w:pPr>
                    <w:adjustRightInd w:val="0"/>
                    <w:snapToGrid w:val="0"/>
                    <w:jc w:val="center"/>
                    <w:rPr>
                      <w:szCs w:val="21"/>
                    </w:rPr>
                  </w:pPr>
                  <w:r>
                    <w:rPr>
                      <w:rFonts w:hint="eastAsia"/>
                      <w:szCs w:val="21"/>
                    </w:rPr>
                    <w:t>0.5857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2" w:hRule="atLeast"/>
                <w:jc w:val="center"/>
              </w:trPr>
              <w:tc>
                <w:tcPr>
                  <w:tcW w:w="267" w:type="pct"/>
                  <w:vMerge w:val="continue"/>
                  <w:shd w:val="clear" w:color="auto" w:fill="auto"/>
                  <w:vAlign w:val="center"/>
                </w:tcPr>
                <w:p>
                  <w:pPr>
                    <w:adjustRightInd w:val="0"/>
                    <w:snapToGrid w:val="0"/>
                    <w:jc w:val="center"/>
                    <w:rPr>
                      <w:szCs w:val="21"/>
                    </w:rPr>
                  </w:pPr>
                </w:p>
              </w:tc>
              <w:tc>
                <w:tcPr>
                  <w:tcW w:w="507" w:type="pct"/>
                  <w:shd w:val="clear" w:color="auto" w:fill="auto"/>
                  <w:vAlign w:val="center"/>
                </w:tcPr>
                <w:p>
                  <w:pPr>
                    <w:adjustRightInd w:val="0"/>
                    <w:snapToGrid w:val="0"/>
                    <w:jc w:val="center"/>
                    <w:rPr>
                      <w:szCs w:val="21"/>
                    </w:rPr>
                  </w:pPr>
                  <w:r>
                    <w:rPr>
                      <w:rFonts w:hint="eastAsia"/>
                      <w:color w:val="000000"/>
                      <w:szCs w:val="21"/>
                    </w:rPr>
                    <w:t>BOD</w:t>
                  </w:r>
                  <w:r>
                    <w:rPr>
                      <w:rFonts w:hint="eastAsia"/>
                      <w:color w:val="000000"/>
                      <w:szCs w:val="21"/>
                      <w:vertAlign w:val="subscript"/>
                    </w:rPr>
                    <w:t>5</w:t>
                  </w:r>
                </w:p>
              </w:tc>
              <w:tc>
                <w:tcPr>
                  <w:tcW w:w="684" w:type="pct"/>
                  <w:shd w:val="clear" w:color="auto" w:fill="auto"/>
                  <w:vAlign w:val="center"/>
                </w:tcPr>
                <w:p>
                  <w:pPr>
                    <w:adjustRightInd w:val="0"/>
                    <w:snapToGrid w:val="0"/>
                    <w:jc w:val="center"/>
                    <w:rPr>
                      <w:szCs w:val="21"/>
                    </w:rPr>
                  </w:pPr>
                  <w:r>
                    <w:rPr>
                      <w:rFonts w:hint="eastAsia"/>
                      <w:szCs w:val="21"/>
                    </w:rPr>
                    <w:t>4</w:t>
                  </w:r>
                </w:p>
              </w:tc>
              <w:tc>
                <w:tcPr>
                  <w:tcW w:w="684" w:type="pct"/>
                  <w:shd w:val="clear" w:color="auto" w:fill="auto"/>
                  <w:vAlign w:val="center"/>
                </w:tcPr>
                <w:p>
                  <w:pPr>
                    <w:adjustRightInd w:val="0"/>
                    <w:snapToGrid w:val="0"/>
                    <w:jc w:val="center"/>
                    <w:rPr>
                      <w:color w:val="FF0000"/>
                      <w:szCs w:val="21"/>
                    </w:rPr>
                  </w:pPr>
                  <w:r>
                    <w:rPr>
                      <w:szCs w:val="21"/>
                    </w:rPr>
                    <w:t>2.448</w:t>
                  </w:r>
                </w:p>
              </w:tc>
              <w:tc>
                <w:tcPr>
                  <w:tcW w:w="632" w:type="pct"/>
                  <w:vMerge w:val="continue"/>
                  <w:shd w:val="clear" w:color="auto" w:fill="auto"/>
                  <w:vAlign w:val="center"/>
                </w:tcPr>
                <w:p>
                  <w:pPr>
                    <w:adjustRightInd w:val="0"/>
                    <w:snapToGrid w:val="0"/>
                    <w:jc w:val="center"/>
                    <w:rPr>
                      <w:szCs w:val="21"/>
                    </w:rPr>
                  </w:pPr>
                </w:p>
              </w:tc>
              <w:tc>
                <w:tcPr>
                  <w:tcW w:w="632" w:type="pct"/>
                  <w:vMerge w:val="continue"/>
                  <w:vAlign w:val="center"/>
                </w:tcPr>
                <w:p>
                  <w:pPr>
                    <w:adjustRightInd w:val="0"/>
                    <w:snapToGrid w:val="0"/>
                    <w:jc w:val="center"/>
                    <w:rPr>
                      <w:szCs w:val="21"/>
                    </w:rPr>
                  </w:pPr>
                </w:p>
              </w:tc>
              <w:tc>
                <w:tcPr>
                  <w:tcW w:w="530" w:type="pct"/>
                  <w:vAlign w:val="center"/>
                </w:tcPr>
                <w:p>
                  <w:pPr>
                    <w:adjustRightInd w:val="0"/>
                    <w:snapToGrid w:val="0"/>
                    <w:jc w:val="center"/>
                    <w:rPr>
                      <w:szCs w:val="21"/>
                    </w:rPr>
                  </w:pPr>
                  <w:r>
                    <w:rPr>
                      <w:rFonts w:hint="eastAsia"/>
                      <w:szCs w:val="21"/>
                    </w:rPr>
                    <w:t>2.25</w:t>
                  </w:r>
                </w:p>
              </w:tc>
              <w:tc>
                <w:tcPr>
                  <w:tcW w:w="530" w:type="pct"/>
                  <w:vAlign w:val="center"/>
                </w:tcPr>
                <w:p>
                  <w:pPr>
                    <w:adjustRightInd w:val="0"/>
                    <w:snapToGrid w:val="0"/>
                    <w:jc w:val="center"/>
                    <w:rPr>
                      <w:szCs w:val="21"/>
                    </w:rPr>
                  </w:pPr>
                  <w:r>
                    <w:rPr>
                      <w:rFonts w:hint="eastAsia"/>
                      <w:szCs w:val="21"/>
                    </w:rPr>
                    <w:t>0.017</w:t>
                  </w:r>
                </w:p>
              </w:tc>
              <w:tc>
                <w:tcPr>
                  <w:tcW w:w="530" w:type="pct"/>
                  <w:vAlign w:val="center"/>
                </w:tcPr>
                <w:p>
                  <w:pPr>
                    <w:adjustRightInd w:val="0"/>
                    <w:snapToGrid w:val="0"/>
                    <w:jc w:val="center"/>
                    <w:rPr>
                      <w:szCs w:val="21"/>
                    </w:rPr>
                  </w:pPr>
                  <w:r>
                    <w:rPr>
                      <w:rFonts w:hint="eastAsia"/>
                      <w:szCs w:val="21"/>
                    </w:rPr>
                    <w:t>2.233</w:t>
                  </w:r>
                </w:p>
              </w:tc>
            </w:tr>
          </w:tbl>
          <w:p>
            <w:pPr>
              <w:adjustRightInd w:val="0"/>
              <w:snapToGrid w:val="0"/>
              <w:spacing w:line="360" w:lineRule="auto"/>
              <w:ind w:firstLine="480" w:firstLineChars="200"/>
              <w:rPr>
                <w:sz w:val="24"/>
              </w:rPr>
            </w:pPr>
            <w:r>
              <w:rPr>
                <w:rFonts w:hint="eastAsia"/>
                <w:sz w:val="24"/>
              </w:rPr>
              <w:t>综上所述，本项目排放的污染物较少，均满足日东河水域纳污能力，因此本项目的排污口建设对日东河影响较小</w:t>
            </w:r>
            <w:r>
              <w:rPr>
                <w:sz w:val="24"/>
              </w:rPr>
              <w:t>。</w:t>
            </w:r>
          </w:p>
          <w:p>
            <w:pPr>
              <w:adjustRightInd w:val="0"/>
              <w:snapToGrid w:val="0"/>
              <w:spacing w:line="360" w:lineRule="auto"/>
              <w:ind w:firstLine="482" w:firstLineChars="200"/>
              <w:rPr>
                <w:b/>
                <w:bCs/>
                <w:color w:val="000000"/>
                <w:sz w:val="24"/>
              </w:rPr>
            </w:pPr>
            <w:r>
              <w:rPr>
                <w:rFonts w:hint="eastAsia"/>
                <w:b/>
                <w:bCs/>
                <w:color w:val="000000"/>
                <w:sz w:val="24"/>
              </w:rPr>
              <w:t>7.1</w:t>
            </w:r>
            <w:r>
              <w:rPr>
                <w:b/>
                <w:bCs/>
                <w:color w:val="000000"/>
                <w:sz w:val="24"/>
              </w:rPr>
              <w:t>水质影响预测分析</w:t>
            </w:r>
          </w:p>
          <w:p>
            <w:pPr>
              <w:adjustRightInd w:val="0"/>
              <w:snapToGrid w:val="0"/>
              <w:spacing w:line="360" w:lineRule="auto"/>
              <w:ind w:firstLine="480" w:firstLineChars="200"/>
              <w:rPr>
                <w:sz w:val="24"/>
              </w:rPr>
            </w:pPr>
            <w:r>
              <w:rPr>
                <w:sz w:val="24"/>
              </w:rPr>
              <w:t>水环境影响预测情况</w:t>
            </w:r>
          </w:p>
          <w:p>
            <w:pPr>
              <w:adjustRightInd w:val="0"/>
              <w:snapToGrid w:val="0"/>
              <w:spacing w:line="360" w:lineRule="auto"/>
              <w:ind w:firstLine="480" w:firstLineChars="200"/>
              <w:rPr>
                <w:sz w:val="24"/>
              </w:rPr>
            </w:pPr>
            <w:r>
              <w:rPr>
                <w:sz w:val="24"/>
              </w:rPr>
              <w:t>预测因子：</w:t>
            </w:r>
            <w:r>
              <w:rPr>
                <w:rFonts w:hint="eastAsia"/>
                <w:color w:val="000000"/>
                <w:sz w:val="24"/>
                <w:szCs w:val="22"/>
              </w:rPr>
              <w:t>COD、总氮、总磷、BOD</w:t>
            </w:r>
            <w:r>
              <w:rPr>
                <w:rFonts w:hint="eastAsia"/>
                <w:color w:val="000000"/>
                <w:sz w:val="24"/>
                <w:szCs w:val="22"/>
                <w:vertAlign w:val="subscript"/>
              </w:rPr>
              <w:t>5</w:t>
            </w:r>
            <w:r>
              <w:rPr>
                <w:sz w:val="24"/>
              </w:rPr>
              <w:t>。</w:t>
            </w:r>
          </w:p>
          <w:p>
            <w:pPr>
              <w:adjustRightInd w:val="0"/>
              <w:snapToGrid w:val="0"/>
              <w:spacing w:line="360" w:lineRule="auto"/>
              <w:ind w:firstLine="480" w:firstLineChars="200"/>
              <w:rPr>
                <w:sz w:val="24"/>
              </w:rPr>
            </w:pPr>
            <w:r>
              <w:rPr>
                <w:sz w:val="24"/>
              </w:rPr>
              <w:t>预测时间：地面水环境影响按正常排放和不正常排放两种情况进行预测。</w:t>
            </w:r>
          </w:p>
          <w:p>
            <w:pPr>
              <w:adjustRightInd w:val="0"/>
              <w:snapToGrid w:val="0"/>
              <w:spacing w:line="360" w:lineRule="auto"/>
              <w:ind w:firstLine="480" w:firstLineChars="200"/>
              <w:rPr>
                <w:sz w:val="24"/>
                <w:highlight w:val="yellow"/>
              </w:rPr>
            </w:pPr>
            <w:r>
              <w:rPr>
                <w:sz w:val="24"/>
              </w:rPr>
              <w:t>预测范围：</w:t>
            </w:r>
            <w:r>
              <w:rPr>
                <w:rFonts w:hint="eastAsia"/>
                <w:sz w:val="24"/>
              </w:rPr>
              <w:t>湖南省丰惠生态养殖有限公司稻蛙共作生态养殖项目</w:t>
            </w:r>
            <w:r>
              <w:rPr>
                <w:sz w:val="24"/>
              </w:rPr>
              <w:t>入河排污口下游</w:t>
            </w:r>
            <w:r>
              <w:rPr>
                <w:rFonts w:hint="eastAsia"/>
                <w:sz w:val="24"/>
              </w:rPr>
              <w:t>1.2</w:t>
            </w:r>
            <w:r>
              <w:rPr>
                <w:sz w:val="24"/>
              </w:rPr>
              <w:t>km水域。</w:t>
            </w:r>
          </w:p>
          <w:p>
            <w:pPr>
              <w:adjustRightInd w:val="0"/>
              <w:snapToGrid w:val="0"/>
              <w:spacing w:line="360" w:lineRule="auto"/>
              <w:ind w:firstLine="480" w:firstLineChars="200"/>
              <w:rPr>
                <w:sz w:val="24"/>
              </w:rPr>
            </w:pPr>
            <w:r>
              <w:rPr>
                <w:sz w:val="24"/>
              </w:rPr>
              <w:t>预测参数的确定：通过监测，确定该说功能区现状水质为Ⅲ类水质，符合水功能区水质目标要求。依据《水域纳污能力计算规程》，采用一维模型对论证范围所涉及河段计算纳污能力，选取</w:t>
            </w:r>
            <w:r>
              <w:rPr>
                <w:rFonts w:hint="eastAsia"/>
                <w:color w:val="000000"/>
                <w:sz w:val="24"/>
                <w:szCs w:val="22"/>
              </w:rPr>
              <w:t>COD、总氮、总磷、BOD</w:t>
            </w:r>
            <w:r>
              <w:rPr>
                <w:rFonts w:hint="eastAsia"/>
                <w:color w:val="000000"/>
                <w:sz w:val="24"/>
                <w:szCs w:val="22"/>
                <w:vertAlign w:val="subscript"/>
              </w:rPr>
              <w:t>5</w:t>
            </w:r>
            <w:r>
              <w:rPr>
                <w:sz w:val="24"/>
              </w:rPr>
              <w:t>作为水功能区纳能力计算的控制因子，河流流量采用枯水季的平均流量</w:t>
            </w:r>
            <w:r>
              <w:rPr>
                <w:rFonts w:hint="eastAsia"/>
                <w:sz w:val="24"/>
              </w:rPr>
              <w:t>1.45</w:t>
            </w:r>
            <w:r>
              <w:rPr>
                <w:sz w:val="24"/>
              </w:rPr>
              <w:t>m</w:t>
            </w:r>
            <w:r>
              <w:rPr>
                <w:sz w:val="24"/>
                <w:vertAlign w:val="superscript"/>
              </w:rPr>
              <w:t>3</w:t>
            </w:r>
            <w:r>
              <w:rPr>
                <w:sz w:val="24"/>
              </w:rPr>
              <w:t>/s、流速</w:t>
            </w:r>
            <w:r>
              <w:rPr>
                <w:rFonts w:hint="eastAsia"/>
                <w:sz w:val="24"/>
              </w:rPr>
              <w:t>0.03</w:t>
            </w:r>
            <w:r>
              <w:rPr>
                <w:sz w:val="24"/>
              </w:rPr>
              <w:t>m/s，河流宽度以及深度经</w:t>
            </w:r>
            <w:r>
              <w:rPr>
                <w:rFonts w:hint="eastAsia"/>
                <w:sz w:val="24"/>
              </w:rPr>
              <w:t>查阅相关资料</w:t>
            </w:r>
            <w:r>
              <w:rPr>
                <w:sz w:val="24"/>
              </w:rPr>
              <w:t>可知，该河段河流的宽度为</w:t>
            </w:r>
            <w:r>
              <w:rPr>
                <w:rFonts w:hint="eastAsia"/>
                <w:sz w:val="24"/>
              </w:rPr>
              <w:t>22.3</w:t>
            </w:r>
            <w:r>
              <w:rPr>
                <w:sz w:val="24"/>
              </w:rPr>
              <w:t>m，深度为</w:t>
            </w:r>
            <w:r>
              <w:rPr>
                <w:rFonts w:hint="eastAsia"/>
                <w:sz w:val="24"/>
              </w:rPr>
              <w:t>2.0</w:t>
            </w:r>
            <w:r>
              <w:rPr>
                <w:sz w:val="24"/>
              </w:rPr>
              <w:t>m；本项目废水正常排放的浓度值为《水产养殖尾水污染物排放标准》（DB43/1752-2020）表1中的一级标准、《淡水池塘养殖水排放要求》（SC/T9101-2007）表1中的二级标准</w:t>
            </w:r>
            <w:r>
              <w:rPr>
                <w:rFonts w:hint="eastAsia"/>
                <w:sz w:val="24"/>
              </w:rPr>
              <w:t>中</w:t>
            </w:r>
            <w:r>
              <w:rPr>
                <w:rFonts w:hint="eastAsia"/>
                <w:color w:val="000000"/>
                <w:sz w:val="24"/>
                <w:szCs w:val="22"/>
              </w:rPr>
              <w:t>COD、总氮、总磷、BOD</w:t>
            </w:r>
            <w:r>
              <w:rPr>
                <w:rFonts w:hint="eastAsia"/>
                <w:color w:val="000000"/>
                <w:sz w:val="24"/>
                <w:szCs w:val="22"/>
                <w:vertAlign w:val="subscript"/>
              </w:rPr>
              <w:t>5</w:t>
            </w:r>
            <w:r>
              <w:rPr>
                <w:sz w:val="24"/>
              </w:rPr>
              <w:t>所对应的数值，非正常排放的浓度值为</w:t>
            </w:r>
            <w:r>
              <w:rPr>
                <w:rFonts w:hint="eastAsia"/>
                <w:sz w:val="24"/>
              </w:rPr>
              <w:t>废水的产生浓度</w:t>
            </w:r>
            <w:r>
              <w:rPr>
                <w:sz w:val="24"/>
              </w:rPr>
              <w:t>。</w:t>
            </w:r>
          </w:p>
          <w:p>
            <w:pPr>
              <w:adjustRightInd w:val="0"/>
              <w:snapToGrid w:val="0"/>
              <w:spacing w:line="360" w:lineRule="auto"/>
              <w:ind w:firstLine="480" w:firstLineChars="200"/>
              <w:rPr>
                <w:sz w:val="24"/>
              </w:rPr>
            </w:pPr>
            <w:r>
              <w:rPr>
                <w:sz w:val="24"/>
              </w:rPr>
              <w:t>本次对项目正常和事故两种情况下排放的</w:t>
            </w:r>
            <w:r>
              <w:rPr>
                <w:rFonts w:hint="eastAsia"/>
                <w:color w:val="000000"/>
                <w:sz w:val="24"/>
                <w:szCs w:val="22"/>
              </w:rPr>
              <w:t>COD、总氮、总磷、BOD</w:t>
            </w:r>
            <w:r>
              <w:rPr>
                <w:rFonts w:hint="eastAsia"/>
                <w:color w:val="000000"/>
                <w:sz w:val="24"/>
                <w:szCs w:val="22"/>
                <w:vertAlign w:val="subscript"/>
              </w:rPr>
              <w:t>5</w:t>
            </w:r>
            <w:r>
              <w:rPr>
                <w:sz w:val="24"/>
              </w:rPr>
              <w:t>对</w:t>
            </w:r>
            <w:r>
              <w:rPr>
                <w:rFonts w:hint="eastAsia"/>
                <w:sz w:val="24"/>
              </w:rPr>
              <w:t>日东</w:t>
            </w:r>
            <w:r>
              <w:rPr>
                <w:sz w:val="24"/>
              </w:rPr>
              <w:t>河水环境造成的影响进行预测，计算公式如下：</w:t>
            </w:r>
          </w:p>
          <w:p>
            <w:pPr>
              <w:adjustRightInd w:val="0"/>
              <w:snapToGrid w:val="0"/>
              <w:spacing w:line="360" w:lineRule="auto"/>
              <w:jc w:val="center"/>
              <w:rPr>
                <w:sz w:val="24"/>
              </w:rPr>
            </w:pPr>
            <w:r>
              <w:rPr>
                <w:sz w:val="24"/>
              </w:rPr>
              <w:drawing>
                <wp:inline distT="0" distB="0" distL="114300" distR="114300">
                  <wp:extent cx="4300855" cy="2588895"/>
                  <wp:effectExtent l="0" t="0" r="4445" b="1905"/>
                  <wp:docPr id="26" name="图片 26" descr="微信截图_20200615161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微信截图_20200615161345"/>
                          <pic:cNvPicPr>
                            <a:picLocks noChangeAspect="1"/>
                          </pic:cNvPicPr>
                        </pic:nvPicPr>
                        <pic:blipFill>
                          <a:blip r:embed="rId21"/>
                          <a:stretch>
                            <a:fillRect/>
                          </a:stretch>
                        </pic:blipFill>
                        <pic:spPr>
                          <a:xfrm>
                            <a:off x="0" y="0"/>
                            <a:ext cx="4300855" cy="2588895"/>
                          </a:xfrm>
                          <a:prstGeom prst="rect">
                            <a:avLst/>
                          </a:prstGeom>
                        </pic:spPr>
                      </pic:pic>
                    </a:graphicData>
                  </a:graphic>
                </wp:inline>
              </w:drawing>
            </w:r>
          </w:p>
          <w:p>
            <w:pPr>
              <w:adjustRightInd w:val="0"/>
              <w:snapToGrid w:val="0"/>
              <w:spacing w:line="360" w:lineRule="auto"/>
              <w:ind w:firstLine="480" w:firstLineChars="200"/>
              <w:rPr>
                <w:sz w:val="24"/>
              </w:rPr>
            </w:pPr>
            <w:r>
              <w:rPr>
                <w:sz w:val="24"/>
              </w:rPr>
              <w:t>根据河流纵向一维水质模型方程的简化、分类判别条件（即：O，Connor数α和贝克来数Pe的临界值），选择相应的解析解公式。</w:t>
            </w:r>
          </w:p>
          <w:p>
            <w:pPr>
              <w:adjustRightInd w:val="0"/>
              <w:snapToGrid w:val="0"/>
              <w:spacing w:line="360" w:lineRule="auto"/>
              <w:jc w:val="center"/>
              <w:rPr>
                <w:sz w:val="24"/>
              </w:rPr>
            </w:pPr>
            <w:r>
              <w:rPr>
                <w:sz w:val="24"/>
              </w:rPr>
              <w:drawing>
                <wp:inline distT="0" distB="0" distL="114300" distR="114300">
                  <wp:extent cx="1337945" cy="944880"/>
                  <wp:effectExtent l="0" t="0" r="14605" b="7620"/>
                  <wp:docPr id="12" name="图片 5" descr="03c495bebdc6f5f7ae3307bc68f6ee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5" descr="03c495bebdc6f5f7ae3307bc68f6ee8"/>
                          <pic:cNvPicPr>
                            <a:picLocks noChangeAspect="1"/>
                          </pic:cNvPicPr>
                        </pic:nvPicPr>
                        <pic:blipFill>
                          <a:blip r:embed="rId22"/>
                          <a:stretch>
                            <a:fillRect/>
                          </a:stretch>
                        </pic:blipFill>
                        <pic:spPr>
                          <a:xfrm>
                            <a:off x="0" y="0"/>
                            <a:ext cx="1337945" cy="944880"/>
                          </a:xfrm>
                          <a:prstGeom prst="rect">
                            <a:avLst/>
                          </a:prstGeom>
                          <a:noFill/>
                          <a:ln>
                            <a:noFill/>
                          </a:ln>
                        </pic:spPr>
                      </pic:pic>
                    </a:graphicData>
                  </a:graphic>
                </wp:inline>
              </w:drawing>
            </w:r>
          </w:p>
          <w:p>
            <w:pPr>
              <w:adjustRightInd w:val="0"/>
              <w:snapToGrid w:val="0"/>
              <w:spacing w:line="360" w:lineRule="auto"/>
              <w:ind w:firstLine="480" w:firstLineChars="200"/>
              <w:rPr>
                <w:sz w:val="24"/>
              </w:rPr>
            </w:pPr>
            <w:r>
              <w:rPr>
                <w:sz w:val="24"/>
              </w:rPr>
              <w:t>经过计算α＞0.027，Pe＜1，则当α＞0.027，Pe＜1时，适用对流扩散降解模型：</w:t>
            </w:r>
          </w:p>
          <w:p>
            <w:pPr>
              <w:adjustRightInd w:val="0"/>
              <w:snapToGrid w:val="0"/>
              <w:spacing w:line="360" w:lineRule="auto"/>
              <w:jc w:val="center"/>
              <w:rPr>
                <w:sz w:val="24"/>
              </w:rPr>
            </w:pPr>
            <w:r>
              <w:rPr>
                <w:sz w:val="28"/>
                <w:szCs w:val="28"/>
              </w:rPr>
              <w:drawing>
                <wp:inline distT="0" distB="0" distL="114300" distR="114300">
                  <wp:extent cx="3596640" cy="1382395"/>
                  <wp:effectExtent l="0" t="0" r="3810" b="8255"/>
                  <wp:docPr id="13"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6"/>
                          <pic:cNvPicPr>
                            <a:picLocks noChangeAspect="1"/>
                          </pic:cNvPicPr>
                        </pic:nvPicPr>
                        <pic:blipFill>
                          <a:blip r:embed="rId23"/>
                          <a:stretch>
                            <a:fillRect/>
                          </a:stretch>
                        </pic:blipFill>
                        <pic:spPr>
                          <a:xfrm>
                            <a:off x="0" y="0"/>
                            <a:ext cx="3596640" cy="1382395"/>
                          </a:xfrm>
                          <a:prstGeom prst="rect">
                            <a:avLst/>
                          </a:prstGeom>
                          <a:noFill/>
                          <a:ln>
                            <a:noFill/>
                          </a:ln>
                        </pic:spPr>
                      </pic:pic>
                    </a:graphicData>
                  </a:graphic>
                </wp:inline>
              </w:drawing>
            </w:r>
          </w:p>
          <w:p>
            <w:pPr>
              <w:snapToGrid w:val="0"/>
              <w:ind w:firstLine="422" w:firstLineChars="200"/>
              <w:jc w:val="center"/>
              <w:rPr>
                <w:b/>
                <w:bCs/>
                <w:szCs w:val="21"/>
              </w:rPr>
            </w:pPr>
            <w:r>
              <w:rPr>
                <w:b/>
                <w:bCs/>
                <w:szCs w:val="21"/>
              </w:rPr>
              <w:t>表</w:t>
            </w:r>
            <w:r>
              <w:rPr>
                <w:rFonts w:hint="eastAsia"/>
                <w:b/>
                <w:bCs/>
                <w:szCs w:val="21"/>
              </w:rPr>
              <w:t>4-5</w:t>
            </w:r>
            <w:r>
              <w:rPr>
                <w:b/>
                <w:bCs/>
                <w:szCs w:val="21"/>
              </w:rPr>
              <w:t xml:space="preserve">  受纳水体</w:t>
            </w:r>
            <w:r>
              <w:rPr>
                <w:rFonts w:hint="eastAsia"/>
                <w:b/>
                <w:bCs/>
                <w:szCs w:val="21"/>
              </w:rPr>
              <w:t>预测</w:t>
            </w:r>
            <w:r>
              <w:rPr>
                <w:b/>
                <w:bCs/>
                <w:szCs w:val="21"/>
              </w:rPr>
              <w:t>水文参数表</w:t>
            </w:r>
          </w:p>
          <w:tbl>
            <w:tblPr>
              <w:tblStyle w:val="2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0"/>
              <w:gridCol w:w="1009"/>
              <w:gridCol w:w="1009"/>
              <w:gridCol w:w="1178"/>
              <w:gridCol w:w="1009"/>
              <w:gridCol w:w="1178"/>
              <w:gridCol w:w="17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3" w:type="pct"/>
                  <w:vAlign w:val="center"/>
                </w:tcPr>
                <w:p>
                  <w:pPr>
                    <w:snapToGrid w:val="0"/>
                    <w:jc w:val="center"/>
                    <w:rPr>
                      <w:szCs w:val="21"/>
                    </w:rPr>
                  </w:pPr>
                  <w:r>
                    <w:rPr>
                      <w:szCs w:val="21"/>
                    </w:rPr>
                    <w:t>受纳水体</w:t>
                  </w:r>
                </w:p>
              </w:tc>
              <w:tc>
                <w:tcPr>
                  <w:tcW w:w="638" w:type="pct"/>
                  <w:vAlign w:val="center"/>
                </w:tcPr>
                <w:p>
                  <w:pPr>
                    <w:snapToGrid w:val="0"/>
                    <w:jc w:val="center"/>
                    <w:rPr>
                      <w:szCs w:val="21"/>
                    </w:rPr>
                  </w:pPr>
                  <w:r>
                    <w:rPr>
                      <w:szCs w:val="21"/>
                    </w:rPr>
                    <w:t>流量（m</w:t>
                  </w:r>
                  <w:r>
                    <w:rPr>
                      <w:szCs w:val="21"/>
                      <w:vertAlign w:val="superscript"/>
                    </w:rPr>
                    <w:t>3</w:t>
                  </w:r>
                  <w:r>
                    <w:rPr>
                      <w:szCs w:val="21"/>
                    </w:rPr>
                    <w:t>/s）</w:t>
                  </w:r>
                </w:p>
              </w:tc>
              <w:tc>
                <w:tcPr>
                  <w:tcW w:w="638" w:type="pct"/>
                  <w:vAlign w:val="center"/>
                </w:tcPr>
                <w:p>
                  <w:pPr>
                    <w:snapToGrid w:val="0"/>
                    <w:jc w:val="center"/>
                    <w:rPr>
                      <w:szCs w:val="21"/>
                    </w:rPr>
                  </w:pPr>
                  <w:r>
                    <w:rPr>
                      <w:szCs w:val="21"/>
                    </w:rPr>
                    <w:t>流速u（m/s）</w:t>
                  </w:r>
                </w:p>
              </w:tc>
              <w:tc>
                <w:tcPr>
                  <w:tcW w:w="745" w:type="pct"/>
                  <w:vAlign w:val="center"/>
                </w:tcPr>
                <w:p>
                  <w:pPr>
                    <w:snapToGrid w:val="0"/>
                    <w:jc w:val="center"/>
                    <w:rPr>
                      <w:szCs w:val="21"/>
                    </w:rPr>
                  </w:pPr>
                  <w:r>
                    <w:rPr>
                      <w:szCs w:val="21"/>
                    </w:rPr>
                    <w:t>水力坡降（‰）</w:t>
                  </w:r>
                </w:p>
              </w:tc>
              <w:tc>
                <w:tcPr>
                  <w:tcW w:w="638" w:type="pct"/>
                  <w:vAlign w:val="center"/>
                </w:tcPr>
                <w:p>
                  <w:pPr>
                    <w:snapToGrid w:val="0"/>
                    <w:jc w:val="center"/>
                    <w:rPr>
                      <w:szCs w:val="21"/>
                    </w:rPr>
                  </w:pPr>
                  <w:r>
                    <w:rPr>
                      <w:szCs w:val="21"/>
                    </w:rPr>
                    <w:t>宽度B（m）</w:t>
                  </w:r>
                </w:p>
              </w:tc>
              <w:tc>
                <w:tcPr>
                  <w:tcW w:w="745" w:type="pct"/>
                  <w:vAlign w:val="center"/>
                </w:tcPr>
                <w:p>
                  <w:pPr>
                    <w:snapToGrid w:val="0"/>
                    <w:jc w:val="center"/>
                    <w:rPr>
                      <w:szCs w:val="21"/>
                    </w:rPr>
                  </w:pPr>
                  <w:r>
                    <w:rPr>
                      <w:szCs w:val="21"/>
                    </w:rPr>
                    <w:t>深度H（m）</w:t>
                  </w:r>
                </w:p>
              </w:tc>
              <w:tc>
                <w:tcPr>
                  <w:tcW w:w="1078" w:type="pct"/>
                  <w:vAlign w:val="center"/>
                </w:tcPr>
                <w:p>
                  <w:pPr>
                    <w:snapToGrid w:val="0"/>
                    <w:jc w:val="center"/>
                    <w:rPr>
                      <w:szCs w:val="21"/>
                    </w:rPr>
                  </w:pPr>
                  <w:r>
                    <w:rPr>
                      <w:szCs w:val="21"/>
                    </w:rPr>
                    <w:t>纵向扩散系（m</w:t>
                  </w:r>
                  <w:r>
                    <w:rPr>
                      <w:szCs w:val="21"/>
                      <w:vertAlign w:val="superscript"/>
                    </w:rPr>
                    <w:t>2</w:t>
                  </w:r>
                  <w:r>
                    <w:rPr>
                      <w:szCs w:val="21"/>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513" w:type="pct"/>
                  <w:vAlign w:val="center"/>
                </w:tcPr>
                <w:p>
                  <w:pPr>
                    <w:snapToGrid w:val="0"/>
                    <w:jc w:val="center"/>
                    <w:rPr>
                      <w:szCs w:val="21"/>
                    </w:rPr>
                  </w:pPr>
                  <w:r>
                    <w:rPr>
                      <w:rFonts w:hint="eastAsia"/>
                      <w:szCs w:val="21"/>
                    </w:rPr>
                    <w:t>日东河</w:t>
                  </w:r>
                </w:p>
              </w:tc>
              <w:tc>
                <w:tcPr>
                  <w:tcW w:w="638" w:type="pct"/>
                  <w:vAlign w:val="center"/>
                </w:tcPr>
                <w:p>
                  <w:pPr>
                    <w:snapToGrid w:val="0"/>
                    <w:jc w:val="center"/>
                    <w:rPr>
                      <w:szCs w:val="21"/>
                    </w:rPr>
                  </w:pPr>
                  <w:r>
                    <w:rPr>
                      <w:rFonts w:hint="eastAsia"/>
                      <w:szCs w:val="21"/>
                    </w:rPr>
                    <w:t>1.45</w:t>
                  </w:r>
                </w:p>
              </w:tc>
              <w:tc>
                <w:tcPr>
                  <w:tcW w:w="638" w:type="pct"/>
                  <w:vAlign w:val="center"/>
                </w:tcPr>
                <w:p>
                  <w:pPr>
                    <w:snapToGrid w:val="0"/>
                    <w:jc w:val="center"/>
                    <w:rPr>
                      <w:szCs w:val="21"/>
                    </w:rPr>
                  </w:pPr>
                  <w:r>
                    <w:rPr>
                      <w:rFonts w:hint="eastAsia"/>
                      <w:szCs w:val="21"/>
                    </w:rPr>
                    <w:t>0.03</w:t>
                  </w:r>
                </w:p>
              </w:tc>
              <w:tc>
                <w:tcPr>
                  <w:tcW w:w="745" w:type="pct"/>
                  <w:vAlign w:val="center"/>
                </w:tcPr>
                <w:p>
                  <w:pPr>
                    <w:snapToGrid w:val="0"/>
                    <w:jc w:val="center"/>
                    <w:rPr>
                      <w:szCs w:val="21"/>
                    </w:rPr>
                  </w:pPr>
                  <w:r>
                    <w:rPr>
                      <w:rFonts w:hint="eastAsia"/>
                      <w:szCs w:val="21"/>
                    </w:rPr>
                    <w:t>1.78</w:t>
                  </w:r>
                </w:p>
              </w:tc>
              <w:tc>
                <w:tcPr>
                  <w:tcW w:w="638" w:type="pct"/>
                  <w:vAlign w:val="center"/>
                </w:tcPr>
                <w:p>
                  <w:pPr>
                    <w:snapToGrid w:val="0"/>
                    <w:jc w:val="center"/>
                    <w:rPr>
                      <w:szCs w:val="21"/>
                    </w:rPr>
                  </w:pPr>
                  <w:r>
                    <w:rPr>
                      <w:rFonts w:hint="eastAsia"/>
                      <w:szCs w:val="21"/>
                    </w:rPr>
                    <w:t>22.3</w:t>
                  </w:r>
                </w:p>
              </w:tc>
              <w:tc>
                <w:tcPr>
                  <w:tcW w:w="745" w:type="pct"/>
                  <w:vAlign w:val="center"/>
                </w:tcPr>
                <w:p>
                  <w:pPr>
                    <w:snapToGrid w:val="0"/>
                    <w:jc w:val="center"/>
                    <w:rPr>
                      <w:szCs w:val="21"/>
                    </w:rPr>
                  </w:pPr>
                  <w:r>
                    <w:rPr>
                      <w:rFonts w:hint="eastAsia"/>
                      <w:szCs w:val="21"/>
                    </w:rPr>
                    <w:t>2.0</w:t>
                  </w:r>
                </w:p>
              </w:tc>
              <w:tc>
                <w:tcPr>
                  <w:tcW w:w="1078" w:type="pct"/>
                  <w:vAlign w:val="center"/>
                </w:tcPr>
                <w:p>
                  <w:pPr>
                    <w:snapToGrid w:val="0"/>
                    <w:jc w:val="center"/>
                    <w:rPr>
                      <w:szCs w:val="21"/>
                    </w:rPr>
                  </w:pPr>
                  <w:r>
                    <w:rPr>
                      <w:rFonts w:hint="eastAsia"/>
                      <w:szCs w:val="21"/>
                    </w:rPr>
                    <w:t>70.0524</w:t>
                  </w:r>
                </w:p>
              </w:tc>
            </w:tr>
          </w:tbl>
          <w:p>
            <w:pPr>
              <w:snapToGrid w:val="0"/>
              <w:spacing w:line="360" w:lineRule="auto"/>
              <w:ind w:firstLine="480" w:firstLineChars="200"/>
              <w:rPr>
                <w:sz w:val="24"/>
              </w:rPr>
            </w:pPr>
            <w:r>
              <w:rPr>
                <w:sz w:val="24"/>
              </w:rPr>
              <w:t>排放预测结果：</w:t>
            </w:r>
          </w:p>
          <w:p>
            <w:pPr>
              <w:snapToGrid w:val="0"/>
              <w:ind w:firstLine="422" w:firstLineChars="200"/>
              <w:jc w:val="center"/>
              <w:rPr>
                <w:b/>
                <w:bCs/>
                <w:szCs w:val="21"/>
              </w:rPr>
            </w:pPr>
            <w:r>
              <w:rPr>
                <w:b/>
                <w:bCs/>
                <w:szCs w:val="21"/>
              </w:rPr>
              <w:t>表</w:t>
            </w:r>
            <w:r>
              <w:rPr>
                <w:rFonts w:hint="eastAsia"/>
                <w:b/>
                <w:bCs/>
                <w:szCs w:val="21"/>
              </w:rPr>
              <w:t>4-6</w:t>
            </w:r>
            <w:r>
              <w:rPr>
                <w:b/>
                <w:bCs/>
                <w:szCs w:val="21"/>
              </w:rPr>
              <w:t xml:space="preserve">  污染物完全混合浓度值 单位：mg/L</w:t>
            </w:r>
          </w:p>
          <w:tbl>
            <w:tblPr>
              <w:tblStyle w:val="25"/>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5"/>
              <w:gridCol w:w="1128"/>
              <w:gridCol w:w="1128"/>
              <w:gridCol w:w="1130"/>
              <w:gridCol w:w="1128"/>
              <w:gridCol w:w="1128"/>
              <w:gridCol w:w="1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jc w:val="center"/>
              </w:trPr>
              <w:tc>
                <w:tcPr>
                  <w:tcW w:w="2856" w:type="pct"/>
                  <w:gridSpan w:val="4"/>
                  <w:tcBorders>
                    <w:tl2br w:val="nil"/>
                    <w:tr2bl w:val="nil"/>
                  </w:tcBorders>
                  <w:vAlign w:val="center"/>
                </w:tcPr>
                <w:p>
                  <w:pPr>
                    <w:adjustRightInd w:val="0"/>
                    <w:snapToGrid w:val="0"/>
                    <w:jc w:val="center"/>
                    <w:rPr>
                      <w:szCs w:val="21"/>
                    </w:rPr>
                  </w:pPr>
                  <w:r>
                    <w:rPr>
                      <w:szCs w:val="21"/>
                    </w:rPr>
                    <w:t>正常排放</w:t>
                  </w:r>
                </w:p>
              </w:tc>
              <w:tc>
                <w:tcPr>
                  <w:tcW w:w="2143" w:type="pct"/>
                  <w:gridSpan w:val="3"/>
                  <w:tcBorders>
                    <w:tl2br w:val="nil"/>
                    <w:tr2bl w:val="nil"/>
                  </w:tcBorders>
                  <w:vAlign w:val="center"/>
                </w:tcPr>
                <w:p>
                  <w:pPr>
                    <w:adjustRightInd w:val="0"/>
                    <w:snapToGrid w:val="0"/>
                    <w:jc w:val="center"/>
                    <w:rPr>
                      <w:szCs w:val="21"/>
                    </w:rPr>
                  </w:pPr>
                  <w:r>
                    <w:rPr>
                      <w:szCs w:val="21"/>
                    </w:rPr>
                    <w:t>非正常排放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713" w:type="pct"/>
                  <w:tcBorders>
                    <w:tl2br w:val="nil"/>
                    <w:tr2bl w:val="nil"/>
                  </w:tcBorders>
                  <w:vAlign w:val="center"/>
                </w:tcPr>
                <w:p>
                  <w:pPr>
                    <w:adjustRightInd w:val="0"/>
                    <w:snapToGrid w:val="0"/>
                    <w:jc w:val="center"/>
                    <w:rPr>
                      <w:szCs w:val="21"/>
                    </w:rPr>
                  </w:pPr>
                  <w:r>
                    <w:rPr>
                      <w:szCs w:val="21"/>
                    </w:rPr>
                    <w:t>COD</w:t>
                  </w:r>
                </w:p>
              </w:tc>
              <w:tc>
                <w:tcPr>
                  <w:tcW w:w="714" w:type="pct"/>
                  <w:tcBorders>
                    <w:tl2br w:val="nil"/>
                    <w:tr2bl w:val="nil"/>
                  </w:tcBorders>
                  <w:vAlign w:val="center"/>
                </w:tcPr>
                <w:p>
                  <w:pPr>
                    <w:adjustRightInd w:val="0"/>
                    <w:snapToGrid w:val="0"/>
                    <w:jc w:val="center"/>
                    <w:rPr>
                      <w:szCs w:val="21"/>
                    </w:rPr>
                  </w:pPr>
                  <w:r>
                    <w:rPr>
                      <w:szCs w:val="21"/>
                    </w:rPr>
                    <w:t>总氮</w:t>
                  </w:r>
                </w:p>
              </w:tc>
              <w:tc>
                <w:tcPr>
                  <w:tcW w:w="714" w:type="pct"/>
                  <w:tcBorders>
                    <w:tl2br w:val="nil"/>
                    <w:tr2bl w:val="nil"/>
                  </w:tcBorders>
                  <w:vAlign w:val="center"/>
                </w:tcPr>
                <w:p>
                  <w:pPr>
                    <w:adjustRightInd w:val="0"/>
                    <w:snapToGrid w:val="0"/>
                    <w:jc w:val="center"/>
                    <w:rPr>
                      <w:szCs w:val="21"/>
                    </w:rPr>
                  </w:pPr>
                  <w:r>
                    <w:rPr>
                      <w:rFonts w:hint="eastAsia"/>
                      <w:szCs w:val="21"/>
                    </w:rPr>
                    <w:t>总磷</w:t>
                  </w:r>
                </w:p>
              </w:tc>
              <w:tc>
                <w:tcPr>
                  <w:tcW w:w="714" w:type="pct"/>
                  <w:tcBorders>
                    <w:tl2br w:val="nil"/>
                    <w:tr2bl w:val="nil"/>
                  </w:tcBorders>
                  <w:vAlign w:val="center"/>
                </w:tcPr>
                <w:p>
                  <w:pPr>
                    <w:adjustRightInd w:val="0"/>
                    <w:snapToGrid w:val="0"/>
                    <w:jc w:val="center"/>
                    <w:rPr>
                      <w:szCs w:val="21"/>
                    </w:rPr>
                  </w:pPr>
                  <w:r>
                    <w:rPr>
                      <w:szCs w:val="21"/>
                    </w:rPr>
                    <w:t>BOD</w:t>
                  </w:r>
                  <w:r>
                    <w:rPr>
                      <w:szCs w:val="21"/>
                      <w:vertAlign w:val="subscript"/>
                    </w:rPr>
                    <w:t>5</w:t>
                  </w:r>
                </w:p>
              </w:tc>
              <w:tc>
                <w:tcPr>
                  <w:tcW w:w="714" w:type="pct"/>
                  <w:tcBorders>
                    <w:tl2br w:val="nil"/>
                    <w:tr2bl w:val="nil"/>
                  </w:tcBorders>
                  <w:vAlign w:val="center"/>
                </w:tcPr>
                <w:p>
                  <w:pPr>
                    <w:adjustRightInd w:val="0"/>
                    <w:snapToGrid w:val="0"/>
                    <w:jc w:val="center"/>
                    <w:rPr>
                      <w:szCs w:val="21"/>
                    </w:rPr>
                  </w:pPr>
                  <w:r>
                    <w:rPr>
                      <w:szCs w:val="21"/>
                    </w:rPr>
                    <w:t>COD</w:t>
                  </w:r>
                </w:p>
              </w:tc>
              <w:tc>
                <w:tcPr>
                  <w:tcW w:w="714" w:type="pct"/>
                  <w:tcBorders>
                    <w:tl2br w:val="nil"/>
                    <w:tr2bl w:val="nil"/>
                  </w:tcBorders>
                  <w:vAlign w:val="center"/>
                </w:tcPr>
                <w:p>
                  <w:pPr>
                    <w:adjustRightInd w:val="0"/>
                    <w:snapToGrid w:val="0"/>
                    <w:jc w:val="center"/>
                    <w:rPr>
                      <w:szCs w:val="21"/>
                    </w:rPr>
                  </w:pPr>
                  <w:r>
                    <w:rPr>
                      <w:szCs w:val="21"/>
                    </w:rPr>
                    <w:t>总氮</w:t>
                  </w:r>
                </w:p>
              </w:tc>
              <w:tc>
                <w:tcPr>
                  <w:tcW w:w="715" w:type="pct"/>
                  <w:tcBorders>
                    <w:tl2br w:val="nil"/>
                    <w:tr2bl w:val="nil"/>
                  </w:tcBorders>
                  <w:vAlign w:val="center"/>
                </w:tcPr>
                <w:p>
                  <w:pPr>
                    <w:adjustRightInd w:val="0"/>
                    <w:snapToGrid w:val="0"/>
                    <w:jc w:val="center"/>
                    <w:rPr>
                      <w:szCs w:val="21"/>
                    </w:rPr>
                  </w:pPr>
                  <w:r>
                    <w:rPr>
                      <w:rFonts w:hint="eastAsia"/>
                      <w:szCs w:val="21"/>
                    </w:rPr>
                    <w:t>总磷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15</w:t>
                  </w:r>
                </w:p>
              </w:tc>
              <w:tc>
                <w:tcPr>
                  <w:tcW w:w="714"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2.5</w:t>
                  </w:r>
                </w:p>
              </w:tc>
              <w:tc>
                <w:tcPr>
                  <w:tcW w:w="714"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0.4</w:t>
                  </w:r>
                </w:p>
              </w:tc>
              <w:tc>
                <w:tcPr>
                  <w:tcW w:w="714"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15</w:t>
                  </w:r>
                </w:p>
              </w:tc>
              <w:tc>
                <w:tcPr>
                  <w:tcW w:w="714" w:type="pct"/>
                  <w:tcBorders>
                    <w:tl2br w:val="nil"/>
                    <w:tr2bl w:val="nil"/>
                  </w:tcBorders>
                  <w:vAlign w:val="center"/>
                </w:tcPr>
                <w:p>
                  <w:pPr>
                    <w:autoSpaceDE w:val="0"/>
                    <w:autoSpaceDN w:val="0"/>
                    <w:adjustRightInd w:val="0"/>
                    <w:snapToGrid w:val="0"/>
                    <w:jc w:val="center"/>
                    <w:rPr>
                      <w:kern w:val="0"/>
                      <w:szCs w:val="21"/>
                      <w:lang w:bidi="ar"/>
                    </w:rPr>
                  </w:pPr>
                  <w:r>
                    <w:rPr>
                      <w:kern w:val="0"/>
                      <w:szCs w:val="21"/>
                      <w:lang w:bidi="ar"/>
                    </w:rPr>
                    <w:t>55</w:t>
                  </w:r>
                </w:p>
              </w:tc>
              <w:tc>
                <w:tcPr>
                  <w:tcW w:w="714" w:type="pct"/>
                  <w:tcBorders>
                    <w:tl2br w:val="nil"/>
                    <w:tr2bl w:val="nil"/>
                  </w:tcBorders>
                  <w:vAlign w:val="center"/>
                </w:tcPr>
                <w:p>
                  <w:pPr>
                    <w:jc w:val="center"/>
                    <w:rPr>
                      <w:kern w:val="0"/>
                      <w:szCs w:val="21"/>
                      <w:lang w:bidi="ar"/>
                    </w:rPr>
                  </w:pPr>
                  <w:r>
                    <w:rPr>
                      <w:rFonts w:hint="eastAsia"/>
                      <w:szCs w:val="21"/>
                    </w:rPr>
                    <w:t>36.85</w:t>
                  </w:r>
                </w:p>
              </w:tc>
              <w:tc>
                <w:tcPr>
                  <w:tcW w:w="715" w:type="pct"/>
                  <w:tcBorders>
                    <w:tl2br w:val="nil"/>
                    <w:tr2bl w:val="nil"/>
                  </w:tcBorders>
                  <w:vAlign w:val="center"/>
                </w:tcPr>
                <w:p>
                  <w:pPr>
                    <w:autoSpaceDE w:val="0"/>
                    <w:autoSpaceDN w:val="0"/>
                    <w:adjustRightInd w:val="0"/>
                    <w:snapToGrid w:val="0"/>
                    <w:jc w:val="center"/>
                    <w:rPr>
                      <w:kern w:val="0"/>
                      <w:szCs w:val="21"/>
                      <w:lang w:bidi="ar"/>
                    </w:rPr>
                  </w:pPr>
                  <w:r>
                    <w:rPr>
                      <w:rFonts w:hint="eastAsia"/>
                      <w:szCs w:val="21"/>
                    </w:rPr>
                    <w:t>2.03</w:t>
                  </w:r>
                </w:p>
              </w:tc>
            </w:tr>
          </w:tbl>
          <w:p>
            <w:pPr>
              <w:snapToGrid w:val="0"/>
              <w:jc w:val="center"/>
              <w:rPr>
                <w:b/>
                <w:bCs/>
                <w:szCs w:val="21"/>
                <w:highlight w:val="yellow"/>
              </w:rPr>
            </w:pPr>
          </w:p>
          <w:p>
            <w:pPr>
              <w:snapToGrid w:val="0"/>
              <w:jc w:val="center"/>
              <w:rPr>
                <w:b/>
                <w:bCs/>
                <w:color w:val="0000FF"/>
                <w:szCs w:val="21"/>
              </w:rPr>
            </w:pPr>
            <w:r>
              <w:rPr>
                <w:b/>
                <w:bCs/>
                <w:szCs w:val="21"/>
              </w:rPr>
              <w:t>表</w:t>
            </w:r>
            <w:r>
              <w:rPr>
                <w:rFonts w:hint="eastAsia"/>
                <w:b/>
                <w:bCs/>
                <w:szCs w:val="21"/>
              </w:rPr>
              <w:t>4-7</w:t>
            </w:r>
            <w:r>
              <w:rPr>
                <w:b/>
                <w:bCs/>
                <w:szCs w:val="21"/>
              </w:rPr>
              <w:t xml:space="preserve">  枯水期</w:t>
            </w:r>
            <w:r>
              <w:rPr>
                <w:rFonts w:hint="eastAsia"/>
                <w:b/>
                <w:bCs/>
                <w:szCs w:val="21"/>
              </w:rPr>
              <w:t>废水排</w:t>
            </w:r>
            <w:r>
              <w:rPr>
                <w:b/>
                <w:bCs/>
                <w:szCs w:val="21"/>
              </w:rPr>
              <w:t>放对</w:t>
            </w:r>
            <w:r>
              <w:rPr>
                <w:rFonts w:hint="eastAsia"/>
                <w:b/>
                <w:bCs/>
                <w:szCs w:val="21"/>
              </w:rPr>
              <w:t>日东河</w:t>
            </w:r>
            <w:r>
              <w:rPr>
                <w:b/>
                <w:bCs/>
                <w:szCs w:val="21"/>
              </w:rPr>
              <w:t>水质影响预测结果表 单位：mg/L</w:t>
            </w:r>
          </w:p>
          <w:tbl>
            <w:tblPr>
              <w:tblStyle w:val="25"/>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74"/>
              <w:gridCol w:w="945"/>
              <w:gridCol w:w="950"/>
              <w:gridCol w:w="951"/>
              <w:gridCol w:w="1008"/>
              <w:gridCol w:w="951"/>
              <w:gridCol w:w="953"/>
              <w:gridCol w:w="9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99" w:hRule="atLeast"/>
                <w:jc w:val="center"/>
              </w:trPr>
              <w:tc>
                <w:tcPr>
                  <w:tcW w:w="743" w:type="pct"/>
                  <w:vMerge w:val="restart"/>
                  <w:tcBorders>
                    <w:tl2br w:val="nil"/>
                    <w:tr2bl w:val="nil"/>
                  </w:tcBorders>
                  <w:vAlign w:val="center"/>
                </w:tcPr>
                <w:p>
                  <w:pPr>
                    <w:snapToGrid w:val="0"/>
                    <w:jc w:val="center"/>
                    <w:rPr>
                      <w:szCs w:val="21"/>
                    </w:rPr>
                  </w:pPr>
                  <w:r>
                    <w:rPr>
                      <w:rFonts w:hint="eastAsia"/>
                      <w:szCs w:val="21"/>
                    </w:rPr>
                    <w:t>X（m）</w:t>
                  </w:r>
                </w:p>
              </w:tc>
              <w:tc>
                <w:tcPr>
                  <w:tcW w:w="2439" w:type="pct"/>
                  <w:gridSpan w:val="4"/>
                  <w:tcBorders>
                    <w:tl2br w:val="nil"/>
                    <w:tr2bl w:val="nil"/>
                  </w:tcBorders>
                  <w:vAlign w:val="center"/>
                </w:tcPr>
                <w:p>
                  <w:pPr>
                    <w:adjustRightInd w:val="0"/>
                    <w:snapToGrid w:val="0"/>
                    <w:jc w:val="center"/>
                    <w:rPr>
                      <w:szCs w:val="21"/>
                    </w:rPr>
                  </w:pPr>
                  <w:r>
                    <w:rPr>
                      <w:szCs w:val="21"/>
                    </w:rPr>
                    <w:t>正常排放</w:t>
                  </w:r>
                </w:p>
              </w:tc>
              <w:tc>
                <w:tcPr>
                  <w:tcW w:w="1816" w:type="pct"/>
                  <w:gridSpan w:val="3"/>
                  <w:tcBorders>
                    <w:tl2br w:val="nil"/>
                    <w:tr2bl w:val="nil"/>
                  </w:tcBorders>
                  <w:vAlign w:val="center"/>
                </w:tcPr>
                <w:p>
                  <w:pPr>
                    <w:adjustRightInd w:val="0"/>
                    <w:snapToGrid w:val="0"/>
                    <w:jc w:val="center"/>
                    <w:rPr>
                      <w:szCs w:val="21"/>
                      <w:u w:val="single"/>
                    </w:rPr>
                  </w:pPr>
                  <w:r>
                    <w:rPr>
                      <w:szCs w:val="21"/>
                      <w:u w:val="single"/>
                    </w:rPr>
                    <w:t>非正常排放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743" w:type="pct"/>
                  <w:vMerge w:val="continue"/>
                  <w:tcBorders>
                    <w:tl2br w:val="nil"/>
                    <w:tr2bl w:val="nil"/>
                  </w:tcBorders>
                  <w:vAlign w:val="center"/>
                </w:tcPr>
                <w:p>
                  <w:pPr>
                    <w:snapToGrid w:val="0"/>
                    <w:jc w:val="center"/>
                    <w:rPr>
                      <w:szCs w:val="21"/>
                    </w:rPr>
                  </w:pPr>
                </w:p>
              </w:tc>
              <w:tc>
                <w:tcPr>
                  <w:tcW w:w="598" w:type="pct"/>
                  <w:tcBorders>
                    <w:tl2br w:val="nil"/>
                    <w:tr2bl w:val="nil"/>
                  </w:tcBorders>
                  <w:vAlign w:val="center"/>
                </w:tcPr>
                <w:p>
                  <w:pPr>
                    <w:adjustRightInd w:val="0"/>
                    <w:snapToGrid w:val="0"/>
                    <w:jc w:val="center"/>
                    <w:rPr>
                      <w:szCs w:val="21"/>
                    </w:rPr>
                  </w:pPr>
                  <w:r>
                    <w:rPr>
                      <w:szCs w:val="21"/>
                    </w:rPr>
                    <w:t>c/COD</w:t>
                  </w:r>
                </w:p>
              </w:tc>
              <w:tc>
                <w:tcPr>
                  <w:tcW w:w="601" w:type="pct"/>
                  <w:tcBorders>
                    <w:tl2br w:val="nil"/>
                    <w:tr2bl w:val="nil"/>
                  </w:tcBorders>
                  <w:vAlign w:val="center"/>
                </w:tcPr>
                <w:p>
                  <w:pPr>
                    <w:adjustRightInd w:val="0"/>
                    <w:snapToGrid w:val="0"/>
                    <w:jc w:val="center"/>
                    <w:rPr>
                      <w:szCs w:val="21"/>
                    </w:rPr>
                  </w:pPr>
                  <w:r>
                    <w:rPr>
                      <w:szCs w:val="21"/>
                    </w:rPr>
                    <w:t>c/总氮</w:t>
                  </w:r>
                </w:p>
              </w:tc>
              <w:tc>
                <w:tcPr>
                  <w:tcW w:w="602" w:type="pct"/>
                  <w:tcBorders>
                    <w:tl2br w:val="nil"/>
                    <w:tr2bl w:val="nil"/>
                  </w:tcBorders>
                  <w:vAlign w:val="center"/>
                </w:tcPr>
                <w:p>
                  <w:pPr>
                    <w:adjustRightInd w:val="0"/>
                    <w:snapToGrid w:val="0"/>
                    <w:jc w:val="center"/>
                    <w:rPr>
                      <w:szCs w:val="21"/>
                    </w:rPr>
                  </w:pPr>
                  <w:r>
                    <w:rPr>
                      <w:rFonts w:hint="eastAsia"/>
                      <w:szCs w:val="21"/>
                    </w:rPr>
                    <w:t>c/总磷</w:t>
                  </w:r>
                </w:p>
              </w:tc>
              <w:tc>
                <w:tcPr>
                  <w:tcW w:w="637" w:type="pct"/>
                  <w:tcBorders>
                    <w:tl2br w:val="nil"/>
                    <w:tr2bl w:val="nil"/>
                  </w:tcBorders>
                  <w:vAlign w:val="center"/>
                </w:tcPr>
                <w:p>
                  <w:pPr>
                    <w:adjustRightInd w:val="0"/>
                    <w:snapToGrid w:val="0"/>
                    <w:jc w:val="center"/>
                    <w:rPr>
                      <w:szCs w:val="21"/>
                    </w:rPr>
                  </w:pPr>
                  <w:r>
                    <w:rPr>
                      <w:szCs w:val="21"/>
                    </w:rPr>
                    <w:t>c/BOD</w:t>
                  </w:r>
                  <w:r>
                    <w:rPr>
                      <w:szCs w:val="21"/>
                      <w:vertAlign w:val="subscript"/>
                    </w:rPr>
                    <w:t>5</w:t>
                  </w:r>
                </w:p>
              </w:tc>
              <w:tc>
                <w:tcPr>
                  <w:tcW w:w="602" w:type="pct"/>
                  <w:tcBorders>
                    <w:tl2br w:val="nil"/>
                    <w:tr2bl w:val="nil"/>
                  </w:tcBorders>
                  <w:vAlign w:val="center"/>
                </w:tcPr>
                <w:p>
                  <w:pPr>
                    <w:adjustRightInd w:val="0"/>
                    <w:snapToGrid w:val="0"/>
                    <w:jc w:val="center"/>
                    <w:rPr>
                      <w:szCs w:val="21"/>
                    </w:rPr>
                  </w:pPr>
                  <w:r>
                    <w:rPr>
                      <w:szCs w:val="21"/>
                    </w:rPr>
                    <w:t>c/COD</w:t>
                  </w:r>
                </w:p>
              </w:tc>
              <w:tc>
                <w:tcPr>
                  <w:tcW w:w="603" w:type="pct"/>
                  <w:tcBorders>
                    <w:tl2br w:val="nil"/>
                    <w:tr2bl w:val="nil"/>
                  </w:tcBorders>
                  <w:vAlign w:val="center"/>
                </w:tcPr>
                <w:p>
                  <w:pPr>
                    <w:adjustRightInd w:val="0"/>
                    <w:snapToGrid w:val="0"/>
                    <w:jc w:val="center"/>
                    <w:rPr>
                      <w:szCs w:val="21"/>
                    </w:rPr>
                  </w:pPr>
                  <w:r>
                    <w:rPr>
                      <w:szCs w:val="21"/>
                    </w:rPr>
                    <w:t>c/总氮</w:t>
                  </w:r>
                </w:p>
              </w:tc>
              <w:tc>
                <w:tcPr>
                  <w:tcW w:w="610" w:type="pct"/>
                  <w:tcBorders>
                    <w:tl2br w:val="nil"/>
                    <w:tr2bl w:val="nil"/>
                  </w:tcBorders>
                  <w:vAlign w:val="center"/>
                </w:tcPr>
                <w:p>
                  <w:pPr>
                    <w:adjustRightInd w:val="0"/>
                    <w:snapToGrid w:val="0"/>
                    <w:jc w:val="center"/>
                    <w:rPr>
                      <w:szCs w:val="21"/>
                    </w:rPr>
                  </w:pPr>
                  <w:r>
                    <w:rPr>
                      <w:rFonts w:hint="eastAsia"/>
                      <w:szCs w:val="21"/>
                    </w:rPr>
                    <w:t>c/总磷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43"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0</w:t>
                  </w:r>
                </w:p>
              </w:tc>
              <w:tc>
                <w:tcPr>
                  <w:tcW w:w="598"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9.0019 </w:t>
                  </w:r>
                </w:p>
              </w:tc>
              <w:tc>
                <w:tcPr>
                  <w:tcW w:w="601"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0.3407 </w:t>
                  </w:r>
                </w:p>
              </w:tc>
              <w:tc>
                <w:tcPr>
                  <w:tcW w:w="602"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0.0101 </w:t>
                  </w:r>
                </w:p>
              </w:tc>
              <w:tc>
                <w:tcPr>
                  <w:tcW w:w="637"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1.8041 </w:t>
                  </w:r>
                </w:p>
              </w:tc>
              <w:tc>
                <w:tcPr>
                  <w:tcW w:w="602"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9.0143 </w:t>
                  </w:r>
                </w:p>
              </w:tc>
              <w:tc>
                <w:tcPr>
                  <w:tcW w:w="603"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0.3513 </w:t>
                  </w:r>
                </w:p>
              </w:tc>
              <w:tc>
                <w:tcPr>
                  <w:tcW w:w="610"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0.0106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43"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10</w:t>
                  </w:r>
                </w:p>
              </w:tc>
              <w:tc>
                <w:tcPr>
                  <w:tcW w:w="598"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8.9949 </w:t>
                  </w:r>
                </w:p>
              </w:tc>
              <w:tc>
                <w:tcPr>
                  <w:tcW w:w="601"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0.3404 </w:t>
                  </w:r>
                </w:p>
              </w:tc>
              <w:tc>
                <w:tcPr>
                  <w:tcW w:w="602"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0.0101 </w:t>
                  </w:r>
                </w:p>
              </w:tc>
              <w:tc>
                <w:tcPr>
                  <w:tcW w:w="637"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1.8027 </w:t>
                  </w:r>
                </w:p>
              </w:tc>
              <w:tc>
                <w:tcPr>
                  <w:tcW w:w="602"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9.0073 </w:t>
                  </w:r>
                </w:p>
              </w:tc>
              <w:tc>
                <w:tcPr>
                  <w:tcW w:w="603"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0.3511 </w:t>
                  </w:r>
                </w:p>
              </w:tc>
              <w:tc>
                <w:tcPr>
                  <w:tcW w:w="610"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0.0106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43"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20</w:t>
                  </w:r>
                </w:p>
              </w:tc>
              <w:tc>
                <w:tcPr>
                  <w:tcW w:w="598"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8.9880 </w:t>
                  </w:r>
                </w:p>
              </w:tc>
              <w:tc>
                <w:tcPr>
                  <w:tcW w:w="601"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0.3401 </w:t>
                  </w:r>
                </w:p>
              </w:tc>
              <w:tc>
                <w:tcPr>
                  <w:tcW w:w="602"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0.0101 </w:t>
                  </w:r>
                </w:p>
              </w:tc>
              <w:tc>
                <w:tcPr>
                  <w:tcW w:w="637"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1.8013 </w:t>
                  </w:r>
                </w:p>
              </w:tc>
              <w:tc>
                <w:tcPr>
                  <w:tcW w:w="602"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9.0004 </w:t>
                  </w:r>
                </w:p>
              </w:tc>
              <w:tc>
                <w:tcPr>
                  <w:tcW w:w="603"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0.3508 </w:t>
                  </w:r>
                </w:p>
              </w:tc>
              <w:tc>
                <w:tcPr>
                  <w:tcW w:w="610"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0.0106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43"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30</w:t>
                  </w:r>
                </w:p>
              </w:tc>
              <w:tc>
                <w:tcPr>
                  <w:tcW w:w="598"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8.9811 </w:t>
                  </w:r>
                </w:p>
              </w:tc>
              <w:tc>
                <w:tcPr>
                  <w:tcW w:w="601"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0.3399 </w:t>
                  </w:r>
                </w:p>
              </w:tc>
              <w:tc>
                <w:tcPr>
                  <w:tcW w:w="602"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0.0101 </w:t>
                  </w:r>
                </w:p>
              </w:tc>
              <w:tc>
                <w:tcPr>
                  <w:tcW w:w="637"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1.7999 </w:t>
                  </w:r>
                </w:p>
              </w:tc>
              <w:tc>
                <w:tcPr>
                  <w:tcW w:w="602"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8.9934 </w:t>
                  </w:r>
                </w:p>
              </w:tc>
              <w:tc>
                <w:tcPr>
                  <w:tcW w:w="603"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0.3505 </w:t>
                  </w:r>
                </w:p>
              </w:tc>
              <w:tc>
                <w:tcPr>
                  <w:tcW w:w="610"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0.0106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43"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40</w:t>
                  </w:r>
                </w:p>
              </w:tc>
              <w:tc>
                <w:tcPr>
                  <w:tcW w:w="598"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8.9741 </w:t>
                  </w:r>
                </w:p>
              </w:tc>
              <w:tc>
                <w:tcPr>
                  <w:tcW w:w="601"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0.3396 </w:t>
                  </w:r>
                </w:p>
              </w:tc>
              <w:tc>
                <w:tcPr>
                  <w:tcW w:w="602"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0.0101 </w:t>
                  </w:r>
                </w:p>
              </w:tc>
              <w:tc>
                <w:tcPr>
                  <w:tcW w:w="637"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1.7985 </w:t>
                  </w:r>
                </w:p>
              </w:tc>
              <w:tc>
                <w:tcPr>
                  <w:tcW w:w="602"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8.9865 </w:t>
                  </w:r>
                </w:p>
              </w:tc>
              <w:tc>
                <w:tcPr>
                  <w:tcW w:w="603"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0.3502 </w:t>
                  </w:r>
                </w:p>
              </w:tc>
              <w:tc>
                <w:tcPr>
                  <w:tcW w:w="610"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0.0106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43"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50</w:t>
                  </w:r>
                </w:p>
              </w:tc>
              <w:tc>
                <w:tcPr>
                  <w:tcW w:w="598"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8.9672 </w:t>
                  </w:r>
                </w:p>
              </w:tc>
              <w:tc>
                <w:tcPr>
                  <w:tcW w:w="601"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0.3394 </w:t>
                  </w:r>
                </w:p>
              </w:tc>
              <w:tc>
                <w:tcPr>
                  <w:tcW w:w="602"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0.0101 </w:t>
                  </w:r>
                </w:p>
              </w:tc>
              <w:tc>
                <w:tcPr>
                  <w:tcW w:w="637"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1.7972 </w:t>
                  </w:r>
                </w:p>
              </w:tc>
              <w:tc>
                <w:tcPr>
                  <w:tcW w:w="602"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8.9796 </w:t>
                  </w:r>
                </w:p>
              </w:tc>
              <w:tc>
                <w:tcPr>
                  <w:tcW w:w="603"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0.3500 </w:t>
                  </w:r>
                </w:p>
              </w:tc>
              <w:tc>
                <w:tcPr>
                  <w:tcW w:w="610"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0.0106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43"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60</w:t>
                  </w:r>
                </w:p>
              </w:tc>
              <w:tc>
                <w:tcPr>
                  <w:tcW w:w="598"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8.9603 </w:t>
                  </w:r>
                </w:p>
              </w:tc>
              <w:tc>
                <w:tcPr>
                  <w:tcW w:w="601"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0.3391 </w:t>
                  </w:r>
                </w:p>
              </w:tc>
              <w:tc>
                <w:tcPr>
                  <w:tcW w:w="602"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0.0101 </w:t>
                  </w:r>
                </w:p>
              </w:tc>
              <w:tc>
                <w:tcPr>
                  <w:tcW w:w="637"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1.7958 </w:t>
                  </w:r>
                </w:p>
              </w:tc>
              <w:tc>
                <w:tcPr>
                  <w:tcW w:w="602"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8.9727 </w:t>
                  </w:r>
                </w:p>
              </w:tc>
              <w:tc>
                <w:tcPr>
                  <w:tcW w:w="603"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0.3497 </w:t>
                  </w:r>
                </w:p>
              </w:tc>
              <w:tc>
                <w:tcPr>
                  <w:tcW w:w="610"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0.0106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43"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70</w:t>
                  </w:r>
                </w:p>
              </w:tc>
              <w:tc>
                <w:tcPr>
                  <w:tcW w:w="598"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8.9534 </w:t>
                  </w:r>
                </w:p>
              </w:tc>
              <w:tc>
                <w:tcPr>
                  <w:tcW w:w="601"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0.3388 </w:t>
                  </w:r>
                </w:p>
              </w:tc>
              <w:tc>
                <w:tcPr>
                  <w:tcW w:w="602"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0.0101 </w:t>
                  </w:r>
                </w:p>
              </w:tc>
              <w:tc>
                <w:tcPr>
                  <w:tcW w:w="637"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1.7944 </w:t>
                  </w:r>
                </w:p>
              </w:tc>
              <w:tc>
                <w:tcPr>
                  <w:tcW w:w="602"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8.9657 </w:t>
                  </w:r>
                </w:p>
              </w:tc>
              <w:tc>
                <w:tcPr>
                  <w:tcW w:w="603"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0.3494 </w:t>
                  </w:r>
                </w:p>
              </w:tc>
              <w:tc>
                <w:tcPr>
                  <w:tcW w:w="610"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0.0106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43"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80</w:t>
                  </w:r>
                </w:p>
              </w:tc>
              <w:tc>
                <w:tcPr>
                  <w:tcW w:w="598"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8.9465 </w:t>
                  </w:r>
                </w:p>
              </w:tc>
              <w:tc>
                <w:tcPr>
                  <w:tcW w:w="601"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0.3386 </w:t>
                  </w:r>
                </w:p>
              </w:tc>
              <w:tc>
                <w:tcPr>
                  <w:tcW w:w="602"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0.0101 </w:t>
                  </w:r>
                </w:p>
              </w:tc>
              <w:tc>
                <w:tcPr>
                  <w:tcW w:w="637"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1.7930 </w:t>
                  </w:r>
                </w:p>
              </w:tc>
              <w:tc>
                <w:tcPr>
                  <w:tcW w:w="602"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8.9588 </w:t>
                  </w:r>
                </w:p>
              </w:tc>
              <w:tc>
                <w:tcPr>
                  <w:tcW w:w="603"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0.3492 </w:t>
                  </w:r>
                </w:p>
              </w:tc>
              <w:tc>
                <w:tcPr>
                  <w:tcW w:w="610"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0.0106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43"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90</w:t>
                  </w:r>
                </w:p>
              </w:tc>
              <w:tc>
                <w:tcPr>
                  <w:tcW w:w="598"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8.9396 </w:t>
                  </w:r>
                </w:p>
              </w:tc>
              <w:tc>
                <w:tcPr>
                  <w:tcW w:w="601"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0.3383 </w:t>
                  </w:r>
                </w:p>
              </w:tc>
              <w:tc>
                <w:tcPr>
                  <w:tcW w:w="602"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0.0101 </w:t>
                  </w:r>
                </w:p>
              </w:tc>
              <w:tc>
                <w:tcPr>
                  <w:tcW w:w="637"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1.7916 </w:t>
                  </w:r>
                </w:p>
              </w:tc>
              <w:tc>
                <w:tcPr>
                  <w:tcW w:w="602"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8.9519 </w:t>
                  </w:r>
                </w:p>
              </w:tc>
              <w:tc>
                <w:tcPr>
                  <w:tcW w:w="603"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0.3489 </w:t>
                  </w:r>
                </w:p>
              </w:tc>
              <w:tc>
                <w:tcPr>
                  <w:tcW w:w="610"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0.0106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43"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100</w:t>
                  </w:r>
                </w:p>
              </w:tc>
              <w:tc>
                <w:tcPr>
                  <w:tcW w:w="598"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8.9327 </w:t>
                  </w:r>
                </w:p>
              </w:tc>
              <w:tc>
                <w:tcPr>
                  <w:tcW w:w="601"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0.3381 </w:t>
                  </w:r>
                </w:p>
              </w:tc>
              <w:tc>
                <w:tcPr>
                  <w:tcW w:w="602"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0.0100 </w:t>
                  </w:r>
                </w:p>
              </w:tc>
              <w:tc>
                <w:tcPr>
                  <w:tcW w:w="637"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1.7902 </w:t>
                  </w:r>
                </w:p>
              </w:tc>
              <w:tc>
                <w:tcPr>
                  <w:tcW w:w="602"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8.9450 </w:t>
                  </w:r>
                </w:p>
              </w:tc>
              <w:tc>
                <w:tcPr>
                  <w:tcW w:w="603"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0.3486 </w:t>
                  </w:r>
                </w:p>
              </w:tc>
              <w:tc>
                <w:tcPr>
                  <w:tcW w:w="610"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0.0105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43"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200</w:t>
                  </w:r>
                </w:p>
              </w:tc>
              <w:tc>
                <w:tcPr>
                  <w:tcW w:w="598"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8.8641 </w:t>
                  </w:r>
                </w:p>
              </w:tc>
              <w:tc>
                <w:tcPr>
                  <w:tcW w:w="601"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0.3355 </w:t>
                  </w:r>
                </w:p>
              </w:tc>
              <w:tc>
                <w:tcPr>
                  <w:tcW w:w="602"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0.0100 </w:t>
                  </w:r>
                </w:p>
              </w:tc>
              <w:tc>
                <w:tcPr>
                  <w:tcW w:w="637"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1.7765 </w:t>
                  </w:r>
                </w:p>
              </w:tc>
              <w:tc>
                <w:tcPr>
                  <w:tcW w:w="602"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8.8763 </w:t>
                  </w:r>
                </w:p>
              </w:tc>
              <w:tc>
                <w:tcPr>
                  <w:tcW w:w="603"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0.3459 </w:t>
                  </w:r>
                </w:p>
              </w:tc>
              <w:tc>
                <w:tcPr>
                  <w:tcW w:w="610"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0.0105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43"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300</w:t>
                  </w:r>
                </w:p>
              </w:tc>
              <w:tc>
                <w:tcPr>
                  <w:tcW w:w="598"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8.7960 </w:t>
                  </w:r>
                </w:p>
              </w:tc>
              <w:tc>
                <w:tcPr>
                  <w:tcW w:w="601"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0.3329 </w:t>
                  </w:r>
                </w:p>
              </w:tc>
              <w:tc>
                <w:tcPr>
                  <w:tcW w:w="602"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0.0099 </w:t>
                  </w:r>
                </w:p>
              </w:tc>
              <w:tc>
                <w:tcPr>
                  <w:tcW w:w="637"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1.7628 </w:t>
                  </w:r>
                </w:p>
              </w:tc>
              <w:tc>
                <w:tcPr>
                  <w:tcW w:w="602"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8.8081 </w:t>
                  </w:r>
                </w:p>
              </w:tc>
              <w:tc>
                <w:tcPr>
                  <w:tcW w:w="603"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0.3433 </w:t>
                  </w:r>
                </w:p>
              </w:tc>
              <w:tc>
                <w:tcPr>
                  <w:tcW w:w="610"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0.0104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43"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400</w:t>
                  </w:r>
                </w:p>
              </w:tc>
              <w:tc>
                <w:tcPr>
                  <w:tcW w:w="598"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8.7284 </w:t>
                  </w:r>
                </w:p>
              </w:tc>
              <w:tc>
                <w:tcPr>
                  <w:tcW w:w="601"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0.3303 </w:t>
                  </w:r>
                </w:p>
              </w:tc>
              <w:tc>
                <w:tcPr>
                  <w:tcW w:w="602"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0.0101 </w:t>
                  </w:r>
                </w:p>
              </w:tc>
              <w:tc>
                <w:tcPr>
                  <w:tcW w:w="637"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1.7493 </w:t>
                  </w:r>
                </w:p>
              </w:tc>
              <w:tc>
                <w:tcPr>
                  <w:tcW w:w="602"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8.7404 </w:t>
                  </w:r>
                </w:p>
              </w:tc>
              <w:tc>
                <w:tcPr>
                  <w:tcW w:w="603"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0.3407 </w:t>
                  </w:r>
                </w:p>
              </w:tc>
              <w:tc>
                <w:tcPr>
                  <w:tcW w:w="610"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0.0106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43"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500</w:t>
                  </w:r>
                </w:p>
              </w:tc>
              <w:tc>
                <w:tcPr>
                  <w:tcW w:w="598"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8.6613 </w:t>
                  </w:r>
                </w:p>
              </w:tc>
              <w:tc>
                <w:tcPr>
                  <w:tcW w:w="601"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0.3278 </w:t>
                  </w:r>
                </w:p>
              </w:tc>
              <w:tc>
                <w:tcPr>
                  <w:tcW w:w="602"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0.0097 </w:t>
                  </w:r>
                </w:p>
              </w:tc>
              <w:tc>
                <w:tcPr>
                  <w:tcW w:w="637"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1.7359 </w:t>
                  </w:r>
                </w:p>
              </w:tc>
              <w:tc>
                <w:tcPr>
                  <w:tcW w:w="602"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8.6733 </w:t>
                  </w:r>
                </w:p>
              </w:tc>
              <w:tc>
                <w:tcPr>
                  <w:tcW w:w="603"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0.3380 </w:t>
                  </w:r>
                </w:p>
              </w:tc>
              <w:tc>
                <w:tcPr>
                  <w:tcW w:w="610"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0.0102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43"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600</w:t>
                  </w:r>
                </w:p>
              </w:tc>
              <w:tc>
                <w:tcPr>
                  <w:tcW w:w="598"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8.5948 </w:t>
                  </w:r>
                </w:p>
              </w:tc>
              <w:tc>
                <w:tcPr>
                  <w:tcW w:w="601"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0.3253 </w:t>
                  </w:r>
                </w:p>
              </w:tc>
              <w:tc>
                <w:tcPr>
                  <w:tcW w:w="602"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0.0097 </w:t>
                  </w:r>
                </w:p>
              </w:tc>
              <w:tc>
                <w:tcPr>
                  <w:tcW w:w="637"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1.7225 </w:t>
                  </w:r>
                </w:p>
              </w:tc>
              <w:tc>
                <w:tcPr>
                  <w:tcW w:w="602"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8.6066 </w:t>
                  </w:r>
                </w:p>
              </w:tc>
              <w:tc>
                <w:tcPr>
                  <w:tcW w:w="603"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0.3354 </w:t>
                  </w:r>
                </w:p>
              </w:tc>
              <w:tc>
                <w:tcPr>
                  <w:tcW w:w="610"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0.0101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43"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700</w:t>
                  </w:r>
                </w:p>
              </w:tc>
              <w:tc>
                <w:tcPr>
                  <w:tcW w:w="598"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8.5288 </w:t>
                  </w:r>
                </w:p>
              </w:tc>
              <w:tc>
                <w:tcPr>
                  <w:tcW w:w="601"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0.3228 </w:t>
                  </w:r>
                </w:p>
              </w:tc>
              <w:tc>
                <w:tcPr>
                  <w:tcW w:w="602"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0.0096 </w:t>
                  </w:r>
                </w:p>
              </w:tc>
              <w:tc>
                <w:tcPr>
                  <w:tcW w:w="637"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1.7093 </w:t>
                  </w:r>
                </w:p>
              </w:tc>
              <w:tc>
                <w:tcPr>
                  <w:tcW w:w="602"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8.5405 </w:t>
                  </w:r>
                </w:p>
              </w:tc>
              <w:tc>
                <w:tcPr>
                  <w:tcW w:w="603"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0.3329 </w:t>
                  </w:r>
                </w:p>
              </w:tc>
              <w:tc>
                <w:tcPr>
                  <w:tcW w:w="610"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0.0101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43"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800</w:t>
                  </w:r>
                </w:p>
              </w:tc>
              <w:tc>
                <w:tcPr>
                  <w:tcW w:w="598"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8.4632 </w:t>
                  </w:r>
                </w:p>
              </w:tc>
              <w:tc>
                <w:tcPr>
                  <w:tcW w:w="601"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0.3203 </w:t>
                  </w:r>
                </w:p>
              </w:tc>
              <w:tc>
                <w:tcPr>
                  <w:tcW w:w="602"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0.0095 </w:t>
                  </w:r>
                </w:p>
              </w:tc>
              <w:tc>
                <w:tcPr>
                  <w:tcW w:w="637"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1.6961 </w:t>
                  </w:r>
                </w:p>
              </w:tc>
              <w:tc>
                <w:tcPr>
                  <w:tcW w:w="602"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8.4749 </w:t>
                  </w:r>
                </w:p>
              </w:tc>
              <w:tc>
                <w:tcPr>
                  <w:tcW w:w="603"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0.3303 </w:t>
                  </w:r>
                </w:p>
              </w:tc>
              <w:tc>
                <w:tcPr>
                  <w:tcW w:w="610"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0.0100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43"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900</w:t>
                  </w:r>
                </w:p>
              </w:tc>
              <w:tc>
                <w:tcPr>
                  <w:tcW w:w="598"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8.3982 </w:t>
                  </w:r>
                </w:p>
              </w:tc>
              <w:tc>
                <w:tcPr>
                  <w:tcW w:w="601"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0.3178 </w:t>
                  </w:r>
                </w:p>
              </w:tc>
              <w:tc>
                <w:tcPr>
                  <w:tcW w:w="602"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0.0094 </w:t>
                  </w:r>
                </w:p>
              </w:tc>
              <w:tc>
                <w:tcPr>
                  <w:tcW w:w="637"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1.6831 </w:t>
                  </w:r>
                </w:p>
              </w:tc>
              <w:tc>
                <w:tcPr>
                  <w:tcW w:w="602"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8.4098 </w:t>
                  </w:r>
                </w:p>
              </w:tc>
              <w:tc>
                <w:tcPr>
                  <w:tcW w:w="603"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0.3278 </w:t>
                  </w:r>
                </w:p>
              </w:tc>
              <w:tc>
                <w:tcPr>
                  <w:tcW w:w="610"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0.0099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43"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1000</w:t>
                  </w:r>
                </w:p>
              </w:tc>
              <w:tc>
                <w:tcPr>
                  <w:tcW w:w="598"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8.3337 </w:t>
                  </w:r>
                </w:p>
              </w:tc>
              <w:tc>
                <w:tcPr>
                  <w:tcW w:w="601"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0.3154 </w:t>
                  </w:r>
                </w:p>
              </w:tc>
              <w:tc>
                <w:tcPr>
                  <w:tcW w:w="602"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0.0094 </w:t>
                  </w:r>
                </w:p>
              </w:tc>
              <w:tc>
                <w:tcPr>
                  <w:tcW w:w="637"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1.6702 </w:t>
                  </w:r>
                </w:p>
              </w:tc>
              <w:tc>
                <w:tcPr>
                  <w:tcW w:w="602"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8.3452 </w:t>
                  </w:r>
                </w:p>
              </w:tc>
              <w:tc>
                <w:tcPr>
                  <w:tcW w:w="603"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0.3253 </w:t>
                  </w:r>
                </w:p>
              </w:tc>
              <w:tc>
                <w:tcPr>
                  <w:tcW w:w="610"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0.0098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43"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1100</w:t>
                  </w:r>
                </w:p>
              </w:tc>
              <w:tc>
                <w:tcPr>
                  <w:tcW w:w="598"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8.2697 </w:t>
                  </w:r>
                </w:p>
              </w:tc>
              <w:tc>
                <w:tcPr>
                  <w:tcW w:w="601"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0.3130 </w:t>
                  </w:r>
                </w:p>
              </w:tc>
              <w:tc>
                <w:tcPr>
                  <w:tcW w:w="602"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0.0093 </w:t>
                  </w:r>
                </w:p>
              </w:tc>
              <w:tc>
                <w:tcPr>
                  <w:tcW w:w="637"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1.6574 </w:t>
                  </w:r>
                </w:p>
              </w:tc>
              <w:tc>
                <w:tcPr>
                  <w:tcW w:w="602"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8.2811 </w:t>
                  </w:r>
                </w:p>
              </w:tc>
              <w:tc>
                <w:tcPr>
                  <w:tcW w:w="603"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0.3228 </w:t>
                  </w:r>
                </w:p>
              </w:tc>
              <w:tc>
                <w:tcPr>
                  <w:tcW w:w="610"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0.0098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43"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1200</w:t>
                  </w:r>
                </w:p>
              </w:tc>
              <w:tc>
                <w:tcPr>
                  <w:tcW w:w="598"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8.2061 </w:t>
                  </w:r>
                </w:p>
              </w:tc>
              <w:tc>
                <w:tcPr>
                  <w:tcW w:w="601"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0.3106 </w:t>
                  </w:r>
                </w:p>
              </w:tc>
              <w:tc>
                <w:tcPr>
                  <w:tcW w:w="602"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0.0092 </w:t>
                  </w:r>
                </w:p>
              </w:tc>
              <w:tc>
                <w:tcPr>
                  <w:tcW w:w="637"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1.6446 </w:t>
                  </w:r>
                </w:p>
              </w:tc>
              <w:tc>
                <w:tcPr>
                  <w:tcW w:w="602"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8.2175 </w:t>
                  </w:r>
                </w:p>
              </w:tc>
              <w:tc>
                <w:tcPr>
                  <w:tcW w:w="603"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0.3203 </w:t>
                  </w:r>
                </w:p>
              </w:tc>
              <w:tc>
                <w:tcPr>
                  <w:tcW w:w="610" w:type="pct"/>
                  <w:tcBorders>
                    <w:tl2br w:val="nil"/>
                    <w:tr2bl w:val="nil"/>
                  </w:tcBorders>
                  <w:vAlign w:val="center"/>
                </w:tcPr>
                <w:p>
                  <w:pPr>
                    <w:autoSpaceDE w:val="0"/>
                    <w:autoSpaceDN w:val="0"/>
                    <w:adjustRightInd w:val="0"/>
                    <w:snapToGrid w:val="0"/>
                    <w:jc w:val="center"/>
                    <w:rPr>
                      <w:kern w:val="0"/>
                      <w:szCs w:val="21"/>
                      <w:lang w:bidi="ar"/>
                    </w:rPr>
                  </w:pPr>
                  <w:r>
                    <w:rPr>
                      <w:rFonts w:hint="eastAsia"/>
                      <w:kern w:val="0"/>
                      <w:szCs w:val="21"/>
                      <w:lang w:bidi="ar"/>
                    </w:rPr>
                    <w:t xml:space="preserve">0.0097 </w:t>
                  </w:r>
                </w:p>
              </w:tc>
            </w:tr>
          </w:tbl>
          <w:p>
            <w:pPr>
              <w:snapToGrid w:val="0"/>
              <w:spacing w:line="360" w:lineRule="auto"/>
              <w:ind w:firstLine="480" w:firstLineChars="200"/>
              <w:rPr>
                <w:sz w:val="24"/>
              </w:rPr>
            </w:pPr>
            <w:r>
              <w:rPr>
                <w:sz w:val="24"/>
              </w:rPr>
              <w:t>正常排放情况下，COD排放至下游约</w:t>
            </w:r>
            <w:r>
              <w:rPr>
                <w:rFonts w:hint="eastAsia"/>
                <w:sz w:val="24"/>
              </w:rPr>
              <w:t>10</w:t>
            </w:r>
            <w:r>
              <w:rPr>
                <w:sz w:val="24"/>
              </w:rPr>
              <w:t>m处可恢复为初始浓度</w:t>
            </w:r>
            <w:r>
              <w:rPr>
                <w:rFonts w:hint="eastAsia"/>
                <w:sz w:val="24"/>
              </w:rPr>
              <w:t>9</w:t>
            </w:r>
            <w:r>
              <w:rPr>
                <w:sz w:val="24"/>
              </w:rPr>
              <w:t>mg/L，排放影响浓度线长</w:t>
            </w:r>
            <w:r>
              <w:rPr>
                <w:rFonts w:hint="eastAsia"/>
                <w:sz w:val="24"/>
              </w:rPr>
              <w:t>10</w:t>
            </w:r>
            <w:r>
              <w:rPr>
                <w:sz w:val="24"/>
              </w:rPr>
              <w:t>m；总氮排放至下游约</w:t>
            </w:r>
            <w:r>
              <w:rPr>
                <w:rFonts w:hint="eastAsia"/>
                <w:sz w:val="24"/>
              </w:rPr>
              <w:t>30</w:t>
            </w:r>
            <w:r>
              <w:rPr>
                <w:sz w:val="24"/>
              </w:rPr>
              <w:t>m处可恢复为初始浓度0.</w:t>
            </w:r>
            <w:r>
              <w:rPr>
                <w:rFonts w:hint="eastAsia"/>
                <w:sz w:val="24"/>
              </w:rPr>
              <w:t>34</w:t>
            </w:r>
            <w:r>
              <w:rPr>
                <w:sz w:val="24"/>
              </w:rPr>
              <w:t>mg/L，排放影响浓度线长</w:t>
            </w:r>
            <w:r>
              <w:rPr>
                <w:rFonts w:hint="eastAsia"/>
                <w:sz w:val="24"/>
              </w:rPr>
              <w:t>30</w:t>
            </w:r>
            <w:r>
              <w:rPr>
                <w:sz w:val="24"/>
              </w:rPr>
              <w:t>m；总磷排放至下游约</w:t>
            </w:r>
            <w:r>
              <w:rPr>
                <w:rFonts w:hint="eastAsia"/>
                <w:sz w:val="24"/>
              </w:rPr>
              <w:t>100</w:t>
            </w:r>
            <w:r>
              <w:rPr>
                <w:sz w:val="24"/>
              </w:rPr>
              <w:t>m处可恢复为初始浓度0.0</w:t>
            </w:r>
            <w:r>
              <w:rPr>
                <w:rFonts w:hint="eastAsia"/>
                <w:sz w:val="24"/>
              </w:rPr>
              <w:t>1</w:t>
            </w:r>
            <w:r>
              <w:rPr>
                <w:sz w:val="24"/>
              </w:rPr>
              <w:t>mg/L，排放影响浓度线长</w:t>
            </w:r>
            <w:r>
              <w:rPr>
                <w:rFonts w:hint="eastAsia"/>
                <w:sz w:val="24"/>
              </w:rPr>
              <w:t>100</w:t>
            </w:r>
            <w:r>
              <w:rPr>
                <w:sz w:val="24"/>
              </w:rPr>
              <w:t>m；BOD</w:t>
            </w:r>
            <w:r>
              <w:rPr>
                <w:sz w:val="24"/>
                <w:vertAlign w:val="subscript"/>
              </w:rPr>
              <w:t>5</w:t>
            </w:r>
            <w:r>
              <w:rPr>
                <w:sz w:val="24"/>
              </w:rPr>
              <w:t>排放至下游约</w:t>
            </w:r>
            <w:r>
              <w:rPr>
                <w:rFonts w:hint="eastAsia"/>
                <w:sz w:val="24"/>
              </w:rPr>
              <w:t>30</w:t>
            </w:r>
            <w:r>
              <w:rPr>
                <w:sz w:val="24"/>
              </w:rPr>
              <w:t>m处可恢复为初始浓度</w:t>
            </w:r>
            <w:r>
              <w:rPr>
                <w:rFonts w:hint="eastAsia"/>
                <w:sz w:val="24"/>
              </w:rPr>
              <w:t>1.8</w:t>
            </w:r>
            <w:r>
              <w:rPr>
                <w:sz w:val="24"/>
              </w:rPr>
              <w:t>mg/L，排放影响浓度线长</w:t>
            </w:r>
            <w:r>
              <w:rPr>
                <w:rFonts w:hint="eastAsia"/>
                <w:sz w:val="24"/>
              </w:rPr>
              <w:t>30</w:t>
            </w:r>
            <w:r>
              <w:rPr>
                <w:sz w:val="24"/>
              </w:rPr>
              <w:t>m。</w:t>
            </w:r>
          </w:p>
          <w:p>
            <w:pPr>
              <w:adjustRightInd w:val="0"/>
              <w:snapToGrid w:val="0"/>
              <w:spacing w:line="360" w:lineRule="auto"/>
              <w:ind w:firstLine="480" w:firstLineChars="200"/>
              <w:rPr>
                <w:color w:val="0000FF"/>
                <w:sz w:val="24"/>
              </w:rPr>
            </w:pPr>
            <w:r>
              <w:rPr>
                <w:sz w:val="24"/>
              </w:rPr>
              <w:t>非正常排放情况下，</w:t>
            </w:r>
            <w:bookmarkStart w:id="17" w:name="_Toc31666"/>
            <w:bookmarkStart w:id="18" w:name="_Toc25543"/>
            <w:r>
              <w:rPr>
                <w:sz w:val="24"/>
              </w:rPr>
              <w:t>COD排放至下游约</w:t>
            </w:r>
            <w:r>
              <w:rPr>
                <w:rFonts w:hint="eastAsia"/>
                <w:sz w:val="24"/>
              </w:rPr>
              <w:t>30</w:t>
            </w:r>
            <w:r>
              <w:rPr>
                <w:sz w:val="24"/>
              </w:rPr>
              <w:t>m处可恢复为初始浓度</w:t>
            </w:r>
            <w:r>
              <w:rPr>
                <w:rFonts w:hint="eastAsia"/>
                <w:sz w:val="24"/>
              </w:rPr>
              <w:t>9</w:t>
            </w:r>
            <w:r>
              <w:rPr>
                <w:sz w:val="24"/>
              </w:rPr>
              <w:t>mg/L，排放影响浓度线长</w:t>
            </w:r>
            <w:r>
              <w:rPr>
                <w:rFonts w:hint="eastAsia"/>
                <w:sz w:val="24"/>
              </w:rPr>
              <w:t>30</w:t>
            </w:r>
            <w:r>
              <w:rPr>
                <w:sz w:val="24"/>
              </w:rPr>
              <w:t>m；总氮排放至下游约</w:t>
            </w:r>
            <w:r>
              <w:rPr>
                <w:rFonts w:hint="eastAsia"/>
                <w:sz w:val="24"/>
              </w:rPr>
              <w:t>500</w:t>
            </w:r>
            <w:r>
              <w:rPr>
                <w:sz w:val="24"/>
              </w:rPr>
              <w:t>m处可恢复为初始浓度0.</w:t>
            </w:r>
            <w:r>
              <w:rPr>
                <w:rFonts w:hint="eastAsia"/>
                <w:sz w:val="24"/>
              </w:rPr>
              <w:t>34</w:t>
            </w:r>
            <w:r>
              <w:rPr>
                <w:sz w:val="24"/>
              </w:rPr>
              <w:t>mg/L，排放影响浓度线长</w:t>
            </w:r>
            <w:r>
              <w:rPr>
                <w:rFonts w:hint="eastAsia"/>
                <w:sz w:val="24"/>
              </w:rPr>
              <w:t>500</w:t>
            </w:r>
            <w:r>
              <w:rPr>
                <w:sz w:val="24"/>
              </w:rPr>
              <w:t>m；总磷排放至下游约</w:t>
            </w:r>
            <w:r>
              <w:rPr>
                <w:rFonts w:hint="eastAsia"/>
                <w:sz w:val="24"/>
              </w:rPr>
              <w:t>900</w:t>
            </w:r>
            <w:r>
              <w:rPr>
                <w:sz w:val="24"/>
              </w:rPr>
              <w:t>m处可恢复为初始浓度0.0</w:t>
            </w:r>
            <w:r>
              <w:rPr>
                <w:rFonts w:hint="eastAsia"/>
                <w:sz w:val="24"/>
              </w:rPr>
              <w:t>1</w:t>
            </w:r>
            <w:r>
              <w:rPr>
                <w:sz w:val="24"/>
              </w:rPr>
              <w:t>mg/L，排放影响浓度线长</w:t>
            </w:r>
            <w:r>
              <w:rPr>
                <w:rFonts w:hint="eastAsia"/>
                <w:sz w:val="24"/>
              </w:rPr>
              <w:t>900</w:t>
            </w:r>
            <w:r>
              <w:rPr>
                <w:sz w:val="24"/>
              </w:rPr>
              <w:t>m。</w:t>
            </w:r>
          </w:p>
          <w:bookmarkEnd w:id="17"/>
          <w:bookmarkEnd w:id="18"/>
          <w:p>
            <w:pPr>
              <w:adjustRightInd w:val="0"/>
              <w:snapToGrid w:val="0"/>
              <w:spacing w:line="360" w:lineRule="auto"/>
              <w:ind w:firstLine="480" w:firstLineChars="200"/>
              <w:rPr>
                <w:bCs/>
                <w:sz w:val="24"/>
                <w:highlight w:val="yellow"/>
              </w:rPr>
            </w:pPr>
            <w:r>
              <w:rPr>
                <w:rFonts w:hint="eastAsia"/>
                <w:sz w:val="24"/>
              </w:rPr>
              <w:t>根据前述章节内容可知，本项目排放的污染物较少，均满足日东河水域纳污能力，且本项目入河排污口</w:t>
            </w:r>
            <w:r>
              <w:rPr>
                <w:sz w:val="24"/>
              </w:rPr>
              <w:t>周边无其它工业排污口，本项目</w:t>
            </w:r>
            <w:r>
              <w:rPr>
                <w:rFonts w:hint="eastAsia"/>
                <w:color w:val="000000"/>
                <w:sz w:val="24"/>
                <w:szCs w:val="22"/>
              </w:rPr>
              <w:t>COD、总氮、总磷、BOD</w:t>
            </w:r>
            <w:r>
              <w:rPr>
                <w:rFonts w:hint="eastAsia"/>
                <w:color w:val="000000"/>
                <w:sz w:val="24"/>
                <w:szCs w:val="22"/>
                <w:vertAlign w:val="subscript"/>
              </w:rPr>
              <w:t>5</w:t>
            </w:r>
            <w:r>
              <w:rPr>
                <w:sz w:val="24"/>
              </w:rPr>
              <w:t>排放量指标满足水域纳污能力。因此，</w:t>
            </w:r>
            <w:r>
              <w:rPr>
                <w:rFonts w:hint="eastAsia"/>
                <w:sz w:val="24"/>
              </w:rPr>
              <w:t>本项目排放的废水</w:t>
            </w:r>
            <w:r>
              <w:rPr>
                <w:sz w:val="24"/>
              </w:rPr>
              <w:t>对</w:t>
            </w:r>
            <w:r>
              <w:rPr>
                <w:rFonts w:hint="eastAsia"/>
                <w:sz w:val="24"/>
              </w:rPr>
              <w:t>日东河</w:t>
            </w:r>
            <w:r>
              <w:rPr>
                <w:sz w:val="24"/>
              </w:rPr>
              <w:t>的影响非常小。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75" w:type="pct"/>
            <w:tcBorders>
              <w:tl2br w:val="nil"/>
              <w:tr2bl w:val="nil"/>
            </w:tcBorders>
            <w:vAlign w:val="center"/>
          </w:tcPr>
          <w:p>
            <w:pPr>
              <w:pStyle w:val="22"/>
              <w:adjustRightInd w:val="0"/>
              <w:snapToGrid w:val="0"/>
              <w:spacing w:before="0" w:beforeAutospacing="0" w:after="0" w:afterAutospacing="0"/>
              <w:jc w:val="center"/>
              <w:rPr>
                <w:rFonts w:ascii="Times New Roman" w:hAnsi="Times New Roman"/>
                <w:bCs/>
                <w:kern w:val="2"/>
              </w:rPr>
            </w:pPr>
            <w:r>
              <w:rPr>
                <w:rFonts w:ascii="Times New Roman" w:hAnsi="Times New Roman"/>
                <w:bCs/>
                <w:kern w:val="2"/>
              </w:rPr>
              <w:t>选址选线环境合理性分析</w:t>
            </w:r>
          </w:p>
        </w:tc>
        <w:tc>
          <w:tcPr>
            <w:tcW w:w="4524" w:type="pct"/>
            <w:tcBorders>
              <w:tl2br w:val="nil"/>
              <w:tr2bl w:val="nil"/>
            </w:tcBorders>
          </w:tcPr>
          <w:p>
            <w:pPr>
              <w:adjustRightInd w:val="0"/>
              <w:snapToGrid w:val="0"/>
              <w:spacing w:line="360" w:lineRule="auto"/>
              <w:ind w:firstLine="480" w:firstLineChars="200"/>
              <w:rPr>
                <w:bCs/>
                <w:sz w:val="24"/>
              </w:rPr>
            </w:pPr>
            <w:r>
              <w:rPr>
                <w:rFonts w:hint="eastAsia"/>
                <w:bCs/>
                <w:sz w:val="24"/>
              </w:rPr>
              <w:t>本</w:t>
            </w:r>
            <w:r>
              <w:rPr>
                <w:bCs/>
                <w:sz w:val="24"/>
              </w:rPr>
              <w:t>项目周边无国家级、省级重点文物保护单位，无医院、生态保护区等敏感保护目标。不会构成对重要环境保护目标的污染影响。项目区域内供水、供电充足，交通便利，对项目生产造成制约较少。环境现状监测结果表明：各监测点环境污染物均满足相应标准限值要求；在整个项目的建设过程中，定期给施工场地洒水，以减少扬尘量；运营期项目在厂区内定期喷洒除臭剂，减少养殖臭气对周边大气环境的影响。对固废进行分类、分质，严格遵守固废的相关污染防治措施，可以做到无害化处理，不外排环境，不会对周围环境带来影响。项目建设方作出承诺（见附件）得以履行前提下</w:t>
            </w:r>
            <w:r>
              <w:rPr>
                <w:rFonts w:hint="eastAsia"/>
                <w:bCs/>
                <w:sz w:val="24"/>
              </w:rPr>
              <w:t>该</w:t>
            </w:r>
            <w:r>
              <w:rPr>
                <w:bCs/>
                <w:sz w:val="24"/>
              </w:rPr>
              <w:t>项目将不会产生噪声污染</w:t>
            </w:r>
            <w:r>
              <w:rPr>
                <w:rFonts w:hint="eastAsia"/>
                <w:bCs/>
                <w:sz w:val="24"/>
              </w:rPr>
              <w:t>。</w:t>
            </w:r>
          </w:p>
          <w:p>
            <w:pPr>
              <w:adjustRightInd w:val="0"/>
              <w:snapToGrid w:val="0"/>
              <w:spacing w:line="360" w:lineRule="auto"/>
              <w:ind w:firstLine="480" w:firstLineChars="200"/>
              <w:rPr>
                <w:bCs/>
                <w:sz w:val="24"/>
              </w:rPr>
            </w:pPr>
            <w:r>
              <w:rPr>
                <w:bCs/>
                <w:sz w:val="24"/>
              </w:rPr>
              <w:t>综合以上分析，周围无重要环境保护目标，周围环境满足各自的功能区划，本项目选址可行。</w:t>
            </w:r>
          </w:p>
        </w:tc>
      </w:tr>
    </w:tbl>
    <w:p>
      <w:pPr>
        <w:pStyle w:val="22"/>
        <w:jc w:val="center"/>
        <w:rPr>
          <w:rFonts w:ascii="Times New Roman" w:hAnsi="Times New Roman"/>
          <w:snapToGrid w:val="0"/>
          <w:sz w:val="36"/>
          <w:szCs w:val="36"/>
        </w:rPr>
      </w:pPr>
    </w:p>
    <w:p>
      <w:pPr>
        <w:pStyle w:val="22"/>
        <w:adjustRightInd w:val="0"/>
        <w:snapToGrid w:val="0"/>
        <w:spacing w:before="0" w:beforeAutospacing="0" w:after="0" w:afterAutospacing="0"/>
        <w:jc w:val="center"/>
        <w:outlineLvl w:val="0"/>
        <w:rPr>
          <w:rFonts w:ascii="Times New Roman" w:hAnsi="Times New Roman"/>
          <w:snapToGrid w:val="0"/>
          <w:sz w:val="30"/>
          <w:szCs w:val="30"/>
        </w:rPr>
      </w:pPr>
      <w:r>
        <w:rPr>
          <w:rFonts w:ascii="Times New Roman" w:hAnsi="Times New Roman"/>
          <w:b/>
          <w:bCs/>
          <w:snapToGrid w:val="0"/>
          <w:sz w:val="30"/>
          <w:szCs w:val="30"/>
        </w:rPr>
        <w:br w:type="page"/>
      </w:r>
      <w:bookmarkStart w:id="19" w:name="_Toc25265"/>
      <w:r>
        <w:rPr>
          <w:rFonts w:ascii="Times New Roman" w:hAnsi="Times New Roman"/>
          <w:b/>
          <w:bCs/>
          <w:snapToGrid w:val="0"/>
          <w:sz w:val="30"/>
          <w:szCs w:val="30"/>
        </w:rPr>
        <w:t>五、主要生态环境保护措施</w:t>
      </w:r>
      <w:bookmarkEnd w:id="19"/>
    </w:p>
    <w:tbl>
      <w:tblPr>
        <w:tblStyle w:val="24"/>
        <w:tblW w:w="4999"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33"/>
        <w:gridCol w:w="824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08" w:type="pct"/>
            <w:tcBorders>
              <w:tl2br w:val="nil"/>
              <w:tr2bl w:val="nil"/>
            </w:tcBorders>
            <w:tcMar>
              <w:left w:w="28" w:type="dxa"/>
              <w:right w:w="28" w:type="dxa"/>
            </w:tcMar>
            <w:vAlign w:val="center"/>
          </w:tcPr>
          <w:p>
            <w:pPr>
              <w:adjustRightInd w:val="0"/>
              <w:snapToGrid w:val="0"/>
              <w:jc w:val="center"/>
              <w:rPr>
                <w:bCs/>
                <w:sz w:val="24"/>
                <w:highlight w:val="yellow"/>
              </w:rPr>
            </w:pPr>
            <w:r>
              <w:rPr>
                <w:bCs/>
                <w:spacing w:val="10"/>
                <w:sz w:val="24"/>
              </w:rPr>
              <w:t>施工期生态环境保护措施</w:t>
            </w:r>
          </w:p>
        </w:tc>
        <w:tc>
          <w:tcPr>
            <w:tcW w:w="4591" w:type="pct"/>
            <w:tcBorders>
              <w:tl2br w:val="nil"/>
              <w:tr2bl w:val="nil"/>
            </w:tcBorders>
          </w:tcPr>
          <w:p>
            <w:pPr>
              <w:numPr>
                <w:ilvl w:val="0"/>
                <w:numId w:val="5"/>
              </w:numPr>
              <w:adjustRightInd w:val="0"/>
              <w:snapToGrid w:val="0"/>
              <w:spacing w:line="360" w:lineRule="auto"/>
              <w:ind w:firstLine="482" w:firstLineChars="200"/>
              <w:rPr>
                <w:b/>
                <w:sz w:val="24"/>
              </w:rPr>
            </w:pPr>
            <w:r>
              <w:rPr>
                <w:b/>
                <w:sz w:val="24"/>
              </w:rPr>
              <w:t>施工期废水</w:t>
            </w:r>
            <w:r>
              <w:rPr>
                <w:rFonts w:hint="eastAsia"/>
                <w:b/>
                <w:sz w:val="24"/>
              </w:rPr>
              <w:t>污染防治措施</w:t>
            </w:r>
          </w:p>
          <w:p>
            <w:pPr>
              <w:adjustRightInd w:val="0"/>
              <w:snapToGrid w:val="0"/>
              <w:spacing w:line="360" w:lineRule="auto"/>
              <w:ind w:firstLine="480" w:firstLineChars="200"/>
              <w:rPr>
                <w:sz w:val="24"/>
              </w:rPr>
            </w:pPr>
            <w:r>
              <w:rPr>
                <w:rFonts w:hint="eastAsia"/>
                <w:sz w:val="24"/>
              </w:rPr>
              <w:t>①</w:t>
            </w:r>
            <w:r>
              <w:rPr>
                <w:sz w:val="24"/>
              </w:rPr>
              <w:t>施工生产废水</w:t>
            </w:r>
            <w:r>
              <w:rPr>
                <w:rFonts w:hint="eastAsia"/>
                <w:sz w:val="24"/>
              </w:rPr>
              <w:t>：拟建设沉淀池，施工生产废水经沉淀后回用于场地洒水降尘。</w:t>
            </w:r>
          </w:p>
          <w:p>
            <w:pPr>
              <w:adjustRightInd w:val="0"/>
              <w:snapToGrid w:val="0"/>
              <w:spacing w:line="360" w:lineRule="auto"/>
              <w:ind w:firstLine="480" w:firstLineChars="200"/>
              <w:rPr>
                <w:sz w:val="24"/>
              </w:rPr>
            </w:pPr>
            <w:r>
              <w:rPr>
                <w:rFonts w:hint="eastAsia"/>
                <w:sz w:val="24"/>
              </w:rPr>
              <w:t>②施工人员的生活污水：通过化粪池处理后用作农肥，不外排。</w:t>
            </w:r>
          </w:p>
          <w:p>
            <w:pPr>
              <w:numPr>
                <w:ilvl w:val="0"/>
                <w:numId w:val="5"/>
              </w:numPr>
              <w:adjustRightInd w:val="0"/>
              <w:snapToGrid w:val="0"/>
              <w:spacing w:line="360" w:lineRule="auto"/>
              <w:ind w:firstLine="482" w:firstLineChars="200"/>
              <w:rPr>
                <w:b/>
                <w:sz w:val="24"/>
              </w:rPr>
            </w:pPr>
            <w:r>
              <w:rPr>
                <w:b/>
                <w:sz w:val="24"/>
              </w:rPr>
              <w:t>施工期废气</w:t>
            </w:r>
            <w:r>
              <w:rPr>
                <w:rFonts w:hint="eastAsia"/>
                <w:b/>
                <w:sz w:val="24"/>
              </w:rPr>
              <w:t>污染防治措施</w:t>
            </w:r>
          </w:p>
          <w:p>
            <w:pPr>
              <w:adjustRightInd w:val="0"/>
              <w:snapToGrid w:val="0"/>
              <w:spacing w:line="360" w:lineRule="auto"/>
              <w:ind w:firstLine="480" w:firstLineChars="200"/>
              <w:rPr>
                <w:sz w:val="24"/>
              </w:rPr>
            </w:pPr>
            <w:r>
              <w:rPr>
                <w:rFonts w:hint="eastAsia"/>
                <w:sz w:val="24"/>
              </w:rPr>
              <w:t>①</w:t>
            </w:r>
            <w:r>
              <w:rPr>
                <w:sz w:val="24"/>
              </w:rPr>
              <w:t>土石方</w:t>
            </w:r>
            <w:r>
              <w:rPr>
                <w:rFonts w:hint="eastAsia"/>
                <w:sz w:val="24"/>
              </w:rPr>
              <w:t>开</w:t>
            </w:r>
            <w:r>
              <w:rPr>
                <w:sz w:val="24"/>
              </w:rPr>
              <w:t>挖扬尘</w:t>
            </w:r>
            <w:r>
              <w:rPr>
                <w:rFonts w:hint="eastAsia"/>
                <w:sz w:val="24"/>
              </w:rPr>
              <w:t>：避开大风天气施工并采取洒水降尘等措施可有效减少开完扬尘。</w:t>
            </w:r>
          </w:p>
          <w:p>
            <w:pPr>
              <w:adjustRightInd w:val="0"/>
              <w:snapToGrid w:val="0"/>
              <w:spacing w:line="360" w:lineRule="auto"/>
              <w:ind w:firstLine="480" w:firstLineChars="200"/>
              <w:rPr>
                <w:sz w:val="24"/>
              </w:rPr>
            </w:pPr>
            <w:r>
              <w:rPr>
                <w:rFonts w:hint="eastAsia"/>
                <w:sz w:val="24"/>
              </w:rPr>
              <w:t>②</w:t>
            </w:r>
            <w:r>
              <w:rPr>
                <w:sz w:val="24"/>
              </w:rPr>
              <w:t>材料的运输</w:t>
            </w:r>
            <w:r>
              <w:rPr>
                <w:rFonts w:hint="eastAsia"/>
                <w:sz w:val="24"/>
              </w:rPr>
              <w:t>：</w:t>
            </w:r>
            <w:r>
              <w:rPr>
                <w:sz w:val="24"/>
              </w:rPr>
              <w:t>应加强运输车辆管理，可采用加盖蓬布或将物料洒水等防护措施，并加强施工计划、管理手段。</w:t>
            </w:r>
          </w:p>
          <w:p>
            <w:pPr>
              <w:adjustRightInd w:val="0"/>
              <w:snapToGrid w:val="0"/>
              <w:spacing w:line="360" w:lineRule="auto"/>
              <w:ind w:firstLine="480" w:firstLineChars="200"/>
              <w:rPr>
                <w:sz w:val="24"/>
              </w:rPr>
            </w:pPr>
            <w:r>
              <w:rPr>
                <w:rFonts w:hint="eastAsia"/>
                <w:sz w:val="24"/>
              </w:rPr>
              <w:t>③机耕道的修建：</w:t>
            </w:r>
            <w:r>
              <w:rPr>
                <w:sz w:val="24"/>
              </w:rPr>
              <w:t>采取经常洒水降尘措施。通过洒水可有效地减少起尘量，降低施工便道扬尘对环境空气质量的影响。</w:t>
            </w:r>
            <w:r>
              <w:rPr>
                <w:rFonts w:hint="eastAsia"/>
                <w:sz w:val="24"/>
              </w:rPr>
              <w:t>施工期内对车辆行驶的路面实施洒水抑尘，每天洒水4~5次，可使扬尘减少70%左右，可有效地控制施工扬尘，并可将TSP污染距离缩小到20~50m范围。临用地南侧居民点处设置施工围挡。</w:t>
            </w:r>
          </w:p>
          <w:p>
            <w:pPr>
              <w:adjustRightInd w:val="0"/>
              <w:snapToGrid w:val="0"/>
              <w:spacing w:line="360" w:lineRule="auto"/>
              <w:ind w:firstLine="480" w:firstLineChars="200"/>
              <w:rPr>
                <w:sz w:val="24"/>
              </w:rPr>
            </w:pPr>
            <w:r>
              <w:rPr>
                <w:rFonts w:hint="eastAsia"/>
                <w:sz w:val="24"/>
              </w:rPr>
              <w:t>④</w:t>
            </w:r>
            <w:r>
              <w:rPr>
                <w:sz w:val="24"/>
              </w:rPr>
              <w:t>运输汽车尾气和施工机械设备尾气</w:t>
            </w:r>
            <w:r>
              <w:rPr>
                <w:rFonts w:hint="eastAsia"/>
                <w:sz w:val="24"/>
              </w:rPr>
              <w:t>：</w:t>
            </w:r>
            <w:r>
              <w:rPr>
                <w:sz w:val="24"/>
              </w:rPr>
              <w:t>采取限速、限载、加强汽车和施工机械设备维护保养等措施，可大大降低这部分废气对当地大气环境的不利影响。</w:t>
            </w:r>
          </w:p>
          <w:p>
            <w:pPr>
              <w:adjustRightInd w:val="0"/>
              <w:snapToGrid w:val="0"/>
              <w:spacing w:line="360" w:lineRule="auto"/>
              <w:ind w:firstLine="480" w:firstLineChars="200"/>
              <w:rPr>
                <w:sz w:val="24"/>
              </w:rPr>
            </w:pPr>
            <w:r>
              <w:rPr>
                <w:sz w:val="24"/>
              </w:rPr>
              <w:t>综上所述，在施工建设单位落实上述环保治理措施的基础上，施工废气对当地大气环境的影响较小，不会改变当地大气环境的质量功能，</w:t>
            </w:r>
            <w:r>
              <w:rPr>
                <w:rFonts w:hint="eastAsia"/>
                <w:sz w:val="24"/>
              </w:rPr>
              <w:t>施工扬尘的产生与影响是有时间性的，它随着施工的结束而自行消失。</w:t>
            </w:r>
          </w:p>
          <w:p>
            <w:pPr>
              <w:numPr>
                <w:ilvl w:val="0"/>
                <w:numId w:val="5"/>
              </w:numPr>
              <w:adjustRightInd w:val="0"/>
              <w:snapToGrid w:val="0"/>
              <w:spacing w:line="360" w:lineRule="auto"/>
              <w:ind w:firstLine="482" w:firstLineChars="200"/>
              <w:rPr>
                <w:b/>
                <w:sz w:val="24"/>
              </w:rPr>
            </w:pPr>
            <w:r>
              <w:rPr>
                <w:b/>
                <w:sz w:val="24"/>
              </w:rPr>
              <w:t>施工期噪声</w:t>
            </w:r>
            <w:r>
              <w:rPr>
                <w:rFonts w:hint="eastAsia"/>
                <w:b/>
                <w:sz w:val="24"/>
              </w:rPr>
              <w:t>污染防治措施</w:t>
            </w:r>
          </w:p>
          <w:p>
            <w:pPr>
              <w:adjustRightInd w:val="0"/>
              <w:snapToGrid w:val="0"/>
              <w:spacing w:line="360" w:lineRule="auto"/>
              <w:ind w:firstLine="480" w:firstLineChars="200"/>
              <w:rPr>
                <w:sz w:val="24"/>
              </w:rPr>
            </w:pPr>
            <w:r>
              <w:rPr>
                <w:sz w:val="24"/>
              </w:rPr>
              <w:t>施工建设单位通过：</w:t>
            </w:r>
            <w:r>
              <w:rPr>
                <w:sz w:val="24"/>
              </w:rPr>
              <w:fldChar w:fldCharType="begin"/>
            </w:r>
            <w:r>
              <w:rPr>
                <w:sz w:val="24"/>
              </w:rPr>
              <w:instrText xml:space="preserve"> = 1 \* GB3 \* MERGEFORMAT </w:instrText>
            </w:r>
            <w:r>
              <w:rPr>
                <w:sz w:val="24"/>
              </w:rPr>
              <w:fldChar w:fldCharType="separate"/>
            </w:r>
            <w:r>
              <w:rPr>
                <w:sz w:val="24"/>
              </w:rPr>
              <w:t>①</w:t>
            </w:r>
            <w:r>
              <w:rPr>
                <w:sz w:val="24"/>
              </w:rPr>
              <w:fldChar w:fldCharType="end"/>
            </w:r>
            <w:r>
              <w:rPr>
                <w:sz w:val="24"/>
              </w:rPr>
              <w:t>优化施工设备分布；</w:t>
            </w:r>
            <w:r>
              <w:rPr>
                <w:sz w:val="24"/>
              </w:rPr>
              <w:fldChar w:fldCharType="begin"/>
            </w:r>
            <w:r>
              <w:rPr>
                <w:sz w:val="24"/>
              </w:rPr>
              <w:instrText xml:space="preserve"> = 2 \* GB3 \* MERGEFORMAT </w:instrText>
            </w:r>
            <w:r>
              <w:rPr>
                <w:sz w:val="24"/>
              </w:rPr>
              <w:fldChar w:fldCharType="separate"/>
            </w:r>
            <w:r>
              <w:rPr>
                <w:sz w:val="24"/>
              </w:rPr>
              <w:t>②</w:t>
            </w:r>
            <w:r>
              <w:rPr>
                <w:sz w:val="24"/>
              </w:rPr>
              <w:fldChar w:fldCharType="end"/>
            </w:r>
            <w:r>
              <w:rPr>
                <w:sz w:val="24"/>
              </w:rPr>
              <w:t>对施工设备采取安装消声器、设置建筑物隔声等措施来降低施工噪声，减小对外环境的影响；</w:t>
            </w:r>
            <w:r>
              <w:rPr>
                <w:sz w:val="24"/>
              </w:rPr>
              <w:fldChar w:fldCharType="begin"/>
            </w:r>
            <w:r>
              <w:rPr>
                <w:sz w:val="24"/>
              </w:rPr>
              <w:instrText xml:space="preserve"> = 3 \* GB3 \* MERGEFORMAT </w:instrText>
            </w:r>
            <w:r>
              <w:rPr>
                <w:sz w:val="24"/>
              </w:rPr>
              <w:fldChar w:fldCharType="separate"/>
            </w:r>
            <w:r>
              <w:rPr>
                <w:sz w:val="24"/>
              </w:rPr>
              <w:t>③</w:t>
            </w:r>
            <w:r>
              <w:rPr>
                <w:sz w:val="24"/>
              </w:rPr>
              <w:fldChar w:fldCharType="end"/>
            </w:r>
            <w:r>
              <w:rPr>
                <w:sz w:val="24"/>
              </w:rPr>
              <w:t>工作人员平时需要加强施工设备的维护，使施工设备运行在良好状态；</w:t>
            </w:r>
            <w:r>
              <w:rPr>
                <w:sz w:val="24"/>
              </w:rPr>
              <w:fldChar w:fldCharType="begin"/>
            </w:r>
            <w:r>
              <w:rPr>
                <w:sz w:val="24"/>
              </w:rPr>
              <w:instrText xml:space="preserve"> = 4 \* GB3 \* MERGEFORMAT </w:instrText>
            </w:r>
            <w:r>
              <w:rPr>
                <w:sz w:val="24"/>
              </w:rPr>
              <w:fldChar w:fldCharType="separate"/>
            </w:r>
            <w:r>
              <w:rPr>
                <w:sz w:val="24"/>
              </w:rPr>
              <w:t>④</w:t>
            </w:r>
            <w:r>
              <w:rPr>
                <w:sz w:val="24"/>
              </w:rPr>
              <w:fldChar w:fldCharType="end"/>
            </w:r>
            <w:r>
              <w:rPr>
                <w:sz w:val="24"/>
              </w:rPr>
              <w:t>在中午（12：00－14：00）和夜间（22：00－06：00）禁止有较大噪声产生的施工作业。</w:t>
            </w:r>
          </w:p>
          <w:p>
            <w:pPr>
              <w:numPr>
                <w:ilvl w:val="0"/>
                <w:numId w:val="5"/>
              </w:numPr>
              <w:adjustRightInd w:val="0"/>
              <w:snapToGrid w:val="0"/>
              <w:spacing w:line="360" w:lineRule="auto"/>
              <w:ind w:firstLine="482" w:firstLineChars="200"/>
              <w:rPr>
                <w:b/>
                <w:sz w:val="24"/>
              </w:rPr>
            </w:pPr>
            <w:r>
              <w:rPr>
                <w:b/>
                <w:sz w:val="24"/>
              </w:rPr>
              <w:t>施工期固废</w:t>
            </w:r>
            <w:r>
              <w:rPr>
                <w:rFonts w:hint="eastAsia"/>
                <w:b/>
                <w:sz w:val="24"/>
              </w:rPr>
              <w:t>污染防治措施</w:t>
            </w:r>
          </w:p>
          <w:p>
            <w:pPr>
              <w:autoSpaceDE w:val="0"/>
              <w:autoSpaceDN w:val="0"/>
              <w:adjustRightInd w:val="0"/>
              <w:spacing w:line="360" w:lineRule="auto"/>
              <w:ind w:firstLine="480" w:firstLineChars="200"/>
              <w:rPr>
                <w:sz w:val="24"/>
              </w:rPr>
            </w:pPr>
            <w:r>
              <w:rPr>
                <w:rFonts w:hint="eastAsia"/>
                <w:sz w:val="24"/>
              </w:rPr>
              <w:t>①</w:t>
            </w:r>
            <w:r>
              <w:rPr>
                <w:sz w:val="24"/>
              </w:rPr>
              <w:t>建筑垃圾</w:t>
            </w:r>
            <w:r>
              <w:rPr>
                <w:rFonts w:hint="eastAsia"/>
                <w:sz w:val="24"/>
              </w:rPr>
              <w:t>：</w:t>
            </w:r>
            <w:r>
              <w:rPr>
                <w:sz w:val="24"/>
              </w:rPr>
              <w:t>施工产生建筑垃圾均属于一般固废，对于这些废物，应集中处理，分类收集并尽可能的回收再利用，不能回收的统一收集后，及时清运到城建部门指定的建筑垃圾堆放点堆放。</w:t>
            </w:r>
          </w:p>
          <w:p>
            <w:pPr>
              <w:adjustRightInd w:val="0"/>
              <w:snapToGrid w:val="0"/>
              <w:spacing w:line="360" w:lineRule="auto"/>
              <w:ind w:firstLine="480" w:firstLineChars="200"/>
              <w:rPr>
                <w:sz w:val="24"/>
              </w:rPr>
            </w:pPr>
            <w:r>
              <w:rPr>
                <w:rFonts w:hint="eastAsia"/>
                <w:sz w:val="24"/>
              </w:rPr>
              <w:t>②</w:t>
            </w:r>
            <w:r>
              <w:rPr>
                <w:sz w:val="24"/>
              </w:rPr>
              <w:t>生活垃圾</w:t>
            </w:r>
            <w:r>
              <w:rPr>
                <w:rFonts w:hint="eastAsia"/>
                <w:sz w:val="24"/>
              </w:rPr>
              <w:t>：</w:t>
            </w:r>
            <w:r>
              <w:rPr>
                <w:sz w:val="24"/>
              </w:rPr>
              <w:t>设置临时垃圾收集桶，收集的生活垃圾交环卫部门处置。</w:t>
            </w:r>
          </w:p>
          <w:p>
            <w:pPr>
              <w:adjustRightInd w:val="0"/>
              <w:snapToGrid w:val="0"/>
              <w:spacing w:line="360" w:lineRule="auto"/>
              <w:ind w:firstLine="482" w:firstLineChars="200"/>
              <w:rPr>
                <w:b/>
                <w:color w:val="000000"/>
                <w:sz w:val="24"/>
              </w:rPr>
            </w:pPr>
            <w:r>
              <w:rPr>
                <w:rFonts w:hint="eastAsia"/>
                <w:b/>
                <w:color w:val="000000"/>
                <w:sz w:val="24"/>
              </w:rPr>
              <w:t>5、</w:t>
            </w:r>
            <w:r>
              <w:rPr>
                <w:b/>
                <w:color w:val="000000"/>
                <w:sz w:val="24"/>
              </w:rPr>
              <w:t>水土流失</w:t>
            </w:r>
          </w:p>
          <w:p>
            <w:pPr>
              <w:adjustRightInd w:val="0"/>
              <w:snapToGrid w:val="0"/>
              <w:spacing w:line="360" w:lineRule="auto"/>
              <w:ind w:firstLine="480" w:firstLineChars="200"/>
              <w:rPr>
                <w:color w:val="000000"/>
                <w:sz w:val="24"/>
              </w:rPr>
            </w:pPr>
            <w:r>
              <w:rPr>
                <w:rFonts w:hint="eastAsia" w:ascii="宋体" w:hAnsi="宋体"/>
                <w:color w:val="000000"/>
                <w:sz w:val="24"/>
              </w:rPr>
              <w:t>①</w:t>
            </w:r>
            <w:r>
              <w:rPr>
                <w:color w:val="000000"/>
                <w:sz w:val="24"/>
              </w:rPr>
              <w:t>合理选择施工期</w:t>
            </w:r>
            <w:r>
              <w:rPr>
                <w:rFonts w:hint="eastAsia"/>
                <w:color w:val="000000"/>
                <w:sz w:val="24"/>
              </w:rPr>
              <w:t>以及科学的施工方式。</w:t>
            </w:r>
            <w:r>
              <w:rPr>
                <w:color w:val="000000"/>
                <w:sz w:val="24"/>
              </w:rPr>
              <w:t>避免在</w:t>
            </w:r>
            <w:r>
              <w:rPr>
                <w:rFonts w:hint="eastAsia"/>
                <w:color w:val="000000"/>
                <w:sz w:val="24"/>
              </w:rPr>
              <w:t>强</w:t>
            </w:r>
            <w:r>
              <w:rPr>
                <w:color w:val="000000"/>
                <w:sz w:val="24"/>
              </w:rPr>
              <w:t>暴雨</w:t>
            </w:r>
            <w:r>
              <w:rPr>
                <w:rFonts w:hint="eastAsia"/>
                <w:color w:val="000000"/>
                <w:sz w:val="24"/>
              </w:rPr>
              <w:t>季节施工</w:t>
            </w:r>
            <w:r>
              <w:rPr>
                <w:color w:val="000000"/>
                <w:sz w:val="24"/>
              </w:rPr>
              <w:t>；雨季施工时，应备有防雨布覆盖开挖面和土堆，防治汛期造成水土流失，平时应尽量保持表面平整，减少雨水冲刷；</w:t>
            </w:r>
          </w:p>
          <w:p>
            <w:pPr>
              <w:adjustRightInd w:val="0"/>
              <w:snapToGrid w:val="0"/>
              <w:spacing w:line="360" w:lineRule="auto"/>
              <w:ind w:firstLine="480" w:firstLineChars="200"/>
              <w:rPr>
                <w:color w:val="000000"/>
                <w:sz w:val="24"/>
              </w:rPr>
            </w:pPr>
            <w:r>
              <w:rPr>
                <w:rFonts w:hint="eastAsia" w:ascii="宋体" w:hAnsi="宋体"/>
                <w:color w:val="000000"/>
                <w:sz w:val="24"/>
              </w:rPr>
              <w:t>②</w:t>
            </w:r>
            <w:r>
              <w:rPr>
                <w:color w:val="000000"/>
                <w:sz w:val="24"/>
              </w:rPr>
              <w:t>施工中</w:t>
            </w:r>
            <w:r>
              <w:rPr>
                <w:rFonts w:hint="eastAsia"/>
                <w:color w:val="000000"/>
                <w:sz w:val="24"/>
              </w:rPr>
              <w:t>应首先选择在厂区四周设置截洪沟、挡土墙的修建，避免暴雨时雨水直接冲涮项目区域</w:t>
            </w:r>
            <w:r>
              <w:rPr>
                <w:color w:val="000000"/>
                <w:sz w:val="24"/>
              </w:rPr>
              <w:t>，确保暴雨时不出现大量水土流失。</w:t>
            </w:r>
          </w:p>
          <w:p>
            <w:pPr>
              <w:adjustRightInd w:val="0"/>
              <w:snapToGrid w:val="0"/>
              <w:spacing w:line="360" w:lineRule="auto"/>
              <w:ind w:firstLine="480" w:firstLineChars="200"/>
              <w:rPr>
                <w:color w:val="000000"/>
                <w:sz w:val="24"/>
              </w:rPr>
            </w:pPr>
            <w:r>
              <w:rPr>
                <w:rFonts w:hint="eastAsia" w:ascii="宋体" w:hAnsi="宋体"/>
                <w:color w:val="000000"/>
                <w:sz w:val="24"/>
              </w:rPr>
              <w:t>③</w:t>
            </w:r>
            <w:r>
              <w:rPr>
                <w:color w:val="000000"/>
                <w:sz w:val="24"/>
              </w:rPr>
              <w:t>设备堆放场、材料堆放场的防径流措施应加强，废土、废渣应及时运出填埋，防止出现废土、渣处置不妥而导致的水土流失</w:t>
            </w:r>
            <w:r>
              <w:rPr>
                <w:rFonts w:hint="eastAsia"/>
                <w:color w:val="000000"/>
                <w:sz w:val="24"/>
              </w:rPr>
              <w:t>。</w:t>
            </w:r>
          </w:p>
          <w:p>
            <w:pPr>
              <w:adjustRightInd w:val="0"/>
              <w:snapToGrid w:val="0"/>
              <w:spacing w:line="360" w:lineRule="auto"/>
              <w:ind w:firstLine="482" w:firstLineChars="200"/>
              <w:jc w:val="left"/>
              <w:rPr>
                <w:rFonts w:ascii="宋体" w:hAnsi="宋体"/>
                <w:b/>
                <w:bCs/>
                <w:sz w:val="24"/>
              </w:rPr>
            </w:pPr>
            <w:r>
              <w:rPr>
                <w:b/>
                <w:bCs/>
                <w:sz w:val="24"/>
              </w:rPr>
              <w:t>6、生态环境影响</w:t>
            </w:r>
            <w:r>
              <w:rPr>
                <w:rFonts w:hint="eastAsia" w:ascii="宋体" w:hAnsi="宋体"/>
                <w:b/>
                <w:bCs/>
                <w:sz w:val="24"/>
              </w:rPr>
              <w:t>分析</w:t>
            </w:r>
          </w:p>
          <w:p>
            <w:pPr>
              <w:adjustRightInd w:val="0"/>
              <w:snapToGrid w:val="0"/>
              <w:spacing w:line="360" w:lineRule="auto"/>
              <w:ind w:firstLine="480" w:firstLineChars="200"/>
              <w:rPr>
                <w:sz w:val="24"/>
              </w:rPr>
            </w:pPr>
            <w:r>
              <w:rPr>
                <w:rFonts w:hint="eastAsia"/>
                <w:sz w:val="24"/>
              </w:rPr>
              <w:t>①保护熟土及土地复垦</w:t>
            </w:r>
          </w:p>
          <w:p>
            <w:pPr>
              <w:adjustRightInd w:val="0"/>
              <w:snapToGrid w:val="0"/>
              <w:spacing w:line="360" w:lineRule="auto"/>
              <w:ind w:firstLine="480" w:firstLineChars="200"/>
              <w:rPr>
                <w:sz w:val="24"/>
              </w:rPr>
            </w:pPr>
            <w:r>
              <w:rPr>
                <w:rFonts w:hint="eastAsia"/>
                <w:sz w:val="24"/>
              </w:rPr>
              <w:t>施工中应明确对于工程征地内有肥力的原始表土层进行剥离，用于蛙池围筑，以备养殖结束后用作场地恢复。</w:t>
            </w:r>
          </w:p>
          <w:p>
            <w:pPr>
              <w:adjustRightInd w:val="0"/>
              <w:snapToGrid w:val="0"/>
              <w:spacing w:line="360" w:lineRule="auto"/>
              <w:ind w:firstLine="480" w:firstLineChars="200"/>
              <w:rPr>
                <w:sz w:val="24"/>
              </w:rPr>
            </w:pPr>
            <w:r>
              <w:rPr>
                <w:rFonts w:hint="eastAsia"/>
                <w:sz w:val="24"/>
              </w:rPr>
              <w:t>②加强生态环保宣传教育工作</w:t>
            </w:r>
          </w:p>
          <w:p>
            <w:pPr>
              <w:adjustRightInd w:val="0"/>
              <w:snapToGrid w:val="0"/>
              <w:spacing w:line="360" w:lineRule="auto"/>
              <w:ind w:firstLine="480" w:firstLineChars="200"/>
              <w:rPr>
                <w:sz w:val="24"/>
              </w:rPr>
            </w:pPr>
            <w:r>
              <w:rPr>
                <w:rFonts w:hint="eastAsia"/>
                <w:sz w:val="24"/>
              </w:rPr>
              <w:t>应加强对施工人员的生态环境保护的宣传教育工作，在工地及周边地区，设立与环境保护有关的科普性宣传牌，包括生态保护的科普知识、相关法规、拟采用的生态保护措施及意义等。</w:t>
            </w:r>
          </w:p>
          <w:p>
            <w:pPr>
              <w:adjustRightInd w:val="0"/>
              <w:snapToGrid w:val="0"/>
              <w:spacing w:line="360" w:lineRule="auto"/>
              <w:ind w:firstLine="480" w:firstLineChars="200"/>
              <w:rPr>
                <w:sz w:val="24"/>
              </w:rPr>
            </w:pPr>
            <w:r>
              <w:rPr>
                <w:rFonts w:hint="eastAsia"/>
                <w:sz w:val="24"/>
              </w:rPr>
              <w:t>③植被保护和恢复措施</w:t>
            </w:r>
          </w:p>
          <w:p>
            <w:pPr>
              <w:adjustRightInd w:val="0"/>
              <w:snapToGrid w:val="0"/>
              <w:spacing w:line="360" w:lineRule="auto"/>
              <w:ind w:firstLine="480" w:firstLineChars="200"/>
              <w:rPr>
                <w:sz w:val="24"/>
              </w:rPr>
            </w:pPr>
            <w:r>
              <w:rPr>
                <w:rFonts w:hint="eastAsia"/>
                <w:sz w:val="24"/>
              </w:rPr>
              <w:t>1）严格按照设计确定征占地范围，进行地表植被的清理工作。严格执行划界施工，禁止对征地范围之外的植被造成破坏，避免超挖破坏周围植被。</w:t>
            </w:r>
          </w:p>
          <w:p>
            <w:pPr>
              <w:adjustRightInd w:val="0"/>
              <w:snapToGrid w:val="0"/>
              <w:spacing w:line="360" w:lineRule="auto"/>
              <w:ind w:firstLine="480" w:firstLineChars="200"/>
              <w:rPr>
                <w:sz w:val="24"/>
              </w:rPr>
            </w:pPr>
            <w:r>
              <w:rPr>
                <w:rFonts w:hint="eastAsia"/>
                <w:sz w:val="24"/>
              </w:rPr>
              <w:t>2）施工工区等临时建筑尽可能采用成品或简易拼装方式，尽量减轻对土壤及植被的破坏。</w:t>
            </w:r>
          </w:p>
          <w:p>
            <w:pPr>
              <w:adjustRightInd w:val="0"/>
              <w:snapToGrid w:val="0"/>
              <w:spacing w:line="360" w:lineRule="auto"/>
              <w:ind w:firstLine="480" w:firstLineChars="200"/>
              <w:rPr>
                <w:sz w:val="24"/>
              </w:rPr>
            </w:pPr>
            <w:r>
              <w:rPr>
                <w:rFonts w:hint="eastAsia"/>
                <w:sz w:val="24"/>
              </w:rPr>
              <w:t>3）倡导绿色施工，对施工期的环境保护作出具体规定，通过有效的管理制度，最大限度地减少工程对生态环境的不利影响。</w:t>
            </w:r>
          </w:p>
          <w:p>
            <w:pPr>
              <w:adjustRightInd w:val="0"/>
              <w:snapToGrid w:val="0"/>
              <w:spacing w:line="360" w:lineRule="auto"/>
              <w:ind w:firstLine="480" w:firstLineChars="200"/>
              <w:rPr>
                <w:sz w:val="24"/>
              </w:rPr>
            </w:pPr>
            <w:r>
              <w:rPr>
                <w:rFonts w:hint="eastAsia"/>
                <w:sz w:val="24"/>
              </w:rPr>
              <w:t>④野生动植物保护要求</w:t>
            </w:r>
          </w:p>
          <w:p>
            <w:pPr>
              <w:adjustRightInd w:val="0"/>
              <w:snapToGrid w:val="0"/>
              <w:spacing w:line="360" w:lineRule="auto"/>
              <w:ind w:firstLine="480" w:firstLineChars="200"/>
              <w:rPr>
                <w:sz w:val="24"/>
              </w:rPr>
            </w:pPr>
            <w:r>
              <w:rPr>
                <w:rFonts w:hint="eastAsia"/>
                <w:sz w:val="24"/>
              </w:rPr>
              <w:t>1）施工前加强施工人员的环保教育，禁止施工人员随意破坏植被和猎捕野生动物。</w:t>
            </w:r>
          </w:p>
          <w:p>
            <w:pPr>
              <w:adjustRightInd w:val="0"/>
              <w:snapToGrid w:val="0"/>
              <w:spacing w:line="360" w:lineRule="auto"/>
              <w:ind w:firstLine="480" w:firstLineChars="200"/>
              <w:rPr>
                <w:sz w:val="24"/>
              </w:rPr>
            </w:pPr>
            <w:r>
              <w:rPr>
                <w:rFonts w:hint="eastAsia"/>
                <w:sz w:val="24"/>
              </w:rPr>
              <w:t>2）优化工程施工时段和方式，减少对动物的影响。防治施工噪声对野生动物的惊扰。野生鸟类和兽类大多是晨、昏或夜间外出觅食，正午是鸟类休息时间。为了减少工程施工噪声对野生动物的惊扰，应做好施工方式、数量、时间的计划，并力求避免在晨昏、正午和夜间等时段进行高噪声施工等。</w:t>
            </w:r>
          </w:p>
          <w:p>
            <w:pPr>
              <w:adjustRightInd w:val="0"/>
              <w:snapToGrid w:val="0"/>
              <w:spacing w:line="360" w:lineRule="auto"/>
              <w:ind w:firstLine="480" w:firstLineChars="200"/>
              <w:rPr>
                <w:sz w:val="24"/>
              </w:rPr>
            </w:pPr>
            <w:r>
              <w:rPr>
                <w:rFonts w:hint="eastAsia"/>
                <w:sz w:val="24"/>
              </w:rPr>
              <w:t>3）防治动物生境污染。人类的活动增加，会给环境污染带来新的隐患。必须加强管理，减少污染，保护水禽，防止破坏新的景观。施工期间加强施工人员的各类卫生管理（如个人卫生、粪便和生活污水），避免生活污水的直接排放，减少水体污染，保护水生生物的物种多样性；加强管理、减少污染。</w:t>
            </w:r>
          </w:p>
          <w:p>
            <w:pPr>
              <w:adjustRightInd w:val="0"/>
              <w:snapToGrid w:val="0"/>
              <w:spacing w:line="360" w:lineRule="auto"/>
              <w:ind w:firstLine="480" w:firstLineChars="200"/>
              <w:rPr>
                <w:sz w:val="24"/>
              </w:rPr>
            </w:pPr>
            <w:r>
              <w:rPr>
                <w:rFonts w:hint="eastAsia"/>
                <w:sz w:val="24"/>
              </w:rPr>
              <w:t>⑤施工期水土流失防治措施</w:t>
            </w:r>
          </w:p>
          <w:p>
            <w:pPr>
              <w:adjustRightInd w:val="0"/>
              <w:snapToGrid w:val="0"/>
              <w:spacing w:line="360" w:lineRule="auto"/>
              <w:ind w:firstLine="480" w:firstLineChars="200"/>
              <w:rPr>
                <w:sz w:val="24"/>
              </w:rPr>
            </w:pPr>
            <w:r>
              <w:rPr>
                <w:rFonts w:hint="eastAsia"/>
                <w:sz w:val="24"/>
              </w:rPr>
              <w:t>项目在施工期间，占地范围内的地表植被已遭破坏，其排水系统尚未建成，水土流失量会比施工前明显增加，必须采取合理的水土保持措施以减轻水土流失的环境影响。</w:t>
            </w:r>
          </w:p>
          <w:p>
            <w:pPr>
              <w:adjustRightInd w:val="0"/>
              <w:snapToGrid w:val="0"/>
              <w:spacing w:line="360" w:lineRule="auto"/>
              <w:ind w:firstLine="480" w:firstLineChars="200"/>
              <w:rPr>
                <w:sz w:val="24"/>
              </w:rPr>
            </w:pPr>
            <w:r>
              <w:rPr>
                <w:rFonts w:hint="eastAsia"/>
                <w:sz w:val="24"/>
              </w:rPr>
              <w:t>1）合理安排施工单元，减少施工面的裸露时间，尽量避免施工场地的大面积裸露。</w:t>
            </w:r>
          </w:p>
          <w:p>
            <w:pPr>
              <w:adjustRightInd w:val="0"/>
              <w:snapToGrid w:val="0"/>
              <w:spacing w:line="360" w:lineRule="auto"/>
              <w:ind w:firstLine="480" w:firstLineChars="200"/>
              <w:rPr>
                <w:sz w:val="24"/>
              </w:rPr>
            </w:pPr>
            <w:r>
              <w:rPr>
                <w:rFonts w:hint="eastAsia"/>
                <w:sz w:val="24"/>
              </w:rPr>
              <w:t>2）优化工程方案，尽量保持原有的地形地貌，减少土石方开挖量。</w:t>
            </w:r>
          </w:p>
          <w:p>
            <w:pPr>
              <w:adjustRightInd w:val="0"/>
              <w:snapToGrid w:val="0"/>
              <w:spacing w:line="360" w:lineRule="auto"/>
              <w:ind w:firstLine="480" w:firstLineChars="200"/>
              <w:rPr>
                <w:bCs/>
                <w:spacing w:val="10"/>
                <w:sz w:val="24"/>
                <w:highlight w:val="yellow"/>
              </w:rPr>
            </w:pPr>
            <w:r>
              <w:rPr>
                <w:rFonts w:hint="eastAsia"/>
                <w:sz w:val="24"/>
              </w:rPr>
              <w:t>3）施工期间，应该尽可能采取临时措施进行水土保持，以将施工所引起的水土流失降低到最小限度。例如，应该将堆料和挖出来的土石方堆放在不容易受到地面径流冲刷的地方，或将容易冲刷堆料临时覆盖起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08" w:type="pct"/>
            <w:tcBorders>
              <w:tl2br w:val="nil"/>
              <w:tr2bl w:val="nil"/>
            </w:tcBorders>
            <w:tcMar>
              <w:left w:w="28" w:type="dxa"/>
              <w:right w:w="28" w:type="dxa"/>
            </w:tcMar>
            <w:vAlign w:val="center"/>
          </w:tcPr>
          <w:p>
            <w:pPr>
              <w:adjustRightInd w:val="0"/>
              <w:snapToGrid w:val="0"/>
              <w:jc w:val="center"/>
              <w:rPr>
                <w:bCs/>
                <w:spacing w:val="10"/>
                <w:sz w:val="24"/>
                <w:highlight w:val="yellow"/>
              </w:rPr>
            </w:pPr>
            <w:r>
              <w:rPr>
                <w:bCs/>
                <w:spacing w:val="10"/>
                <w:sz w:val="24"/>
              </w:rPr>
              <w:t>运营期生态环境保护措施</w:t>
            </w:r>
          </w:p>
        </w:tc>
        <w:tc>
          <w:tcPr>
            <w:tcW w:w="4591" w:type="pct"/>
            <w:tcBorders>
              <w:tl2br w:val="nil"/>
              <w:tr2bl w:val="nil"/>
            </w:tcBorders>
          </w:tcPr>
          <w:p>
            <w:pPr>
              <w:adjustRightInd w:val="0"/>
              <w:snapToGrid w:val="0"/>
              <w:spacing w:line="360" w:lineRule="auto"/>
              <w:ind w:firstLine="482" w:firstLineChars="200"/>
              <w:rPr>
                <w:sz w:val="24"/>
              </w:rPr>
            </w:pPr>
            <w:r>
              <w:rPr>
                <w:rFonts w:hint="eastAsia"/>
                <w:b/>
                <w:bCs/>
                <w:sz w:val="24"/>
              </w:rPr>
              <w:t>1、大气</w:t>
            </w:r>
            <w:r>
              <w:rPr>
                <w:b/>
                <w:bCs/>
                <w:sz w:val="24"/>
              </w:rPr>
              <w:t>环境污染防治措施</w:t>
            </w:r>
          </w:p>
          <w:p>
            <w:pPr>
              <w:adjustRightInd w:val="0"/>
              <w:snapToGrid w:val="0"/>
              <w:spacing w:line="360" w:lineRule="auto"/>
              <w:ind w:firstLine="480" w:firstLineChars="200"/>
              <w:rPr>
                <w:color w:val="000000"/>
                <w:sz w:val="24"/>
                <w:szCs w:val="21"/>
                <w:u w:val="single"/>
              </w:rPr>
            </w:pPr>
            <w:r>
              <w:rPr>
                <w:rFonts w:hint="eastAsia"/>
                <w:color w:val="000000"/>
                <w:sz w:val="24"/>
                <w:szCs w:val="21"/>
                <w:u w:val="single"/>
              </w:rPr>
              <w:t>项目为稻蛙共作生态养殖项目，蛙在养殖过程中会产生臭气。</w:t>
            </w:r>
          </w:p>
          <w:p>
            <w:pPr>
              <w:adjustRightInd w:val="0"/>
              <w:snapToGrid w:val="0"/>
              <w:spacing w:line="360" w:lineRule="auto"/>
              <w:ind w:firstLine="480" w:firstLineChars="200"/>
              <w:rPr>
                <w:sz w:val="24"/>
              </w:rPr>
            </w:pPr>
            <w:r>
              <w:rPr>
                <w:rFonts w:hint="eastAsia"/>
                <w:color w:val="000000"/>
                <w:sz w:val="24"/>
                <w:szCs w:val="21"/>
                <w:u w:val="single"/>
              </w:rPr>
              <w:t>【治理措施】：为了进一步减少养殖臭气对周边居民的影响，建议项目在厂区内定期喷洒除臭剂，减少养殖臭气对周边大气环境的影响。</w:t>
            </w:r>
          </w:p>
          <w:p>
            <w:pPr>
              <w:tabs>
                <w:tab w:val="left" w:pos="0"/>
                <w:tab w:val="left" w:pos="870"/>
                <w:tab w:val="left" w:pos="3150"/>
              </w:tabs>
              <w:autoSpaceDE w:val="0"/>
              <w:autoSpaceDN w:val="0"/>
              <w:adjustRightInd w:val="0"/>
              <w:snapToGrid w:val="0"/>
              <w:spacing w:line="360" w:lineRule="auto"/>
              <w:ind w:firstLine="480" w:firstLineChars="200"/>
              <w:rPr>
                <w:color w:val="000000"/>
                <w:sz w:val="24"/>
                <w:u w:val="single"/>
              </w:rPr>
            </w:pPr>
            <w:r>
              <w:rPr>
                <w:rFonts w:hint="eastAsia"/>
                <w:color w:val="000000"/>
                <w:sz w:val="24"/>
                <w:u w:val="single"/>
              </w:rPr>
              <w:t>（1）环境监测计划</w:t>
            </w:r>
          </w:p>
          <w:p>
            <w:pPr>
              <w:adjustRightInd w:val="0"/>
              <w:snapToGrid w:val="0"/>
              <w:spacing w:line="360" w:lineRule="auto"/>
              <w:ind w:firstLine="480" w:firstLineChars="200"/>
              <w:rPr>
                <w:b/>
                <w:color w:val="000000"/>
                <w:szCs w:val="21"/>
                <w:u w:val="single"/>
              </w:rPr>
            </w:pPr>
            <w:r>
              <w:rPr>
                <w:color w:val="000000"/>
                <w:sz w:val="24"/>
                <w:szCs w:val="22"/>
                <w:u w:val="single"/>
              </w:rPr>
              <w:t>为及时了解污染源情况，项目要经常开展污染源和环境质量的监测工作，及时发现环境污染问题，并加以控制和解决。可委托有资质的环境监测单位进行</w:t>
            </w:r>
            <w:r>
              <w:rPr>
                <w:rFonts w:hint="eastAsia"/>
                <w:color w:val="000000"/>
                <w:sz w:val="24"/>
                <w:szCs w:val="22"/>
                <w:u w:val="single"/>
              </w:rPr>
              <w:t>。</w:t>
            </w:r>
            <w:r>
              <w:rPr>
                <w:rFonts w:hint="eastAsia"/>
                <w:sz w:val="24"/>
                <w:u w:val="single"/>
              </w:rPr>
              <w:t>参照《</w:t>
            </w:r>
            <w:r>
              <w:rPr>
                <w:rFonts w:ascii="宋体" w:hAnsi="宋体" w:cs="宋体"/>
                <w:sz w:val="24"/>
                <w:u w:val="single"/>
              </w:rPr>
              <w:t>排污单位自行监测技术指</w:t>
            </w:r>
            <w:r>
              <w:rPr>
                <w:sz w:val="24"/>
                <w:u w:val="single"/>
              </w:rPr>
              <w:t>南总则》（HJ819-2017）</w:t>
            </w:r>
            <w:r>
              <w:rPr>
                <w:rFonts w:hint="eastAsia"/>
                <w:sz w:val="24"/>
                <w:u w:val="single"/>
              </w:rPr>
              <w:t>，</w:t>
            </w:r>
            <w:r>
              <w:rPr>
                <w:color w:val="000000"/>
                <w:sz w:val="24"/>
                <w:szCs w:val="22"/>
                <w:u w:val="single"/>
              </w:rPr>
              <w:t>根据本项目污染物排放实际情况，项目常规监测工作计划见表</w:t>
            </w:r>
            <w:r>
              <w:rPr>
                <w:rFonts w:hint="eastAsia"/>
                <w:color w:val="000000"/>
                <w:sz w:val="24"/>
                <w:szCs w:val="22"/>
                <w:u w:val="single"/>
              </w:rPr>
              <w:t>5</w:t>
            </w:r>
            <w:r>
              <w:rPr>
                <w:color w:val="000000"/>
                <w:sz w:val="24"/>
                <w:szCs w:val="22"/>
                <w:u w:val="single"/>
              </w:rPr>
              <w:t>-</w:t>
            </w:r>
            <w:r>
              <w:rPr>
                <w:rFonts w:hint="eastAsia"/>
                <w:color w:val="000000"/>
                <w:sz w:val="24"/>
                <w:szCs w:val="22"/>
                <w:u w:val="single"/>
              </w:rPr>
              <w:t>1</w:t>
            </w:r>
            <w:r>
              <w:rPr>
                <w:color w:val="000000"/>
                <w:sz w:val="24"/>
                <w:szCs w:val="22"/>
                <w:u w:val="single"/>
              </w:rPr>
              <w:t>。</w:t>
            </w:r>
          </w:p>
          <w:p>
            <w:pPr>
              <w:adjustRightInd w:val="0"/>
              <w:snapToGrid w:val="0"/>
              <w:jc w:val="center"/>
              <w:rPr>
                <w:b/>
                <w:color w:val="000000"/>
                <w:szCs w:val="21"/>
                <w:u w:val="single"/>
              </w:rPr>
            </w:pPr>
            <w:r>
              <w:rPr>
                <w:b/>
                <w:color w:val="000000"/>
                <w:szCs w:val="21"/>
                <w:u w:val="single"/>
              </w:rPr>
              <w:t>表</w:t>
            </w:r>
            <w:r>
              <w:rPr>
                <w:rFonts w:hint="eastAsia"/>
                <w:b/>
                <w:color w:val="000000"/>
                <w:szCs w:val="21"/>
                <w:u w:val="single"/>
              </w:rPr>
              <w:t>5</w:t>
            </w:r>
            <w:r>
              <w:rPr>
                <w:b/>
                <w:color w:val="000000"/>
                <w:szCs w:val="21"/>
                <w:u w:val="single"/>
              </w:rPr>
              <w:t>-</w:t>
            </w:r>
            <w:r>
              <w:rPr>
                <w:rFonts w:hint="eastAsia"/>
                <w:b/>
                <w:color w:val="000000"/>
                <w:szCs w:val="21"/>
                <w:u w:val="single"/>
              </w:rPr>
              <w:t>1</w:t>
            </w:r>
            <w:r>
              <w:rPr>
                <w:b/>
                <w:color w:val="000000"/>
                <w:szCs w:val="21"/>
                <w:u w:val="single"/>
              </w:rPr>
              <w:t xml:space="preserve"> 项目建成后</w:t>
            </w:r>
            <w:r>
              <w:rPr>
                <w:rFonts w:hint="eastAsia"/>
                <w:b/>
                <w:color w:val="000000"/>
                <w:szCs w:val="21"/>
                <w:u w:val="single"/>
              </w:rPr>
              <w:t>噪声</w:t>
            </w:r>
            <w:r>
              <w:rPr>
                <w:b/>
                <w:color w:val="000000"/>
                <w:szCs w:val="21"/>
                <w:u w:val="single"/>
              </w:rPr>
              <w:t>污染源监测计划</w:t>
            </w:r>
          </w:p>
          <w:tbl>
            <w:tblPr>
              <w:tblStyle w:val="2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5"/>
              <w:gridCol w:w="1477"/>
              <w:gridCol w:w="1521"/>
              <w:gridCol w:w="1233"/>
              <w:gridCol w:w="29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2" w:hRule="atLeast"/>
                <w:jc w:val="center"/>
              </w:trPr>
              <w:tc>
                <w:tcPr>
                  <w:tcW w:w="527" w:type="pct"/>
                  <w:vAlign w:val="center"/>
                </w:tcPr>
                <w:p>
                  <w:pPr>
                    <w:adjustRightInd w:val="0"/>
                    <w:snapToGrid w:val="0"/>
                    <w:jc w:val="center"/>
                    <w:rPr>
                      <w:kern w:val="0"/>
                      <w:szCs w:val="21"/>
                      <w:u w:val="single"/>
                    </w:rPr>
                  </w:pPr>
                  <w:r>
                    <w:rPr>
                      <w:kern w:val="0"/>
                      <w:szCs w:val="21"/>
                      <w:u w:val="single"/>
                    </w:rPr>
                    <w:t>监测项目</w:t>
                  </w:r>
                </w:p>
              </w:tc>
              <w:tc>
                <w:tcPr>
                  <w:tcW w:w="921" w:type="pct"/>
                  <w:vAlign w:val="center"/>
                </w:tcPr>
                <w:p>
                  <w:pPr>
                    <w:adjustRightInd w:val="0"/>
                    <w:snapToGrid w:val="0"/>
                    <w:jc w:val="center"/>
                    <w:rPr>
                      <w:kern w:val="0"/>
                      <w:szCs w:val="21"/>
                      <w:u w:val="single"/>
                    </w:rPr>
                  </w:pPr>
                  <w:r>
                    <w:rPr>
                      <w:kern w:val="0"/>
                      <w:szCs w:val="21"/>
                      <w:u w:val="single"/>
                    </w:rPr>
                    <w:t>监测点位</w:t>
                  </w:r>
                </w:p>
              </w:tc>
              <w:tc>
                <w:tcPr>
                  <w:tcW w:w="948" w:type="pct"/>
                  <w:vAlign w:val="center"/>
                </w:tcPr>
                <w:p>
                  <w:pPr>
                    <w:adjustRightInd w:val="0"/>
                    <w:snapToGrid w:val="0"/>
                    <w:jc w:val="center"/>
                    <w:rPr>
                      <w:kern w:val="0"/>
                      <w:szCs w:val="21"/>
                      <w:u w:val="single"/>
                    </w:rPr>
                  </w:pPr>
                  <w:r>
                    <w:rPr>
                      <w:kern w:val="0"/>
                      <w:szCs w:val="21"/>
                      <w:u w:val="single"/>
                    </w:rPr>
                    <w:t>监测因子</w:t>
                  </w:r>
                </w:p>
              </w:tc>
              <w:tc>
                <w:tcPr>
                  <w:tcW w:w="769" w:type="pct"/>
                  <w:vAlign w:val="center"/>
                </w:tcPr>
                <w:p>
                  <w:pPr>
                    <w:adjustRightInd w:val="0"/>
                    <w:snapToGrid w:val="0"/>
                    <w:jc w:val="center"/>
                    <w:rPr>
                      <w:kern w:val="0"/>
                      <w:szCs w:val="21"/>
                      <w:u w:val="single"/>
                    </w:rPr>
                  </w:pPr>
                  <w:r>
                    <w:rPr>
                      <w:kern w:val="0"/>
                      <w:szCs w:val="21"/>
                      <w:u w:val="single"/>
                    </w:rPr>
                    <w:t>监测频次</w:t>
                  </w:r>
                </w:p>
              </w:tc>
              <w:tc>
                <w:tcPr>
                  <w:tcW w:w="1833" w:type="pct"/>
                  <w:vAlign w:val="center"/>
                </w:tcPr>
                <w:p>
                  <w:pPr>
                    <w:adjustRightInd w:val="0"/>
                    <w:snapToGrid w:val="0"/>
                    <w:jc w:val="center"/>
                    <w:rPr>
                      <w:kern w:val="0"/>
                      <w:szCs w:val="21"/>
                      <w:u w:val="single"/>
                    </w:rPr>
                  </w:pPr>
                  <w:r>
                    <w:rPr>
                      <w:rFonts w:hint="eastAsia"/>
                      <w:kern w:val="0"/>
                      <w:szCs w:val="21"/>
                      <w:u w:val="single"/>
                    </w:rPr>
                    <w:t>执行排放标准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527" w:type="pct"/>
                  <w:vAlign w:val="center"/>
                </w:tcPr>
                <w:p>
                  <w:pPr>
                    <w:adjustRightInd w:val="0"/>
                    <w:snapToGrid w:val="0"/>
                    <w:jc w:val="center"/>
                    <w:rPr>
                      <w:kern w:val="0"/>
                      <w:szCs w:val="21"/>
                      <w:u w:val="single"/>
                    </w:rPr>
                  </w:pPr>
                  <w:r>
                    <w:rPr>
                      <w:rFonts w:hint="eastAsia"/>
                      <w:kern w:val="0"/>
                      <w:szCs w:val="21"/>
                      <w:u w:val="single"/>
                    </w:rPr>
                    <w:t>废气</w:t>
                  </w:r>
                </w:p>
              </w:tc>
              <w:tc>
                <w:tcPr>
                  <w:tcW w:w="921" w:type="pct"/>
                  <w:vAlign w:val="center"/>
                </w:tcPr>
                <w:p>
                  <w:pPr>
                    <w:adjustRightInd w:val="0"/>
                    <w:snapToGrid w:val="0"/>
                    <w:jc w:val="center"/>
                    <w:rPr>
                      <w:kern w:val="0"/>
                      <w:szCs w:val="21"/>
                      <w:u w:val="single"/>
                    </w:rPr>
                  </w:pPr>
                  <w:r>
                    <w:rPr>
                      <w:rFonts w:hint="eastAsia"/>
                      <w:szCs w:val="21"/>
                      <w:u w:val="single"/>
                    </w:rPr>
                    <w:t>场区上风向布设1个点，下风向布设2个点</w:t>
                  </w:r>
                </w:p>
              </w:tc>
              <w:tc>
                <w:tcPr>
                  <w:tcW w:w="948" w:type="pct"/>
                  <w:vAlign w:val="center"/>
                </w:tcPr>
                <w:p>
                  <w:pPr>
                    <w:adjustRightInd w:val="0"/>
                    <w:snapToGrid w:val="0"/>
                    <w:jc w:val="center"/>
                    <w:rPr>
                      <w:kern w:val="0"/>
                      <w:szCs w:val="21"/>
                      <w:u w:val="single"/>
                    </w:rPr>
                  </w:pPr>
                  <w:r>
                    <w:rPr>
                      <w:rFonts w:hint="eastAsia"/>
                      <w:kern w:val="0"/>
                      <w:szCs w:val="21"/>
                      <w:u w:val="single"/>
                    </w:rPr>
                    <w:t>恶臭</w:t>
                  </w:r>
                </w:p>
              </w:tc>
              <w:tc>
                <w:tcPr>
                  <w:tcW w:w="769" w:type="pct"/>
                  <w:vAlign w:val="center"/>
                </w:tcPr>
                <w:p>
                  <w:pPr>
                    <w:adjustRightInd w:val="0"/>
                    <w:snapToGrid w:val="0"/>
                    <w:jc w:val="center"/>
                    <w:rPr>
                      <w:kern w:val="0"/>
                      <w:szCs w:val="21"/>
                      <w:u w:val="single"/>
                    </w:rPr>
                  </w:pPr>
                  <w:r>
                    <w:rPr>
                      <w:kern w:val="0"/>
                      <w:szCs w:val="21"/>
                      <w:u w:val="single"/>
                    </w:rPr>
                    <w:t>1次/年</w:t>
                  </w:r>
                </w:p>
              </w:tc>
              <w:tc>
                <w:tcPr>
                  <w:tcW w:w="1833" w:type="pct"/>
                  <w:vAlign w:val="center"/>
                </w:tcPr>
                <w:p>
                  <w:pPr>
                    <w:adjustRightInd w:val="0"/>
                    <w:snapToGrid w:val="0"/>
                    <w:jc w:val="center"/>
                    <w:rPr>
                      <w:kern w:val="0"/>
                      <w:szCs w:val="21"/>
                      <w:u w:val="single"/>
                    </w:rPr>
                  </w:pPr>
                  <w:r>
                    <w:rPr>
                      <w:kern w:val="0"/>
                      <w:szCs w:val="21"/>
                      <w:u w:val="single"/>
                    </w:rPr>
                    <w:t>《恶臭污染物排放标准》（GB14554-93）</w:t>
                  </w:r>
                </w:p>
              </w:tc>
            </w:tr>
          </w:tbl>
          <w:p>
            <w:pPr>
              <w:adjustRightInd w:val="0"/>
              <w:snapToGrid w:val="0"/>
              <w:spacing w:line="360" w:lineRule="auto"/>
              <w:ind w:firstLine="482" w:firstLineChars="200"/>
              <w:rPr>
                <w:sz w:val="24"/>
                <w:u w:val="single"/>
              </w:rPr>
            </w:pPr>
            <w:r>
              <w:rPr>
                <w:rFonts w:hint="eastAsia"/>
                <w:b/>
                <w:bCs/>
                <w:sz w:val="24"/>
                <w:u w:val="single"/>
              </w:rPr>
              <w:t>2、</w:t>
            </w:r>
            <w:r>
              <w:rPr>
                <w:b/>
                <w:bCs/>
                <w:sz w:val="24"/>
                <w:u w:val="single"/>
              </w:rPr>
              <w:t>水环境污染防治措施</w:t>
            </w:r>
          </w:p>
          <w:p>
            <w:pPr>
              <w:pStyle w:val="2"/>
              <w:adjustRightInd w:val="0"/>
              <w:spacing w:before="0" w:after="0" w:line="360" w:lineRule="auto"/>
              <w:ind w:right="0" w:firstLine="480" w:firstLineChars="200"/>
              <w:rPr>
                <w:sz w:val="24"/>
                <w:szCs w:val="24"/>
                <w:u w:val="single"/>
              </w:rPr>
            </w:pPr>
            <w:r>
              <w:rPr>
                <w:sz w:val="24"/>
                <w:szCs w:val="24"/>
                <w:u w:val="single"/>
              </w:rPr>
              <w:t>项目产生的废水主要为员工日常生活产生的生活污水以及养殖废水。</w:t>
            </w:r>
          </w:p>
          <w:p>
            <w:pPr>
              <w:pStyle w:val="2"/>
              <w:numPr>
                <w:ilvl w:val="0"/>
                <w:numId w:val="6"/>
              </w:numPr>
              <w:adjustRightInd w:val="0"/>
              <w:spacing w:before="0" w:after="0" w:line="360" w:lineRule="auto"/>
              <w:ind w:right="0" w:firstLine="480" w:firstLineChars="200"/>
              <w:rPr>
                <w:sz w:val="24"/>
                <w:szCs w:val="24"/>
                <w:u w:val="single"/>
              </w:rPr>
            </w:pPr>
            <w:r>
              <w:rPr>
                <w:rFonts w:hint="eastAsia"/>
                <w:sz w:val="24"/>
                <w:szCs w:val="24"/>
                <w:u w:val="single"/>
              </w:rPr>
              <w:t>生活污水</w:t>
            </w:r>
          </w:p>
          <w:p>
            <w:pPr>
              <w:adjustRightInd w:val="0"/>
              <w:snapToGrid w:val="0"/>
              <w:spacing w:line="360" w:lineRule="auto"/>
              <w:ind w:firstLine="480" w:firstLineChars="200"/>
              <w:rPr>
                <w:bCs/>
                <w:sz w:val="24"/>
                <w:u w:val="single"/>
              </w:rPr>
            </w:pPr>
            <w:r>
              <w:rPr>
                <w:bCs/>
                <w:sz w:val="24"/>
                <w:u w:val="single"/>
              </w:rPr>
              <w:t>项目生活污水主要来自工作人员的生活污水</w:t>
            </w:r>
            <w:r>
              <w:rPr>
                <w:rFonts w:hint="eastAsia"/>
                <w:bCs/>
                <w:sz w:val="24"/>
                <w:u w:val="single"/>
              </w:rPr>
              <w:t>，厂内员工共5人，均不在厂区内食宿，</w:t>
            </w:r>
            <w:r>
              <w:rPr>
                <w:bCs/>
                <w:sz w:val="24"/>
                <w:szCs w:val="21"/>
                <w:u w:val="single"/>
              </w:rPr>
              <w:t>根据</w:t>
            </w:r>
            <w:r>
              <w:rPr>
                <w:rFonts w:hint="eastAsia"/>
                <w:bCs/>
                <w:sz w:val="24"/>
                <w:szCs w:val="21"/>
                <w:u w:val="single"/>
              </w:rPr>
              <w:t>《湖南省用水定额》（DB43/T 388-2020）</w:t>
            </w:r>
            <w:r>
              <w:rPr>
                <w:bCs/>
                <w:sz w:val="24"/>
                <w:szCs w:val="21"/>
                <w:u w:val="single"/>
              </w:rPr>
              <w:t>，员工生活用水量按</w:t>
            </w:r>
            <w:r>
              <w:rPr>
                <w:rFonts w:hint="eastAsia"/>
                <w:bCs/>
                <w:sz w:val="24"/>
                <w:szCs w:val="21"/>
                <w:u w:val="single"/>
              </w:rPr>
              <w:t>9</w:t>
            </w:r>
            <w:r>
              <w:rPr>
                <w:bCs/>
                <w:sz w:val="24"/>
                <w:szCs w:val="21"/>
                <w:u w:val="single"/>
              </w:rPr>
              <w:t>0L/人·d计算，则生活用水量为</w:t>
            </w:r>
            <w:r>
              <w:rPr>
                <w:rFonts w:hint="eastAsia"/>
                <w:bCs/>
                <w:sz w:val="24"/>
                <w:szCs w:val="21"/>
                <w:u w:val="single"/>
              </w:rPr>
              <w:t>0.45</w:t>
            </w:r>
            <w:r>
              <w:rPr>
                <w:bCs/>
                <w:sz w:val="24"/>
                <w:szCs w:val="21"/>
                <w:u w:val="single"/>
              </w:rPr>
              <w:t>m</w:t>
            </w:r>
            <w:r>
              <w:rPr>
                <w:bCs/>
                <w:sz w:val="24"/>
                <w:szCs w:val="21"/>
                <w:u w:val="single"/>
                <w:vertAlign w:val="superscript"/>
              </w:rPr>
              <w:t>3</w:t>
            </w:r>
            <w:r>
              <w:rPr>
                <w:bCs/>
                <w:sz w:val="24"/>
                <w:szCs w:val="21"/>
                <w:u w:val="single"/>
              </w:rPr>
              <w:t>/d（</w:t>
            </w:r>
            <w:r>
              <w:rPr>
                <w:rFonts w:hint="eastAsia"/>
                <w:bCs/>
                <w:sz w:val="24"/>
                <w:szCs w:val="21"/>
                <w:u w:val="single"/>
              </w:rPr>
              <w:t>130.5</w:t>
            </w:r>
            <w:r>
              <w:rPr>
                <w:sz w:val="24"/>
                <w:szCs w:val="21"/>
                <w:u w:val="single"/>
              </w:rPr>
              <w:t>m</w:t>
            </w:r>
            <w:r>
              <w:rPr>
                <w:sz w:val="24"/>
                <w:szCs w:val="21"/>
                <w:u w:val="single"/>
                <w:vertAlign w:val="superscript"/>
              </w:rPr>
              <w:t>3</w:t>
            </w:r>
            <w:r>
              <w:rPr>
                <w:kern w:val="0"/>
                <w:sz w:val="24"/>
                <w:szCs w:val="21"/>
                <w:u w:val="single"/>
                <w:lang w:bidi="ar"/>
              </w:rPr>
              <w:t>/a</w:t>
            </w:r>
            <w:r>
              <w:rPr>
                <w:bCs/>
                <w:sz w:val="24"/>
                <w:szCs w:val="21"/>
                <w:u w:val="single"/>
              </w:rPr>
              <w:t>），废水产生量按用水量的80%计算，则员工</w:t>
            </w:r>
            <w:r>
              <w:rPr>
                <w:kern w:val="0"/>
                <w:sz w:val="24"/>
                <w:szCs w:val="21"/>
                <w:u w:val="single"/>
              </w:rPr>
              <w:t>生活污水产生量为</w:t>
            </w:r>
            <w:r>
              <w:rPr>
                <w:rFonts w:hint="eastAsia"/>
                <w:kern w:val="0"/>
                <w:sz w:val="24"/>
                <w:szCs w:val="21"/>
                <w:u w:val="single"/>
              </w:rPr>
              <w:t>0.36</w:t>
            </w:r>
            <w:r>
              <w:rPr>
                <w:sz w:val="24"/>
                <w:szCs w:val="21"/>
                <w:u w:val="single"/>
              </w:rPr>
              <w:t>m</w:t>
            </w:r>
            <w:r>
              <w:rPr>
                <w:sz w:val="24"/>
                <w:szCs w:val="21"/>
                <w:u w:val="single"/>
                <w:vertAlign w:val="superscript"/>
              </w:rPr>
              <w:t>3</w:t>
            </w:r>
            <w:r>
              <w:rPr>
                <w:kern w:val="0"/>
                <w:sz w:val="24"/>
                <w:szCs w:val="21"/>
                <w:u w:val="single"/>
                <w:lang w:bidi="ar"/>
              </w:rPr>
              <w:t>/</w:t>
            </w:r>
            <w:r>
              <w:rPr>
                <w:sz w:val="24"/>
                <w:szCs w:val="21"/>
                <w:u w:val="single"/>
              </w:rPr>
              <w:t>d（</w:t>
            </w:r>
            <w:r>
              <w:rPr>
                <w:rFonts w:hint="eastAsia"/>
                <w:sz w:val="24"/>
                <w:szCs w:val="21"/>
                <w:u w:val="single"/>
              </w:rPr>
              <w:t>104.4</w:t>
            </w:r>
            <w:r>
              <w:rPr>
                <w:sz w:val="24"/>
                <w:szCs w:val="21"/>
                <w:u w:val="single"/>
              </w:rPr>
              <w:t>m</w:t>
            </w:r>
            <w:r>
              <w:rPr>
                <w:sz w:val="24"/>
                <w:szCs w:val="21"/>
                <w:u w:val="single"/>
                <w:vertAlign w:val="superscript"/>
              </w:rPr>
              <w:t>3</w:t>
            </w:r>
            <w:r>
              <w:rPr>
                <w:kern w:val="0"/>
                <w:sz w:val="24"/>
                <w:szCs w:val="21"/>
                <w:u w:val="single"/>
                <w:lang w:bidi="ar"/>
              </w:rPr>
              <w:t>/a</w:t>
            </w:r>
            <w:r>
              <w:rPr>
                <w:sz w:val="24"/>
                <w:szCs w:val="21"/>
                <w:u w:val="single"/>
              </w:rPr>
              <w:t>）</w:t>
            </w:r>
            <w:r>
              <w:rPr>
                <w:bCs/>
                <w:sz w:val="24"/>
                <w:szCs w:val="21"/>
                <w:u w:val="single"/>
              </w:rPr>
              <w:t>。废水中主要的污染因子有COD、BOD</w:t>
            </w:r>
            <w:r>
              <w:rPr>
                <w:rFonts w:hint="eastAsia"/>
                <w:bCs/>
                <w:sz w:val="24"/>
                <w:szCs w:val="21"/>
                <w:u w:val="single"/>
                <w:vertAlign w:val="subscript"/>
              </w:rPr>
              <w:t>5</w:t>
            </w:r>
            <w:r>
              <w:rPr>
                <w:bCs/>
                <w:sz w:val="24"/>
                <w:szCs w:val="21"/>
                <w:u w:val="single"/>
              </w:rPr>
              <w:t>、SS、NH</w:t>
            </w:r>
            <w:r>
              <w:rPr>
                <w:bCs/>
                <w:sz w:val="24"/>
                <w:szCs w:val="21"/>
                <w:u w:val="single"/>
                <w:vertAlign w:val="subscript"/>
              </w:rPr>
              <w:t>3</w:t>
            </w:r>
            <w:r>
              <w:rPr>
                <w:bCs/>
                <w:sz w:val="24"/>
                <w:szCs w:val="21"/>
                <w:u w:val="single"/>
              </w:rPr>
              <w:t>-N等</w:t>
            </w:r>
            <w:r>
              <w:rPr>
                <w:bCs/>
                <w:sz w:val="24"/>
                <w:u w:val="single"/>
              </w:rPr>
              <w:t>。</w:t>
            </w:r>
          </w:p>
          <w:p>
            <w:pPr>
              <w:adjustRightInd w:val="0"/>
              <w:snapToGrid w:val="0"/>
              <w:spacing w:line="360" w:lineRule="auto"/>
              <w:ind w:firstLine="480" w:firstLineChars="200"/>
              <w:rPr>
                <w:bCs/>
                <w:sz w:val="24"/>
                <w:u w:val="single"/>
              </w:rPr>
            </w:pPr>
            <w:r>
              <w:rPr>
                <w:rFonts w:hint="eastAsia"/>
                <w:bCs/>
                <w:sz w:val="24"/>
                <w:u w:val="single"/>
              </w:rPr>
              <w:t>项目生活污水产生及排放见下表</w:t>
            </w:r>
            <w:r>
              <w:rPr>
                <w:bCs/>
                <w:sz w:val="24"/>
                <w:u w:val="single"/>
              </w:rPr>
              <w:t>。</w:t>
            </w:r>
          </w:p>
          <w:p>
            <w:pPr>
              <w:adjustRightInd w:val="0"/>
              <w:snapToGrid w:val="0"/>
              <w:jc w:val="center"/>
              <w:rPr>
                <w:b/>
                <w:bCs/>
                <w:kern w:val="0"/>
                <w:szCs w:val="21"/>
                <w:u w:val="single"/>
              </w:rPr>
            </w:pPr>
            <w:r>
              <w:rPr>
                <w:b/>
                <w:bCs/>
                <w:kern w:val="0"/>
                <w:szCs w:val="21"/>
                <w:u w:val="single"/>
              </w:rPr>
              <w:t>表</w:t>
            </w:r>
            <w:r>
              <w:rPr>
                <w:rFonts w:hint="eastAsia"/>
                <w:b/>
                <w:bCs/>
                <w:kern w:val="0"/>
                <w:szCs w:val="21"/>
                <w:u w:val="single"/>
              </w:rPr>
              <w:t>5-2</w:t>
            </w:r>
            <w:r>
              <w:rPr>
                <w:b/>
                <w:bCs/>
                <w:kern w:val="0"/>
                <w:szCs w:val="21"/>
                <w:u w:val="single"/>
              </w:rPr>
              <w:t xml:space="preserve"> 项目</w:t>
            </w:r>
            <w:r>
              <w:rPr>
                <w:rFonts w:hint="eastAsia"/>
                <w:b/>
                <w:bCs/>
                <w:kern w:val="0"/>
                <w:szCs w:val="21"/>
                <w:u w:val="single"/>
              </w:rPr>
              <w:t>生活污水污染物排放情况一览表</w:t>
            </w:r>
          </w:p>
          <w:tbl>
            <w:tblPr>
              <w:tblStyle w:val="24"/>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1"/>
              <w:gridCol w:w="1165"/>
              <w:gridCol w:w="1737"/>
              <w:gridCol w:w="1299"/>
              <w:gridCol w:w="1205"/>
              <w:gridCol w:w="853"/>
              <w:gridCol w:w="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81" w:type="pct"/>
                  <w:tcBorders>
                    <w:tl2br w:val="nil"/>
                    <w:tr2bl w:val="nil"/>
                  </w:tcBorders>
                  <w:vAlign w:val="center"/>
                </w:tcPr>
                <w:p>
                  <w:pPr>
                    <w:adjustRightInd w:val="0"/>
                    <w:snapToGrid w:val="0"/>
                    <w:jc w:val="center"/>
                    <w:rPr>
                      <w:kern w:val="0"/>
                      <w:szCs w:val="21"/>
                      <w:u w:val="single"/>
                    </w:rPr>
                  </w:pPr>
                  <w:r>
                    <w:rPr>
                      <w:kern w:val="0"/>
                      <w:szCs w:val="21"/>
                      <w:u w:val="single"/>
                    </w:rPr>
                    <w:t>废水</w:t>
                  </w:r>
                </w:p>
              </w:tc>
              <w:tc>
                <w:tcPr>
                  <w:tcW w:w="726" w:type="pct"/>
                  <w:tcBorders>
                    <w:tl2br w:val="nil"/>
                    <w:tr2bl w:val="nil"/>
                  </w:tcBorders>
                  <w:vAlign w:val="center"/>
                </w:tcPr>
                <w:p>
                  <w:pPr>
                    <w:adjustRightInd w:val="0"/>
                    <w:snapToGrid w:val="0"/>
                    <w:jc w:val="center"/>
                    <w:rPr>
                      <w:kern w:val="0"/>
                      <w:szCs w:val="21"/>
                      <w:u w:val="single"/>
                    </w:rPr>
                  </w:pPr>
                  <w:r>
                    <w:rPr>
                      <w:kern w:val="0"/>
                      <w:szCs w:val="21"/>
                      <w:u w:val="single"/>
                    </w:rPr>
                    <w:t>污水量</w:t>
                  </w:r>
                </w:p>
              </w:tc>
              <w:tc>
                <w:tcPr>
                  <w:tcW w:w="1083" w:type="pct"/>
                  <w:tcBorders>
                    <w:tl2br w:val="nil"/>
                    <w:tr2bl w:val="nil"/>
                  </w:tcBorders>
                  <w:vAlign w:val="center"/>
                </w:tcPr>
                <w:p>
                  <w:pPr>
                    <w:adjustRightInd w:val="0"/>
                    <w:snapToGrid w:val="0"/>
                    <w:jc w:val="center"/>
                    <w:rPr>
                      <w:kern w:val="0"/>
                      <w:szCs w:val="21"/>
                      <w:u w:val="single"/>
                    </w:rPr>
                  </w:pPr>
                  <w:r>
                    <w:rPr>
                      <w:kern w:val="0"/>
                      <w:szCs w:val="21"/>
                      <w:u w:val="single"/>
                    </w:rPr>
                    <w:t>污染因子</w:t>
                  </w:r>
                </w:p>
              </w:tc>
              <w:tc>
                <w:tcPr>
                  <w:tcW w:w="810" w:type="pct"/>
                  <w:tcBorders>
                    <w:tl2br w:val="nil"/>
                    <w:tr2bl w:val="nil"/>
                  </w:tcBorders>
                  <w:vAlign w:val="center"/>
                </w:tcPr>
                <w:p>
                  <w:pPr>
                    <w:adjustRightInd w:val="0"/>
                    <w:snapToGrid w:val="0"/>
                    <w:jc w:val="center"/>
                    <w:rPr>
                      <w:kern w:val="0"/>
                      <w:szCs w:val="21"/>
                      <w:u w:val="single"/>
                    </w:rPr>
                  </w:pPr>
                  <w:r>
                    <w:rPr>
                      <w:kern w:val="0"/>
                      <w:szCs w:val="21"/>
                      <w:u w:val="single"/>
                    </w:rPr>
                    <w:t>COD</w:t>
                  </w:r>
                </w:p>
              </w:tc>
              <w:tc>
                <w:tcPr>
                  <w:tcW w:w="751" w:type="pct"/>
                  <w:tcBorders>
                    <w:tl2br w:val="nil"/>
                    <w:tr2bl w:val="nil"/>
                  </w:tcBorders>
                  <w:vAlign w:val="center"/>
                </w:tcPr>
                <w:p>
                  <w:pPr>
                    <w:adjustRightInd w:val="0"/>
                    <w:snapToGrid w:val="0"/>
                    <w:jc w:val="center"/>
                    <w:rPr>
                      <w:kern w:val="0"/>
                      <w:szCs w:val="21"/>
                      <w:u w:val="single"/>
                    </w:rPr>
                  </w:pPr>
                  <w:r>
                    <w:rPr>
                      <w:kern w:val="0"/>
                      <w:szCs w:val="21"/>
                      <w:u w:val="single"/>
                    </w:rPr>
                    <w:t>BOD</w:t>
                  </w:r>
                  <w:r>
                    <w:rPr>
                      <w:kern w:val="0"/>
                      <w:szCs w:val="21"/>
                      <w:u w:val="single"/>
                      <w:vertAlign w:val="subscript"/>
                    </w:rPr>
                    <w:t>5</w:t>
                  </w:r>
                </w:p>
              </w:tc>
              <w:tc>
                <w:tcPr>
                  <w:tcW w:w="532" w:type="pct"/>
                  <w:tcBorders>
                    <w:tl2br w:val="nil"/>
                    <w:tr2bl w:val="nil"/>
                  </w:tcBorders>
                  <w:vAlign w:val="center"/>
                </w:tcPr>
                <w:p>
                  <w:pPr>
                    <w:adjustRightInd w:val="0"/>
                    <w:snapToGrid w:val="0"/>
                    <w:jc w:val="center"/>
                    <w:rPr>
                      <w:kern w:val="0"/>
                      <w:szCs w:val="21"/>
                      <w:u w:val="single"/>
                    </w:rPr>
                  </w:pPr>
                  <w:r>
                    <w:rPr>
                      <w:kern w:val="0"/>
                      <w:szCs w:val="21"/>
                      <w:u w:val="single"/>
                    </w:rPr>
                    <w:t>SS</w:t>
                  </w:r>
                </w:p>
              </w:tc>
              <w:tc>
                <w:tcPr>
                  <w:tcW w:w="614" w:type="pct"/>
                  <w:tcBorders>
                    <w:tl2br w:val="nil"/>
                    <w:tr2bl w:val="nil"/>
                  </w:tcBorders>
                  <w:vAlign w:val="center"/>
                </w:tcPr>
                <w:p>
                  <w:pPr>
                    <w:adjustRightInd w:val="0"/>
                    <w:snapToGrid w:val="0"/>
                    <w:jc w:val="center"/>
                    <w:rPr>
                      <w:kern w:val="0"/>
                      <w:szCs w:val="21"/>
                      <w:u w:val="single"/>
                    </w:rPr>
                  </w:pPr>
                  <w:r>
                    <w:rPr>
                      <w:kern w:val="0"/>
                      <w:szCs w:val="21"/>
                      <w:u w:val="single"/>
                    </w:rPr>
                    <w:t>NH</w:t>
                  </w:r>
                  <w:r>
                    <w:rPr>
                      <w:kern w:val="0"/>
                      <w:szCs w:val="21"/>
                      <w:u w:val="single"/>
                      <w:vertAlign w:val="subscript"/>
                    </w:rPr>
                    <w:t>3</w:t>
                  </w:r>
                  <w:r>
                    <w:rPr>
                      <w:kern w:val="0"/>
                      <w:szCs w:val="21"/>
                      <w:u w:val="single"/>
                    </w:rPr>
                    <w:t>-N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jc w:val="center"/>
              </w:trPr>
              <w:tc>
                <w:tcPr>
                  <w:tcW w:w="481" w:type="pct"/>
                  <w:vMerge w:val="restart"/>
                  <w:tcBorders>
                    <w:tl2br w:val="nil"/>
                    <w:tr2bl w:val="nil"/>
                  </w:tcBorders>
                  <w:vAlign w:val="center"/>
                </w:tcPr>
                <w:p>
                  <w:pPr>
                    <w:adjustRightInd w:val="0"/>
                    <w:snapToGrid w:val="0"/>
                    <w:jc w:val="center"/>
                    <w:rPr>
                      <w:kern w:val="0"/>
                      <w:szCs w:val="21"/>
                      <w:u w:val="single"/>
                    </w:rPr>
                  </w:pPr>
                  <w:r>
                    <w:rPr>
                      <w:kern w:val="0"/>
                      <w:szCs w:val="21"/>
                      <w:u w:val="single"/>
                    </w:rPr>
                    <w:t>生活污水</w:t>
                  </w:r>
                </w:p>
              </w:tc>
              <w:tc>
                <w:tcPr>
                  <w:tcW w:w="726" w:type="pct"/>
                  <w:vMerge w:val="restart"/>
                  <w:tcBorders>
                    <w:tl2br w:val="nil"/>
                    <w:tr2bl w:val="nil"/>
                  </w:tcBorders>
                  <w:vAlign w:val="center"/>
                </w:tcPr>
                <w:p>
                  <w:pPr>
                    <w:adjustRightInd w:val="0"/>
                    <w:snapToGrid w:val="0"/>
                    <w:jc w:val="center"/>
                    <w:rPr>
                      <w:kern w:val="0"/>
                      <w:szCs w:val="21"/>
                      <w:u w:val="single"/>
                    </w:rPr>
                  </w:pPr>
                  <w:r>
                    <w:rPr>
                      <w:rFonts w:hint="eastAsia"/>
                      <w:kern w:val="0"/>
                      <w:szCs w:val="21"/>
                      <w:u w:val="single"/>
                    </w:rPr>
                    <w:t>104.4</w:t>
                  </w:r>
                  <w:r>
                    <w:rPr>
                      <w:kern w:val="0"/>
                      <w:szCs w:val="21"/>
                      <w:u w:val="single"/>
                    </w:rPr>
                    <w:t>m³/a</w:t>
                  </w:r>
                </w:p>
              </w:tc>
              <w:tc>
                <w:tcPr>
                  <w:tcW w:w="1083" w:type="pct"/>
                  <w:tcBorders>
                    <w:tl2br w:val="nil"/>
                    <w:tr2bl w:val="nil"/>
                  </w:tcBorders>
                  <w:vAlign w:val="center"/>
                </w:tcPr>
                <w:p>
                  <w:pPr>
                    <w:adjustRightInd w:val="0"/>
                    <w:snapToGrid w:val="0"/>
                    <w:jc w:val="center"/>
                    <w:rPr>
                      <w:kern w:val="0"/>
                      <w:szCs w:val="21"/>
                      <w:u w:val="single"/>
                    </w:rPr>
                  </w:pPr>
                  <w:r>
                    <w:rPr>
                      <w:kern w:val="0"/>
                      <w:szCs w:val="21"/>
                      <w:u w:val="single"/>
                    </w:rPr>
                    <w:t>产生浓度mg/L</w:t>
                  </w:r>
                </w:p>
              </w:tc>
              <w:tc>
                <w:tcPr>
                  <w:tcW w:w="810" w:type="pct"/>
                  <w:tcBorders>
                    <w:tl2br w:val="nil"/>
                    <w:tr2bl w:val="nil"/>
                  </w:tcBorders>
                  <w:vAlign w:val="center"/>
                </w:tcPr>
                <w:p>
                  <w:pPr>
                    <w:adjustRightInd w:val="0"/>
                    <w:snapToGrid w:val="0"/>
                    <w:jc w:val="center"/>
                    <w:rPr>
                      <w:kern w:val="0"/>
                      <w:szCs w:val="21"/>
                      <w:u w:val="single"/>
                    </w:rPr>
                  </w:pPr>
                  <w:r>
                    <w:rPr>
                      <w:rFonts w:hint="eastAsia"/>
                      <w:kern w:val="0"/>
                      <w:szCs w:val="21"/>
                      <w:u w:val="single"/>
                    </w:rPr>
                    <w:t>350</w:t>
                  </w:r>
                </w:p>
              </w:tc>
              <w:tc>
                <w:tcPr>
                  <w:tcW w:w="751" w:type="pct"/>
                  <w:tcBorders>
                    <w:tl2br w:val="nil"/>
                    <w:tr2bl w:val="nil"/>
                  </w:tcBorders>
                  <w:vAlign w:val="center"/>
                </w:tcPr>
                <w:p>
                  <w:pPr>
                    <w:adjustRightInd w:val="0"/>
                    <w:snapToGrid w:val="0"/>
                    <w:jc w:val="center"/>
                    <w:rPr>
                      <w:kern w:val="0"/>
                      <w:szCs w:val="21"/>
                      <w:u w:val="single"/>
                    </w:rPr>
                  </w:pPr>
                  <w:r>
                    <w:rPr>
                      <w:rFonts w:hint="eastAsia"/>
                      <w:kern w:val="0"/>
                      <w:szCs w:val="21"/>
                      <w:u w:val="single"/>
                    </w:rPr>
                    <w:t>200</w:t>
                  </w:r>
                </w:p>
              </w:tc>
              <w:tc>
                <w:tcPr>
                  <w:tcW w:w="532" w:type="pct"/>
                  <w:tcBorders>
                    <w:tl2br w:val="nil"/>
                    <w:tr2bl w:val="nil"/>
                  </w:tcBorders>
                  <w:vAlign w:val="center"/>
                </w:tcPr>
                <w:p>
                  <w:pPr>
                    <w:adjustRightInd w:val="0"/>
                    <w:snapToGrid w:val="0"/>
                    <w:jc w:val="center"/>
                    <w:rPr>
                      <w:kern w:val="0"/>
                      <w:szCs w:val="21"/>
                      <w:u w:val="single"/>
                    </w:rPr>
                  </w:pPr>
                  <w:r>
                    <w:rPr>
                      <w:rFonts w:hint="eastAsia"/>
                      <w:kern w:val="0"/>
                      <w:szCs w:val="21"/>
                      <w:u w:val="single"/>
                    </w:rPr>
                    <w:t>150</w:t>
                  </w:r>
                </w:p>
              </w:tc>
              <w:tc>
                <w:tcPr>
                  <w:tcW w:w="614" w:type="pct"/>
                  <w:tcBorders>
                    <w:tl2br w:val="nil"/>
                    <w:tr2bl w:val="nil"/>
                  </w:tcBorders>
                  <w:vAlign w:val="center"/>
                </w:tcPr>
                <w:p>
                  <w:pPr>
                    <w:adjustRightInd w:val="0"/>
                    <w:snapToGrid w:val="0"/>
                    <w:jc w:val="center"/>
                    <w:rPr>
                      <w:kern w:val="0"/>
                      <w:szCs w:val="21"/>
                      <w:u w:val="single"/>
                    </w:rPr>
                  </w:pPr>
                  <w:r>
                    <w:rPr>
                      <w:rFonts w:hint="eastAsia"/>
                      <w:kern w:val="0"/>
                      <w:szCs w:val="21"/>
                      <w:u w:val="single"/>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 w:hRule="atLeast"/>
                <w:jc w:val="center"/>
              </w:trPr>
              <w:tc>
                <w:tcPr>
                  <w:tcW w:w="481" w:type="pct"/>
                  <w:vMerge w:val="continue"/>
                  <w:tcBorders>
                    <w:tl2br w:val="nil"/>
                    <w:tr2bl w:val="nil"/>
                  </w:tcBorders>
                  <w:vAlign w:val="center"/>
                </w:tcPr>
                <w:p>
                  <w:pPr>
                    <w:widowControl/>
                    <w:adjustRightInd w:val="0"/>
                    <w:snapToGrid w:val="0"/>
                    <w:jc w:val="left"/>
                    <w:rPr>
                      <w:kern w:val="0"/>
                      <w:szCs w:val="21"/>
                      <w:u w:val="single"/>
                    </w:rPr>
                  </w:pPr>
                </w:p>
              </w:tc>
              <w:tc>
                <w:tcPr>
                  <w:tcW w:w="726" w:type="pct"/>
                  <w:vMerge w:val="continue"/>
                  <w:tcBorders>
                    <w:tl2br w:val="nil"/>
                    <w:tr2bl w:val="nil"/>
                  </w:tcBorders>
                  <w:vAlign w:val="center"/>
                </w:tcPr>
                <w:p>
                  <w:pPr>
                    <w:widowControl/>
                    <w:adjustRightInd w:val="0"/>
                    <w:snapToGrid w:val="0"/>
                    <w:jc w:val="left"/>
                    <w:rPr>
                      <w:kern w:val="0"/>
                      <w:szCs w:val="21"/>
                      <w:u w:val="single"/>
                    </w:rPr>
                  </w:pPr>
                </w:p>
              </w:tc>
              <w:tc>
                <w:tcPr>
                  <w:tcW w:w="1083" w:type="pct"/>
                  <w:tcBorders>
                    <w:tl2br w:val="nil"/>
                    <w:tr2bl w:val="nil"/>
                  </w:tcBorders>
                  <w:vAlign w:val="center"/>
                </w:tcPr>
                <w:p>
                  <w:pPr>
                    <w:adjustRightInd w:val="0"/>
                    <w:snapToGrid w:val="0"/>
                    <w:jc w:val="center"/>
                    <w:rPr>
                      <w:kern w:val="0"/>
                      <w:szCs w:val="21"/>
                      <w:u w:val="single"/>
                    </w:rPr>
                  </w:pPr>
                  <w:r>
                    <w:rPr>
                      <w:kern w:val="0"/>
                      <w:szCs w:val="21"/>
                      <w:u w:val="single"/>
                    </w:rPr>
                    <w:t>产生量t/a</w:t>
                  </w:r>
                </w:p>
              </w:tc>
              <w:tc>
                <w:tcPr>
                  <w:tcW w:w="810" w:type="pct"/>
                  <w:tcBorders>
                    <w:tl2br w:val="nil"/>
                    <w:tr2bl w:val="nil"/>
                  </w:tcBorders>
                  <w:vAlign w:val="center"/>
                </w:tcPr>
                <w:p>
                  <w:pPr>
                    <w:adjustRightInd w:val="0"/>
                    <w:snapToGrid w:val="0"/>
                    <w:jc w:val="center"/>
                    <w:rPr>
                      <w:kern w:val="0"/>
                      <w:szCs w:val="21"/>
                      <w:u w:val="single"/>
                    </w:rPr>
                  </w:pPr>
                  <w:r>
                    <w:rPr>
                      <w:rFonts w:hint="eastAsia"/>
                      <w:kern w:val="0"/>
                      <w:szCs w:val="21"/>
                      <w:u w:val="single"/>
                    </w:rPr>
                    <w:t>0.037</w:t>
                  </w:r>
                </w:p>
              </w:tc>
              <w:tc>
                <w:tcPr>
                  <w:tcW w:w="751" w:type="pct"/>
                  <w:tcBorders>
                    <w:tl2br w:val="nil"/>
                    <w:tr2bl w:val="nil"/>
                  </w:tcBorders>
                  <w:vAlign w:val="center"/>
                </w:tcPr>
                <w:p>
                  <w:pPr>
                    <w:adjustRightInd w:val="0"/>
                    <w:snapToGrid w:val="0"/>
                    <w:jc w:val="center"/>
                    <w:rPr>
                      <w:kern w:val="0"/>
                      <w:szCs w:val="21"/>
                      <w:u w:val="single"/>
                    </w:rPr>
                  </w:pPr>
                  <w:r>
                    <w:rPr>
                      <w:rFonts w:hint="eastAsia"/>
                      <w:kern w:val="0"/>
                      <w:szCs w:val="21"/>
                      <w:u w:val="single"/>
                    </w:rPr>
                    <w:t>0.02</w:t>
                  </w:r>
                </w:p>
              </w:tc>
              <w:tc>
                <w:tcPr>
                  <w:tcW w:w="532" w:type="pct"/>
                  <w:tcBorders>
                    <w:tl2br w:val="nil"/>
                    <w:tr2bl w:val="nil"/>
                  </w:tcBorders>
                  <w:vAlign w:val="center"/>
                </w:tcPr>
                <w:p>
                  <w:pPr>
                    <w:adjustRightInd w:val="0"/>
                    <w:snapToGrid w:val="0"/>
                    <w:jc w:val="center"/>
                    <w:rPr>
                      <w:kern w:val="0"/>
                      <w:szCs w:val="21"/>
                      <w:u w:val="single"/>
                    </w:rPr>
                  </w:pPr>
                  <w:r>
                    <w:rPr>
                      <w:rFonts w:hint="eastAsia"/>
                      <w:kern w:val="0"/>
                      <w:szCs w:val="21"/>
                      <w:u w:val="single"/>
                    </w:rPr>
                    <w:t>0.016</w:t>
                  </w:r>
                </w:p>
              </w:tc>
              <w:tc>
                <w:tcPr>
                  <w:tcW w:w="614" w:type="pct"/>
                  <w:tcBorders>
                    <w:tl2br w:val="nil"/>
                    <w:tr2bl w:val="nil"/>
                  </w:tcBorders>
                  <w:vAlign w:val="center"/>
                </w:tcPr>
                <w:p>
                  <w:pPr>
                    <w:adjustRightInd w:val="0"/>
                    <w:snapToGrid w:val="0"/>
                    <w:jc w:val="center"/>
                    <w:rPr>
                      <w:kern w:val="0"/>
                      <w:szCs w:val="21"/>
                      <w:u w:val="single"/>
                    </w:rPr>
                  </w:pPr>
                  <w:r>
                    <w:rPr>
                      <w:kern w:val="0"/>
                      <w:szCs w:val="21"/>
                      <w:u w:val="single"/>
                    </w:rPr>
                    <w:t>0.0</w:t>
                  </w:r>
                  <w:r>
                    <w:rPr>
                      <w:rFonts w:hint="eastAsia"/>
                      <w:kern w:val="0"/>
                      <w:szCs w:val="21"/>
                      <w:u w:val="single"/>
                    </w:rPr>
                    <w:t>04</w:t>
                  </w:r>
                </w:p>
              </w:tc>
            </w:tr>
          </w:tbl>
          <w:p>
            <w:pPr>
              <w:adjustRightInd w:val="0"/>
              <w:snapToGrid w:val="0"/>
              <w:spacing w:line="360" w:lineRule="auto"/>
              <w:ind w:firstLine="480" w:firstLineChars="200"/>
              <w:rPr>
                <w:bCs/>
                <w:sz w:val="24"/>
                <w:u w:val="single"/>
              </w:rPr>
            </w:pPr>
            <w:r>
              <w:rPr>
                <w:rFonts w:hint="eastAsia"/>
                <w:bCs/>
                <w:sz w:val="24"/>
                <w:u w:val="single"/>
              </w:rPr>
              <w:t>【治理措施】：项目生活污水经三格化粪池处理后用于周边农田施肥，不外排。项目废水可得到有效处置，对周围环境影响很小。</w:t>
            </w:r>
          </w:p>
          <w:p>
            <w:pPr>
              <w:adjustRightInd w:val="0"/>
              <w:snapToGrid w:val="0"/>
              <w:spacing w:line="360" w:lineRule="auto"/>
              <w:ind w:firstLine="482" w:firstLineChars="200"/>
              <w:rPr>
                <w:b/>
                <w:color w:val="000000"/>
                <w:sz w:val="24"/>
                <w:u w:val="single"/>
              </w:rPr>
            </w:pPr>
            <w:r>
              <w:rPr>
                <w:rFonts w:hint="eastAsia"/>
                <w:b/>
                <w:color w:val="000000"/>
                <w:sz w:val="24"/>
                <w:u w:val="single"/>
              </w:rPr>
              <w:t>生活废水用于周边农田灌溉施肥可行性分析：</w:t>
            </w:r>
          </w:p>
          <w:p>
            <w:pPr>
              <w:pStyle w:val="2"/>
              <w:adjustRightInd w:val="0"/>
              <w:spacing w:before="0" w:after="0" w:line="360" w:lineRule="auto"/>
              <w:ind w:right="0" w:firstLine="480" w:firstLineChars="200"/>
              <w:rPr>
                <w:sz w:val="24"/>
                <w:szCs w:val="24"/>
                <w:highlight w:val="yellow"/>
                <w:u w:val="single"/>
              </w:rPr>
            </w:pPr>
            <w:r>
              <w:rPr>
                <w:rFonts w:hint="eastAsia"/>
                <w:kern w:val="2"/>
                <w:sz w:val="24"/>
                <w:szCs w:val="22"/>
                <w:u w:val="single"/>
              </w:rPr>
              <w:t>经现场调查，项目周边主要为农田，农田灌溉所需灌溉量以蔬菜种植为例，蔬菜</w:t>
            </w:r>
            <w:r>
              <w:rPr>
                <w:kern w:val="2"/>
                <w:sz w:val="24"/>
                <w:szCs w:val="22"/>
                <w:u w:val="single"/>
              </w:rPr>
              <w:t>净灌溉用水量（灌溉保证率</w:t>
            </w:r>
            <w:r>
              <w:rPr>
                <w:rFonts w:hint="eastAsia"/>
                <w:kern w:val="2"/>
                <w:sz w:val="24"/>
                <w:szCs w:val="22"/>
                <w:u w:val="single"/>
              </w:rPr>
              <w:t>5</w:t>
            </w:r>
            <w:r>
              <w:rPr>
                <w:kern w:val="2"/>
                <w:sz w:val="24"/>
                <w:szCs w:val="22"/>
                <w:u w:val="single"/>
              </w:rPr>
              <w:t>0%）为</w:t>
            </w:r>
            <w:r>
              <w:rPr>
                <w:rFonts w:hint="eastAsia"/>
                <w:kern w:val="2"/>
                <w:sz w:val="24"/>
                <w:szCs w:val="22"/>
                <w:u w:val="single"/>
              </w:rPr>
              <w:t>152</w:t>
            </w:r>
            <w:r>
              <w:rPr>
                <w:kern w:val="2"/>
                <w:sz w:val="24"/>
                <w:szCs w:val="22"/>
                <w:u w:val="single"/>
              </w:rPr>
              <w:t>m</w:t>
            </w:r>
            <w:r>
              <w:rPr>
                <w:kern w:val="2"/>
                <w:sz w:val="24"/>
                <w:szCs w:val="22"/>
                <w:u w:val="single"/>
                <w:vertAlign w:val="superscript"/>
              </w:rPr>
              <w:t>3</w:t>
            </w:r>
            <w:r>
              <w:rPr>
                <w:kern w:val="2"/>
                <w:sz w:val="24"/>
                <w:szCs w:val="22"/>
                <w:u w:val="single"/>
              </w:rPr>
              <w:t>/</w:t>
            </w:r>
            <w:r>
              <w:rPr>
                <w:rFonts w:hint="eastAsia"/>
                <w:kern w:val="2"/>
                <w:sz w:val="24"/>
                <w:szCs w:val="22"/>
                <w:u w:val="single"/>
              </w:rPr>
              <w:t>667m</w:t>
            </w:r>
            <w:r>
              <w:rPr>
                <w:rFonts w:hint="eastAsia"/>
                <w:kern w:val="2"/>
                <w:sz w:val="24"/>
                <w:szCs w:val="22"/>
                <w:u w:val="single"/>
                <w:vertAlign w:val="superscript"/>
              </w:rPr>
              <w:t>2</w:t>
            </w:r>
            <w:r>
              <w:rPr>
                <w:kern w:val="2"/>
                <w:sz w:val="24"/>
                <w:szCs w:val="22"/>
                <w:u w:val="single"/>
              </w:rPr>
              <w:t>•a</w:t>
            </w:r>
            <w:r>
              <w:rPr>
                <w:rFonts w:hint="eastAsia"/>
                <w:kern w:val="2"/>
                <w:sz w:val="24"/>
                <w:szCs w:val="22"/>
                <w:u w:val="single"/>
              </w:rPr>
              <w:t>，项目周边有农田约47855m</w:t>
            </w:r>
            <w:r>
              <w:rPr>
                <w:rFonts w:hint="eastAsia"/>
                <w:kern w:val="2"/>
                <w:sz w:val="24"/>
                <w:szCs w:val="22"/>
                <w:u w:val="single"/>
                <w:vertAlign w:val="superscript"/>
              </w:rPr>
              <w:t>2</w:t>
            </w:r>
            <w:r>
              <w:rPr>
                <w:rFonts w:hint="eastAsia"/>
                <w:kern w:val="2"/>
                <w:sz w:val="24"/>
                <w:szCs w:val="22"/>
                <w:u w:val="single"/>
              </w:rPr>
              <w:t>，共需要用10905.5</w:t>
            </w:r>
            <w:r>
              <w:rPr>
                <w:kern w:val="2"/>
                <w:sz w:val="24"/>
                <w:szCs w:val="22"/>
                <w:u w:val="single"/>
              </w:rPr>
              <w:t>m</w:t>
            </w:r>
            <w:r>
              <w:rPr>
                <w:kern w:val="2"/>
                <w:sz w:val="24"/>
                <w:szCs w:val="22"/>
                <w:u w:val="single"/>
                <w:vertAlign w:val="superscript"/>
              </w:rPr>
              <w:t>3</w:t>
            </w:r>
            <w:r>
              <w:rPr>
                <w:rFonts w:hint="eastAsia"/>
                <w:kern w:val="2"/>
                <w:sz w:val="24"/>
                <w:szCs w:val="22"/>
                <w:u w:val="single"/>
              </w:rPr>
              <w:t>/a</w:t>
            </w:r>
            <w:r>
              <w:rPr>
                <w:rFonts w:hint="eastAsia"/>
                <w:sz w:val="24"/>
                <w:szCs w:val="22"/>
                <w:u w:val="single"/>
                <w:lang w:bidi="ar"/>
              </w:rPr>
              <w:t>水。本项目年排放生活污水总量为</w:t>
            </w:r>
            <w:r>
              <w:rPr>
                <w:rFonts w:hint="eastAsia"/>
                <w:kern w:val="2"/>
                <w:sz w:val="24"/>
                <w:szCs w:val="22"/>
                <w:u w:val="single"/>
              </w:rPr>
              <w:t>104.4</w:t>
            </w:r>
            <w:r>
              <w:rPr>
                <w:kern w:val="2"/>
                <w:sz w:val="24"/>
                <w:szCs w:val="22"/>
                <w:u w:val="single"/>
              </w:rPr>
              <w:t>m</w:t>
            </w:r>
            <w:r>
              <w:rPr>
                <w:kern w:val="2"/>
                <w:sz w:val="24"/>
                <w:szCs w:val="22"/>
                <w:u w:val="single"/>
                <w:vertAlign w:val="superscript"/>
              </w:rPr>
              <w:t>3</w:t>
            </w:r>
            <w:r>
              <w:rPr>
                <w:rFonts w:hint="eastAsia"/>
                <w:kern w:val="2"/>
                <w:sz w:val="24"/>
                <w:szCs w:val="22"/>
                <w:u w:val="single"/>
              </w:rPr>
              <w:t>/a</w:t>
            </w:r>
            <w:r>
              <w:rPr>
                <w:rFonts w:hint="eastAsia"/>
                <w:sz w:val="24"/>
                <w:szCs w:val="22"/>
                <w:u w:val="single"/>
                <w:lang w:bidi="ar"/>
              </w:rPr>
              <w:t>，远远小于蔬菜地的需水量。因此，本项目生活污水经处理达标后，可全部用于周边农田施肥综合利用。</w:t>
            </w:r>
          </w:p>
          <w:p>
            <w:pPr>
              <w:pStyle w:val="2"/>
              <w:adjustRightInd w:val="0"/>
              <w:spacing w:before="0" w:after="0" w:line="360" w:lineRule="auto"/>
              <w:ind w:right="0" w:firstLine="480" w:firstLineChars="200"/>
              <w:rPr>
                <w:sz w:val="24"/>
                <w:szCs w:val="24"/>
                <w:u w:val="single"/>
              </w:rPr>
            </w:pPr>
            <w:r>
              <w:rPr>
                <w:rFonts w:hint="eastAsia"/>
                <w:sz w:val="24"/>
                <w:szCs w:val="24"/>
                <w:u w:val="single"/>
              </w:rPr>
              <w:t>（2）养殖废水</w:t>
            </w:r>
          </w:p>
          <w:p>
            <w:pPr>
              <w:adjustRightInd w:val="0"/>
              <w:snapToGrid w:val="0"/>
              <w:spacing w:line="360" w:lineRule="auto"/>
              <w:ind w:firstLine="480" w:firstLineChars="200"/>
              <w:rPr>
                <w:color w:val="000000"/>
                <w:sz w:val="24"/>
                <w:szCs w:val="22"/>
                <w:u w:val="single"/>
              </w:rPr>
            </w:pPr>
            <w:r>
              <w:rPr>
                <w:rFonts w:hint="eastAsia"/>
                <w:sz w:val="24"/>
                <w:szCs w:val="22"/>
                <w:u w:val="single"/>
              </w:rPr>
              <w:t>项目拟建一蓄水池，用于新鲜水蓄水，养殖区与水稻种植区每天都有新鲜水进入，保持水体微流动，每天沟坑中的水平均达到20~30%的换水率，本环评按最大换水率30%进行计算，厂内沟坑的容积为216m³，则每天更换用水量约64.8m</w:t>
            </w:r>
            <w:r>
              <w:rPr>
                <w:rFonts w:hint="eastAsia"/>
                <w:sz w:val="24"/>
                <w:szCs w:val="22"/>
                <w:u w:val="single"/>
                <w:vertAlign w:val="superscript"/>
              </w:rPr>
              <w:t>3</w:t>
            </w:r>
            <w:r>
              <w:rPr>
                <w:rFonts w:hint="eastAsia"/>
                <w:sz w:val="24"/>
                <w:szCs w:val="22"/>
                <w:u w:val="single"/>
              </w:rPr>
              <w:t>（7776m</w:t>
            </w:r>
            <w:r>
              <w:rPr>
                <w:rFonts w:hint="eastAsia"/>
                <w:sz w:val="24"/>
                <w:szCs w:val="22"/>
                <w:u w:val="single"/>
                <w:vertAlign w:val="superscript"/>
              </w:rPr>
              <w:t>3</w:t>
            </w:r>
            <w:r>
              <w:rPr>
                <w:rFonts w:hint="eastAsia"/>
                <w:sz w:val="24"/>
                <w:szCs w:val="22"/>
                <w:u w:val="single"/>
              </w:rPr>
              <w:t>/a），从幼蛙到成品蛙生长周期共约120天，排水量按照90%计，则废水排放量为58.32m</w:t>
            </w:r>
            <w:r>
              <w:rPr>
                <w:rFonts w:hint="eastAsia"/>
                <w:sz w:val="24"/>
                <w:szCs w:val="22"/>
                <w:u w:val="single"/>
                <w:vertAlign w:val="superscript"/>
              </w:rPr>
              <w:t>3</w:t>
            </w:r>
            <w:r>
              <w:rPr>
                <w:rFonts w:hint="eastAsia"/>
                <w:sz w:val="24"/>
                <w:szCs w:val="22"/>
                <w:u w:val="single"/>
              </w:rPr>
              <w:t>/d（6998.4m</w:t>
            </w:r>
            <w:r>
              <w:rPr>
                <w:rFonts w:hint="eastAsia"/>
                <w:sz w:val="24"/>
                <w:szCs w:val="22"/>
                <w:u w:val="single"/>
                <w:vertAlign w:val="superscript"/>
              </w:rPr>
              <w:t>3</w:t>
            </w:r>
            <w:r>
              <w:rPr>
                <w:rFonts w:hint="eastAsia"/>
                <w:sz w:val="24"/>
                <w:szCs w:val="22"/>
                <w:u w:val="single"/>
              </w:rPr>
              <w:t>/a），该部分生产废水主要污染物为COD、总氮、总磷、悬浮物、BOD</w:t>
            </w:r>
            <w:r>
              <w:rPr>
                <w:rFonts w:hint="eastAsia"/>
                <w:sz w:val="24"/>
                <w:szCs w:val="22"/>
                <w:u w:val="single"/>
                <w:vertAlign w:val="subscript"/>
              </w:rPr>
              <w:t>5</w:t>
            </w:r>
            <w:r>
              <w:rPr>
                <w:rFonts w:hint="eastAsia"/>
                <w:sz w:val="24"/>
                <w:szCs w:val="22"/>
                <w:u w:val="single"/>
              </w:rPr>
              <w:t>，废水流到污水处</w:t>
            </w:r>
            <w:r>
              <w:rPr>
                <w:rFonts w:hint="eastAsia"/>
                <w:color w:val="000000"/>
                <w:sz w:val="24"/>
                <w:szCs w:val="22"/>
                <w:u w:val="single"/>
              </w:rPr>
              <w:t>理设备处时，采用泵将水进行抽吸，废水经污水处理设备处理达到</w:t>
            </w:r>
            <w:r>
              <w:rPr>
                <w:rFonts w:hint="eastAsia"/>
                <w:color w:val="000000"/>
                <w:sz w:val="24"/>
                <w:u w:val="single"/>
                <w:lang w:bidi="ar"/>
              </w:rPr>
              <w:t>《水产养殖尾水污染物排放标准》（DB43/1752-2020）表1中的一级标准、《淡水池塘养殖水排放要求》（SC/T9101-2007）表1中的二级标准后外排至日东河</w:t>
            </w:r>
            <w:r>
              <w:rPr>
                <w:rFonts w:hint="eastAsia"/>
                <w:color w:val="000000"/>
                <w:sz w:val="24"/>
                <w:szCs w:val="22"/>
                <w:u w:val="single"/>
              </w:rPr>
              <w:t>。</w:t>
            </w:r>
          </w:p>
          <w:p>
            <w:pPr>
              <w:adjustRightInd w:val="0"/>
              <w:snapToGrid w:val="0"/>
              <w:spacing w:line="360" w:lineRule="auto"/>
              <w:ind w:firstLine="480" w:firstLineChars="200"/>
              <w:rPr>
                <w:color w:val="000000"/>
                <w:sz w:val="24"/>
                <w:szCs w:val="22"/>
                <w:u w:val="single"/>
              </w:rPr>
            </w:pPr>
            <w:r>
              <w:rPr>
                <w:rFonts w:hint="eastAsia"/>
                <w:color w:val="000000"/>
                <w:sz w:val="24"/>
                <w:szCs w:val="22"/>
                <w:u w:val="single"/>
              </w:rPr>
              <w:t>参考同类型项目以及查阅相关资料，养殖废水中各因子产生浓度为：COD：55mg/L、总氮：0.65mg/L、总磷：0.16mg/L、悬浮物：31mg/L、BOD</w:t>
            </w:r>
            <w:r>
              <w:rPr>
                <w:rFonts w:hint="eastAsia"/>
                <w:color w:val="000000"/>
                <w:sz w:val="24"/>
                <w:szCs w:val="22"/>
                <w:u w:val="single"/>
                <w:vertAlign w:val="subscript"/>
              </w:rPr>
              <w:t>5</w:t>
            </w:r>
            <w:r>
              <w:rPr>
                <w:rFonts w:hint="eastAsia"/>
                <w:color w:val="000000"/>
                <w:sz w:val="24"/>
                <w:szCs w:val="22"/>
                <w:u w:val="single"/>
              </w:rPr>
              <w:t>：14.4mg/L；稻田退水废水中各因子产生浓度为：总氮：36.2mg/L、总磷1.87mg/L。本项目综合废水产污系数及产生情况详见下表：</w:t>
            </w:r>
          </w:p>
          <w:p>
            <w:pPr>
              <w:ind w:firstLine="422" w:firstLineChars="200"/>
              <w:jc w:val="center"/>
              <w:rPr>
                <w:b/>
                <w:bCs/>
                <w:szCs w:val="21"/>
                <w:u w:val="single"/>
              </w:rPr>
            </w:pPr>
            <w:r>
              <w:rPr>
                <w:b/>
                <w:bCs/>
                <w:szCs w:val="21"/>
                <w:u w:val="single"/>
              </w:rPr>
              <w:t>表</w:t>
            </w:r>
            <w:r>
              <w:rPr>
                <w:rFonts w:hint="eastAsia"/>
                <w:b/>
                <w:bCs/>
                <w:szCs w:val="21"/>
                <w:u w:val="single"/>
              </w:rPr>
              <w:t>5-3</w:t>
            </w:r>
            <w:r>
              <w:rPr>
                <w:b/>
                <w:bCs/>
                <w:szCs w:val="21"/>
                <w:u w:val="single"/>
              </w:rPr>
              <w:t xml:space="preserve"> </w:t>
            </w:r>
            <w:r>
              <w:rPr>
                <w:rFonts w:hint="eastAsia"/>
                <w:b/>
                <w:bCs/>
                <w:szCs w:val="21"/>
                <w:u w:val="single"/>
              </w:rPr>
              <w:t>综合废水污染物产排情况</w:t>
            </w:r>
          </w:p>
          <w:tbl>
            <w:tblPr>
              <w:tblStyle w:val="24"/>
              <w:tblW w:w="0" w:type="auto"/>
              <w:jc w:val="center"/>
              <w:tblBorders>
                <w:top w:val="single" w:color="auto" w:sz="2" w:space="0"/>
                <w:left w:val="single" w:color="auto" w:sz="2" w:space="0"/>
                <w:bottom w:val="single" w:color="auto" w:sz="2" w:space="0"/>
                <w:right w:val="single" w:color="auto" w:sz="2" w:space="0"/>
                <w:insideH w:val="single" w:color="auto" w:sz="4" w:space="0"/>
                <w:insideV w:val="single" w:color="auto" w:sz="4" w:space="0"/>
              </w:tblBorders>
              <w:tblLayout w:type="autofit"/>
              <w:tblCellMar>
                <w:top w:w="0" w:type="dxa"/>
                <w:left w:w="108" w:type="dxa"/>
                <w:bottom w:w="0" w:type="dxa"/>
                <w:right w:w="108" w:type="dxa"/>
              </w:tblCellMar>
            </w:tblPr>
            <w:tblGrid>
              <w:gridCol w:w="1846"/>
              <w:gridCol w:w="1169"/>
              <w:gridCol w:w="913"/>
              <w:gridCol w:w="981"/>
              <w:gridCol w:w="1075"/>
              <w:gridCol w:w="981"/>
              <w:gridCol w:w="1060"/>
            </w:tblGrid>
            <w:tr>
              <w:tblPrEx>
                <w:tblBorders>
                  <w:top w:val="single" w:color="auto" w:sz="2" w:space="0"/>
                  <w:left w:val="single" w:color="auto" w:sz="2" w:space="0"/>
                  <w:bottom w:val="single" w:color="auto" w:sz="2" w:space="0"/>
                  <w:right w:val="single" w:color="auto" w:sz="2" w:space="0"/>
                  <w:insideH w:val="single" w:color="auto" w:sz="4" w:space="0"/>
                  <w:insideV w:val="single" w:color="auto" w:sz="4" w:space="0"/>
                </w:tblBorders>
                <w:tblCellMar>
                  <w:top w:w="0" w:type="dxa"/>
                  <w:left w:w="108" w:type="dxa"/>
                  <w:bottom w:w="0" w:type="dxa"/>
                  <w:right w:w="108" w:type="dxa"/>
                </w:tblCellMar>
              </w:tblPrEx>
              <w:trPr>
                <w:cantSplit/>
                <w:trHeight w:val="294" w:hRule="atLeast"/>
                <w:jc w:val="center"/>
              </w:trPr>
              <w:tc>
                <w:tcPr>
                  <w:tcW w:w="0" w:type="auto"/>
                  <w:tcBorders>
                    <w:tl2br w:val="nil"/>
                    <w:tr2bl w:val="nil"/>
                  </w:tcBorders>
                  <w:vAlign w:val="center"/>
                </w:tcPr>
                <w:p>
                  <w:pPr>
                    <w:jc w:val="center"/>
                    <w:rPr>
                      <w:color w:val="000000"/>
                      <w:szCs w:val="21"/>
                      <w:u w:val="single"/>
                    </w:rPr>
                  </w:pPr>
                  <w:r>
                    <w:rPr>
                      <w:rFonts w:hint="eastAsia"/>
                      <w:color w:val="000000"/>
                      <w:szCs w:val="21"/>
                      <w:u w:val="single"/>
                    </w:rPr>
                    <w:t>项目</w:t>
                  </w:r>
                </w:p>
              </w:tc>
              <w:tc>
                <w:tcPr>
                  <w:tcW w:w="0" w:type="auto"/>
                  <w:tcBorders>
                    <w:tl2br w:val="nil"/>
                    <w:tr2bl w:val="nil"/>
                  </w:tcBorders>
                  <w:vAlign w:val="center"/>
                </w:tcPr>
                <w:p>
                  <w:pPr>
                    <w:jc w:val="center"/>
                    <w:rPr>
                      <w:color w:val="000000"/>
                      <w:szCs w:val="21"/>
                      <w:u w:val="single"/>
                    </w:rPr>
                  </w:pPr>
                  <w:r>
                    <w:rPr>
                      <w:rFonts w:hint="eastAsia"/>
                      <w:color w:val="000000"/>
                      <w:szCs w:val="21"/>
                      <w:u w:val="single"/>
                    </w:rPr>
                    <w:t>废水量（t/a）</w:t>
                  </w:r>
                </w:p>
              </w:tc>
              <w:tc>
                <w:tcPr>
                  <w:tcW w:w="0" w:type="auto"/>
                  <w:tcBorders>
                    <w:tl2br w:val="nil"/>
                    <w:tr2bl w:val="nil"/>
                  </w:tcBorders>
                  <w:vAlign w:val="center"/>
                </w:tcPr>
                <w:p>
                  <w:pPr>
                    <w:jc w:val="center"/>
                    <w:rPr>
                      <w:color w:val="000000"/>
                      <w:szCs w:val="21"/>
                      <w:u w:val="single"/>
                    </w:rPr>
                  </w:pPr>
                  <w:r>
                    <w:rPr>
                      <w:rFonts w:hint="eastAsia"/>
                      <w:color w:val="000000"/>
                      <w:szCs w:val="21"/>
                      <w:u w:val="single"/>
                    </w:rPr>
                    <w:t>COD</w:t>
                  </w:r>
                </w:p>
              </w:tc>
              <w:tc>
                <w:tcPr>
                  <w:tcW w:w="0" w:type="auto"/>
                  <w:tcBorders>
                    <w:tl2br w:val="nil"/>
                    <w:tr2bl w:val="nil"/>
                  </w:tcBorders>
                  <w:vAlign w:val="center"/>
                </w:tcPr>
                <w:p>
                  <w:pPr>
                    <w:jc w:val="center"/>
                    <w:rPr>
                      <w:szCs w:val="21"/>
                      <w:u w:val="single"/>
                    </w:rPr>
                  </w:pPr>
                  <w:r>
                    <w:rPr>
                      <w:rFonts w:hint="eastAsia"/>
                      <w:szCs w:val="21"/>
                      <w:u w:val="single"/>
                    </w:rPr>
                    <w:t>总氮</w:t>
                  </w:r>
                </w:p>
              </w:tc>
              <w:tc>
                <w:tcPr>
                  <w:tcW w:w="0" w:type="auto"/>
                  <w:tcBorders>
                    <w:tl2br w:val="nil"/>
                    <w:tr2bl w:val="nil"/>
                  </w:tcBorders>
                  <w:vAlign w:val="center"/>
                </w:tcPr>
                <w:p>
                  <w:pPr>
                    <w:jc w:val="center"/>
                    <w:rPr>
                      <w:szCs w:val="21"/>
                      <w:u w:val="single"/>
                    </w:rPr>
                  </w:pPr>
                  <w:r>
                    <w:rPr>
                      <w:rFonts w:hint="eastAsia"/>
                      <w:szCs w:val="21"/>
                      <w:u w:val="single"/>
                    </w:rPr>
                    <w:t>总磷</w:t>
                  </w:r>
                </w:p>
              </w:tc>
              <w:tc>
                <w:tcPr>
                  <w:tcW w:w="0" w:type="auto"/>
                  <w:tcBorders>
                    <w:tl2br w:val="nil"/>
                    <w:tr2bl w:val="nil"/>
                  </w:tcBorders>
                  <w:vAlign w:val="center"/>
                </w:tcPr>
                <w:p>
                  <w:pPr>
                    <w:jc w:val="center"/>
                    <w:rPr>
                      <w:color w:val="000000"/>
                      <w:szCs w:val="21"/>
                      <w:u w:val="single"/>
                    </w:rPr>
                  </w:pPr>
                  <w:r>
                    <w:rPr>
                      <w:rFonts w:hint="eastAsia"/>
                      <w:color w:val="000000"/>
                      <w:szCs w:val="21"/>
                      <w:u w:val="single"/>
                    </w:rPr>
                    <w:t>悬浮物</w:t>
                  </w:r>
                </w:p>
              </w:tc>
              <w:tc>
                <w:tcPr>
                  <w:tcW w:w="0" w:type="auto"/>
                  <w:tcBorders>
                    <w:tl2br w:val="nil"/>
                    <w:tr2bl w:val="nil"/>
                  </w:tcBorders>
                  <w:vAlign w:val="center"/>
                </w:tcPr>
                <w:p>
                  <w:pPr>
                    <w:jc w:val="center"/>
                    <w:rPr>
                      <w:color w:val="000000"/>
                      <w:szCs w:val="21"/>
                      <w:u w:val="single"/>
                    </w:rPr>
                  </w:pPr>
                  <w:r>
                    <w:rPr>
                      <w:rFonts w:hint="eastAsia"/>
                      <w:color w:val="000000"/>
                      <w:szCs w:val="21"/>
                      <w:u w:val="single"/>
                    </w:rPr>
                    <w:t>BOD</w:t>
                  </w:r>
                  <w:r>
                    <w:rPr>
                      <w:rFonts w:hint="eastAsia"/>
                      <w:color w:val="000000"/>
                      <w:szCs w:val="21"/>
                      <w:u w:val="single"/>
                      <w:vertAlign w:val="subscript"/>
                    </w:rPr>
                    <w:t>5</w:t>
                  </w:r>
                </w:p>
              </w:tc>
            </w:tr>
            <w:tr>
              <w:tblPrEx>
                <w:tblBorders>
                  <w:top w:val="single" w:color="auto" w:sz="2" w:space="0"/>
                  <w:left w:val="single" w:color="auto" w:sz="2" w:space="0"/>
                  <w:bottom w:val="single" w:color="auto" w:sz="2" w:space="0"/>
                  <w:right w:val="single" w:color="auto" w:sz="2" w:space="0"/>
                  <w:insideH w:val="single" w:color="auto" w:sz="4" w:space="0"/>
                  <w:insideV w:val="single" w:color="auto" w:sz="4" w:space="0"/>
                </w:tblBorders>
                <w:tblCellMar>
                  <w:top w:w="0" w:type="dxa"/>
                  <w:left w:w="108" w:type="dxa"/>
                  <w:bottom w:w="0" w:type="dxa"/>
                  <w:right w:w="108" w:type="dxa"/>
                </w:tblCellMar>
              </w:tblPrEx>
              <w:trPr>
                <w:cantSplit/>
                <w:trHeight w:val="272" w:hRule="atLeast"/>
                <w:jc w:val="center"/>
              </w:trPr>
              <w:tc>
                <w:tcPr>
                  <w:tcW w:w="0" w:type="auto"/>
                  <w:tcBorders>
                    <w:tl2br w:val="nil"/>
                    <w:tr2bl w:val="nil"/>
                  </w:tcBorders>
                  <w:vAlign w:val="center"/>
                </w:tcPr>
                <w:p>
                  <w:pPr>
                    <w:jc w:val="center"/>
                    <w:rPr>
                      <w:szCs w:val="21"/>
                      <w:u w:val="single"/>
                    </w:rPr>
                  </w:pPr>
                  <w:r>
                    <w:rPr>
                      <w:rFonts w:hint="eastAsia"/>
                      <w:szCs w:val="21"/>
                      <w:u w:val="single"/>
                    </w:rPr>
                    <w:t>产生浓度（mg/L）</w:t>
                  </w:r>
                </w:p>
              </w:tc>
              <w:tc>
                <w:tcPr>
                  <w:tcW w:w="0" w:type="auto"/>
                  <w:tcBorders>
                    <w:tl2br w:val="nil"/>
                    <w:tr2bl w:val="nil"/>
                  </w:tcBorders>
                  <w:vAlign w:val="center"/>
                </w:tcPr>
                <w:p>
                  <w:pPr>
                    <w:jc w:val="center"/>
                    <w:rPr>
                      <w:szCs w:val="21"/>
                      <w:u w:val="single"/>
                    </w:rPr>
                  </w:pPr>
                  <w:r>
                    <w:rPr>
                      <w:rFonts w:hint="eastAsia"/>
                      <w:szCs w:val="21"/>
                      <w:u w:val="single"/>
                    </w:rPr>
                    <w:t>7776</w:t>
                  </w:r>
                </w:p>
              </w:tc>
              <w:tc>
                <w:tcPr>
                  <w:tcW w:w="0" w:type="auto"/>
                  <w:tcBorders>
                    <w:tl2br w:val="nil"/>
                    <w:tr2bl w:val="nil"/>
                  </w:tcBorders>
                  <w:vAlign w:val="center"/>
                </w:tcPr>
                <w:p>
                  <w:pPr>
                    <w:jc w:val="center"/>
                    <w:rPr>
                      <w:szCs w:val="21"/>
                      <w:u w:val="single"/>
                    </w:rPr>
                  </w:pPr>
                  <w:r>
                    <w:rPr>
                      <w:rFonts w:hint="eastAsia"/>
                      <w:szCs w:val="21"/>
                      <w:u w:val="single"/>
                    </w:rPr>
                    <w:t>55</w:t>
                  </w:r>
                </w:p>
              </w:tc>
              <w:tc>
                <w:tcPr>
                  <w:tcW w:w="0" w:type="auto"/>
                  <w:tcBorders>
                    <w:tl2br w:val="nil"/>
                    <w:tr2bl w:val="nil"/>
                  </w:tcBorders>
                  <w:vAlign w:val="center"/>
                </w:tcPr>
                <w:p>
                  <w:pPr>
                    <w:jc w:val="center"/>
                    <w:rPr>
                      <w:szCs w:val="21"/>
                      <w:u w:val="single"/>
                    </w:rPr>
                  </w:pPr>
                  <w:r>
                    <w:rPr>
                      <w:rFonts w:hint="eastAsia"/>
                      <w:szCs w:val="21"/>
                      <w:u w:val="single"/>
                    </w:rPr>
                    <w:t>36.85</w:t>
                  </w:r>
                </w:p>
              </w:tc>
              <w:tc>
                <w:tcPr>
                  <w:tcW w:w="0" w:type="auto"/>
                  <w:tcBorders>
                    <w:tl2br w:val="nil"/>
                    <w:tr2bl w:val="nil"/>
                  </w:tcBorders>
                  <w:vAlign w:val="center"/>
                </w:tcPr>
                <w:p>
                  <w:pPr>
                    <w:jc w:val="center"/>
                    <w:rPr>
                      <w:szCs w:val="21"/>
                      <w:u w:val="single"/>
                    </w:rPr>
                  </w:pPr>
                  <w:r>
                    <w:rPr>
                      <w:rFonts w:hint="eastAsia"/>
                      <w:szCs w:val="21"/>
                      <w:u w:val="single"/>
                    </w:rPr>
                    <w:t>2.03</w:t>
                  </w:r>
                </w:p>
              </w:tc>
              <w:tc>
                <w:tcPr>
                  <w:tcW w:w="0" w:type="auto"/>
                  <w:tcBorders>
                    <w:tl2br w:val="nil"/>
                    <w:tr2bl w:val="nil"/>
                  </w:tcBorders>
                  <w:vAlign w:val="center"/>
                </w:tcPr>
                <w:p>
                  <w:pPr>
                    <w:jc w:val="center"/>
                    <w:rPr>
                      <w:szCs w:val="21"/>
                      <w:u w:val="single"/>
                    </w:rPr>
                  </w:pPr>
                  <w:r>
                    <w:rPr>
                      <w:rFonts w:hint="eastAsia"/>
                      <w:szCs w:val="21"/>
                      <w:u w:val="single"/>
                    </w:rPr>
                    <w:t>31</w:t>
                  </w:r>
                </w:p>
              </w:tc>
              <w:tc>
                <w:tcPr>
                  <w:tcW w:w="0" w:type="auto"/>
                  <w:tcBorders>
                    <w:tl2br w:val="nil"/>
                    <w:tr2bl w:val="nil"/>
                  </w:tcBorders>
                  <w:vAlign w:val="center"/>
                </w:tcPr>
                <w:p>
                  <w:pPr>
                    <w:jc w:val="center"/>
                    <w:rPr>
                      <w:szCs w:val="21"/>
                      <w:u w:val="single"/>
                    </w:rPr>
                  </w:pPr>
                  <w:r>
                    <w:rPr>
                      <w:rFonts w:hint="eastAsia"/>
                      <w:szCs w:val="21"/>
                      <w:u w:val="single"/>
                    </w:rPr>
                    <w:t>14.4</w:t>
                  </w:r>
                </w:p>
              </w:tc>
            </w:tr>
            <w:tr>
              <w:tblPrEx>
                <w:tblBorders>
                  <w:top w:val="single" w:color="auto" w:sz="2" w:space="0"/>
                  <w:left w:val="single" w:color="auto" w:sz="2" w:space="0"/>
                  <w:bottom w:val="single" w:color="auto" w:sz="2" w:space="0"/>
                  <w:right w:val="single" w:color="auto" w:sz="2" w:space="0"/>
                  <w:insideH w:val="single" w:color="auto" w:sz="4" w:space="0"/>
                  <w:insideV w:val="single" w:color="auto" w:sz="4" w:space="0"/>
                </w:tblBorders>
              </w:tblPrEx>
              <w:trPr>
                <w:cantSplit/>
                <w:trHeight w:val="282" w:hRule="atLeast"/>
                <w:jc w:val="center"/>
              </w:trPr>
              <w:tc>
                <w:tcPr>
                  <w:tcW w:w="0" w:type="auto"/>
                  <w:tcBorders>
                    <w:tl2br w:val="nil"/>
                    <w:tr2bl w:val="nil"/>
                  </w:tcBorders>
                  <w:vAlign w:val="center"/>
                </w:tcPr>
                <w:p>
                  <w:pPr>
                    <w:jc w:val="center"/>
                    <w:rPr>
                      <w:szCs w:val="21"/>
                      <w:u w:val="single"/>
                    </w:rPr>
                  </w:pPr>
                  <w:r>
                    <w:rPr>
                      <w:rFonts w:hint="eastAsia"/>
                      <w:szCs w:val="21"/>
                      <w:u w:val="single"/>
                    </w:rPr>
                    <w:t>污染物产生量（t/a）</w:t>
                  </w:r>
                </w:p>
              </w:tc>
              <w:tc>
                <w:tcPr>
                  <w:tcW w:w="0" w:type="auto"/>
                  <w:tcBorders>
                    <w:tl2br w:val="nil"/>
                    <w:tr2bl w:val="nil"/>
                  </w:tcBorders>
                  <w:vAlign w:val="center"/>
                </w:tcPr>
                <w:p>
                  <w:pPr>
                    <w:jc w:val="center"/>
                    <w:rPr>
                      <w:szCs w:val="21"/>
                      <w:u w:val="single"/>
                    </w:rPr>
                  </w:pPr>
                  <w:r>
                    <w:rPr>
                      <w:rFonts w:hint="eastAsia"/>
                      <w:szCs w:val="21"/>
                      <w:u w:val="single"/>
                    </w:rPr>
                    <w:t>/</w:t>
                  </w:r>
                </w:p>
              </w:tc>
              <w:tc>
                <w:tcPr>
                  <w:tcW w:w="913" w:type="dxa"/>
                  <w:tcBorders>
                    <w:tl2br w:val="nil"/>
                    <w:tr2bl w:val="nil"/>
                  </w:tcBorders>
                  <w:vAlign w:val="center"/>
                </w:tcPr>
                <w:p>
                  <w:pPr>
                    <w:widowControl/>
                    <w:jc w:val="center"/>
                    <w:textAlignment w:val="center"/>
                    <w:rPr>
                      <w:szCs w:val="21"/>
                      <w:u w:val="single"/>
                    </w:rPr>
                  </w:pPr>
                  <w:r>
                    <w:rPr>
                      <w:color w:val="000000"/>
                      <w:kern w:val="0"/>
                      <w:szCs w:val="21"/>
                      <w:u w:val="single"/>
                      <w:lang w:bidi="ar"/>
                    </w:rPr>
                    <w:t>0.4</w:t>
                  </w:r>
                  <w:r>
                    <w:rPr>
                      <w:rFonts w:hint="eastAsia"/>
                      <w:color w:val="000000"/>
                      <w:kern w:val="0"/>
                      <w:szCs w:val="21"/>
                      <w:u w:val="single"/>
                      <w:lang w:bidi="ar"/>
                    </w:rPr>
                    <w:t>3</w:t>
                  </w:r>
                </w:p>
              </w:tc>
              <w:tc>
                <w:tcPr>
                  <w:tcW w:w="981" w:type="dxa"/>
                  <w:tcBorders>
                    <w:tl2br w:val="nil"/>
                    <w:tr2bl w:val="nil"/>
                  </w:tcBorders>
                  <w:vAlign w:val="center"/>
                </w:tcPr>
                <w:p>
                  <w:pPr>
                    <w:widowControl/>
                    <w:jc w:val="center"/>
                    <w:textAlignment w:val="center"/>
                    <w:rPr>
                      <w:szCs w:val="21"/>
                      <w:u w:val="single"/>
                    </w:rPr>
                  </w:pPr>
                  <w:r>
                    <w:rPr>
                      <w:color w:val="000000"/>
                      <w:kern w:val="0"/>
                      <w:szCs w:val="21"/>
                      <w:u w:val="single"/>
                      <w:lang w:bidi="ar"/>
                    </w:rPr>
                    <w:t>0.2</w:t>
                  </w:r>
                  <w:r>
                    <w:rPr>
                      <w:rFonts w:hint="eastAsia"/>
                      <w:color w:val="000000"/>
                      <w:kern w:val="0"/>
                      <w:szCs w:val="21"/>
                      <w:u w:val="single"/>
                      <w:lang w:bidi="ar"/>
                    </w:rPr>
                    <w:t>9</w:t>
                  </w:r>
                </w:p>
              </w:tc>
              <w:tc>
                <w:tcPr>
                  <w:tcW w:w="1075" w:type="dxa"/>
                  <w:tcBorders>
                    <w:tl2br w:val="nil"/>
                    <w:tr2bl w:val="nil"/>
                  </w:tcBorders>
                  <w:vAlign w:val="center"/>
                </w:tcPr>
                <w:p>
                  <w:pPr>
                    <w:widowControl/>
                    <w:jc w:val="center"/>
                    <w:textAlignment w:val="center"/>
                    <w:rPr>
                      <w:szCs w:val="21"/>
                      <w:u w:val="single"/>
                    </w:rPr>
                  </w:pPr>
                  <w:r>
                    <w:rPr>
                      <w:color w:val="000000"/>
                      <w:kern w:val="0"/>
                      <w:szCs w:val="21"/>
                      <w:u w:val="single"/>
                      <w:lang w:bidi="ar"/>
                    </w:rPr>
                    <w:t>0.01</w:t>
                  </w:r>
                  <w:r>
                    <w:rPr>
                      <w:rFonts w:hint="eastAsia"/>
                      <w:color w:val="000000"/>
                      <w:kern w:val="0"/>
                      <w:szCs w:val="21"/>
                      <w:u w:val="single"/>
                      <w:lang w:bidi="ar"/>
                    </w:rPr>
                    <w:t>6</w:t>
                  </w:r>
                </w:p>
              </w:tc>
              <w:tc>
                <w:tcPr>
                  <w:tcW w:w="981" w:type="dxa"/>
                  <w:tcBorders>
                    <w:tl2br w:val="nil"/>
                    <w:tr2bl w:val="nil"/>
                  </w:tcBorders>
                  <w:vAlign w:val="center"/>
                </w:tcPr>
                <w:p>
                  <w:pPr>
                    <w:widowControl/>
                    <w:jc w:val="center"/>
                    <w:textAlignment w:val="center"/>
                    <w:rPr>
                      <w:szCs w:val="21"/>
                      <w:u w:val="single"/>
                    </w:rPr>
                  </w:pPr>
                  <w:r>
                    <w:rPr>
                      <w:color w:val="000000"/>
                      <w:kern w:val="0"/>
                      <w:szCs w:val="21"/>
                      <w:u w:val="single"/>
                      <w:lang w:bidi="ar"/>
                    </w:rPr>
                    <w:t>0.24</w:t>
                  </w:r>
                </w:p>
              </w:tc>
              <w:tc>
                <w:tcPr>
                  <w:tcW w:w="1060" w:type="dxa"/>
                  <w:tcBorders>
                    <w:tl2br w:val="nil"/>
                    <w:tr2bl w:val="nil"/>
                  </w:tcBorders>
                  <w:vAlign w:val="center"/>
                </w:tcPr>
                <w:p>
                  <w:pPr>
                    <w:widowControl/>
                    <w:jc w:val="center"/>
                    <w:textAlignment w:val="center"/>
                    <w:rPr>
                      <w:szCs w:val="21"/>
                      <w:u w:val="single"/>
                    </w:rPr>
                  </w:pPr>
                  <w:r>
                    <w:rPr>
                      <w:color w:val="000000"/>
                      <w:kern w:val="0"/>
                      <w:szCs w:val="21"/>
                      <w:u w:val="single"/>
                      <w:lang w:bidi="ar"/>
                    </w:rPr>
                    <w:t>0.11</w:t>
                  </w:r>
                </w:p>
              </w:tc>
            </w:tr>
            <w:tr>
              <w:tblPrEx>
                <w:tblBorders>
                  <w:top w:val="single" w:color="auto" w:sz="2" w:space="0"/>
                  <w:left w:val="single" w:color="auto" w:sz="2" w:space="0"/>
                  <w:bottom w:val="single" w:color="auto" w:sz="2" w:space="0"/>
                  <w:right w:val="single" w:color="auto" w:sz="2" w:space="0"/>
                  <w:insideH w:val="single" w:color="auto" w:sz="4" w:space="0"/>
                  <w:insideV w:val="single" w:color="auto" w:sz="4" w:space="0"/>
                </w:tblBorders>
              </w:tblPrEx>
              <w:trPr>
                <w:cantSplit/>
                <w:trHeight w:val="282" w:hRule="atLeast"/>
                <w:jc w:val="center"/>
              </w:trPr>
              <w:tc>
                <w:tcPr>
                  <w:tcW w:w="0" w:type="auto"/>
                  <w:tcBorders>
                    <w:tl2br w:val="nil"/>
                    <w:tr2bl w:val="nil"/>
                  </w:tcBorders>
                  <w:vAlign w:val="center"/>
                </w:tcPr>
                <w:p>
                  <w:pPr>
                    <w:jc w:val="center"/>
                    <w:rPr>
                      <w:szCs w:val="21"/>
                      <w:u w:val="single"/>
                    </w:rPr>
                  </w:pPr>
                  <w:r>
                    <w:rPr>
                      <w:rFonts w:hint="eastAsia"/>
                      <w:szCs w:val="21"/>
                      <w:u w:val="single"/>
                    </w:rPr>
                    <w:t>去除效率</w:t>
                  </w:r>
                </w:p>
              </w:tc>
              <w:tc>
                <w:tcPr>
                  <w:tcW w:w="0" w:type="auto"/>
                  <w:tcBorders>
                    <w:tl2br w:val="nil"/>
                    <w:tr2bl w:val="nil"/>
                  </w:tcBorders>
                  <w:vAlign w:val="center"/>
                </w:tcPr>
                <w:p>
                  <w:pPr>
                    <w:jc w:val="center"/>
                    <w:rPr>
                      <w:szCs w:val="21"/>
                      <w:u w:val="single"/>
                    </w:rPr>
                  </w:pPr>
                  <w:r>
                    <w:rPr>
                      <w:rFonts w:hint="eastAsia"/>
                      <w:szCs w:val="21"/>
                      <w:u w:val="single"/>
                    </w:rPr>
                    <w:t>/</w:t>
                  </w:r>
                </w:p>
              </w:tc>
              <w:tc>
                <w:tcPr>
                  <w:tcW w:w="0" w:type="auto"/>
                  <w:tcBorders>
                    <w:tl2br w:val="nil"/>
                    <w:tr2bl w:val="nil"/>
                  </w:tcBorders>
                  <w:vAlign w:val="center"/>
                </w:tcPr>
                <w:p>
                  <w:pPr>
                    <w:jc w:val="center"/>
                    <w:rPr>
                      <w:szCs w:val="21"/>
                      <w:u w:val="single"/>
                    </w:rPr>
                  </w:pPr>
                  <w:r>
                    <w:rPr>
                      <w:rFonts w:hint="eastAsia"/>
                      <w:szCs w:val="21"/>
                      <w:u w:val="single"/>
                    </w:rPr>
                    <w:t>85%</w:t>
                  </w:r>
                </w:p>
              </w:tc>
              <w:tc>
                <w:tcPr>
                  <w:tcW w:w="0" w:type="auto"/>
                  <w:tcBorders>
                    <w:tl2br w:val="nil"/>
                    <w:tr2bl w:val="nil"/>
                  </w:tcBorders>
                  <w:vAlign w:val="center"/>
                </w:tcPr>
                <w:p>
                  <w:pPr>
                    <w:jc w:val="center"/>
                    <w:rPr>
                      <w:szCs w:val="21"/>
                      <w:u w:val="single"/>
                    </w:rPr>
                  </w:pPr>
                  <w:r>
                    <w:rPr>
                      <w:rFonts w:hint="eastAsia"/>
                      <w:szCs w:val="21"/>
                      <w:u w:val="single"/>
                    </w:rPr>
                    <w:t>95%</w:t>
                  </w:r>
                </w:p>
              </w:tc>
              <w:tc>
                <w:tcPr>
                  <w:tcW w:w="0" w:type="auto"/>
                  <w:tcBorders>
                    <w:tl2br w:val="nil"/>
                    <w:tr2bl w:val="nil"/>
                  </w:tcBorders>
                  <w:vAlign w:val="center"/>
                </w:tcPr>
                <w:p>
                  <w:pPr>
                    <w:jc w:val="center"/>
                    <w:rPr>
                      <w:szCs w:val="21"/>
                      <w:u w:val="single"/>
                    </w:rPr>
                  </w:pPr>
                  <w:r>
                    <w:rPr>
                      <w:rFonts w:hint="eastAsia"/>
                      <w:szCs w:val="21"/>
                      <w:u w:val="single"/>
                    </w:rPr>
                    <w:t>70%</w:t>
                  </w:r>
                </w:p>
              </w:tc>
              <w:tc>
                <w:tcPr>
                  <w:tcW w:w="0" w:type="auto"/>
                  <w:tcBorders>
                    <w:tl2br w:val="nil"/>
                    <w:tr2bl w:val="nil"/>
                  </w:tcBorders>
                  <w:vAlign w:val="center"/>
                </w:tcPr>
                <w:p>
                  <w:pPr>
                    <w:jc w:val="center"/>
                    <w:rPr>
                      <w:szCs w:val="21"/>
                      <w:u w:val="single"/>
                    </w:rPr>
                  </w:pPr>
                  <w:r>
                    <w:rPr>
                      <w:rFonts w:hint="eastAsia"/>
                      <w:szCs w:val="21"/>
                      <w:u w:val="single"/>
                    </w:rPr>
                    <w:t>80%</w:t>
                  </w:r>
                </w:p>
              </w:tc>
              <w:tc>
                <w:tcPr>
                  <w:tcW w:w="0" w:type="auto"/>
                  <w:tcBorders>
                    <w:tl2br w:val="nil"/>
                    <w:tr2bl w:val="nil"/>
                  </w:tcBorders>
                  <w:vAlign w:val="center"/>
                </w:tcPr>
                <w:p>
                  <w:pPr>
                    <w:jc w:val="center"/>
                    <w:rPr>
                      <w:szCs w:val="21"/>
                      <w:u w:val="single"/>
                    </w:rPr>
                  </w:pPr>
                  <w:r>
                    <w:rPr>
                      <w:rFonts w:hint="eastAsia"/>
                      <w:szCs w:val="21"/>
                      <w:u w:val="single"/>
                    </w:rPr>
                    <w:t>83%</w:t>
                  </w:r>
                </w:p>
              </w:tc>
            </w:tr>
            <w:tr>
              <w:tblPrEx>
                <w:tblBorders>
                  <w:top w:val="single" w:color="auto" w:sz="2" w:space="0"/>
                  <w:left w:val="single" w:color="auto" w:sz="2" w:space="0"/>
                  <w:bottom w:val="single" w:color="auto" w:sz="2" w:space="0"/>
                  <w:right w:val="single" w:color="auto" w:sz="2" w:space="0"/>
                  <w:insideH w:val="single" w:color="auto" w:sz="4" w:space="0"/>
                  <w:insideV w:val="single" w:color="auto" w:sz="4" w:space="0"/>
                </w:tblBorders>
              </w:tblPrEx>
              <w:trPr>
                <w:cantSplit/>
                <w:trHeight w:val="282" w:hRule="atLeast"/>
                <w:jc w:val="center"/>
              </w:trPr>
              <w:tc>
                <w:tcPr>
                  <w:tcW w:w="0" w:type="auto"/>
                  <w:tcBorders>
                    <w:tl2br w:val="nil"/>
                    <w:tr2bl w:val="nil"/>
                  </w:tcBorders>
                  <w:vAlign w:val="center"/>
                </w:tcPr>
                <w:p>
                  <w:pPr>
                    <w:jc w:val="center"/>
                    <w:rPr>
                      <w:szCs w:val="21"/>
                      <w:u w:val="single"/>
                    </w:rPr>
                  </w:pPr>
                  <w:r>
                    <w:rPr>
                      <w:rFonts w:hint="eastAsia"/>
                      <w:szCs w:val="21"/>
                      <w:u w:val="single"/>
                    </w:rPr>
                    <w:t>排放浓度（mg/L）</w:t>
                  </w:r>
                </w:p>
              </w:tc>
              <w:tc>
                <w:tcPr>
                  <w:tcW w:w="0" w:type="auto"/>
                  <w:tcBorders>
                    <w:tl2br w:val="nil"/>
                    <w:tr2bl w:val="nil"/>
                  </w:tcBorders>
                  <w:vAlign w:val="center"/>
                </w:tcPr>
                <w:p>
                  <w:pPr>
                    <w:jc w:val="center"/>
                    <w:rPr>
                      <w:szCs w:val="21"/>
                      <w:u w:val="single"/>
                    </w:rPr>
                  </w:pPr>
                  <w:r>
                    <w:rPr>
                      <w:rFonts w:hint="eastAsia"/>
                      <w:szCs w:val="21"/>
                      <w:u w:val="single"/>
                    </w:rPr>
                    <w:t>/</w:t>
                  </w:r>
                </w:p>
              </w:tc>
              <w:tc>
                <w:tcPr>
                  <w:tcW w:w="0" w:type="auto"/>
                  <w:tcBorders>
                    <w:tl2br w:val="nil"/>
                    <w:tr2bl w:val="nil"/>
                  </w:tcBorders>
                  <w:vAlign w:val="center"/>
                </w:tcPr>
                <w:p>
                  <w:pPr>
                    <w:jc w:val="center"/>
                    <w:rPr>
                      <w:szCs w:val="21"/>
                      <w:u w:val="single"/>
                    </w:rPr>
                  </w:pPr>
                  <w:r>
                    <w:rPr>
                      <w:szCs w:val="21"/>
                      <w:u w:val="single"/>
                    </w:rPr>
                    <w:t>8.25</w:t>
                  </w:r>
                </w:p>
              </w:tc>
              <w:tc>
                <w:tcPr>
                  <w:tcW w:w="0" w:type="auto"/>
                  <w:tcBorders>
                    <w:tl2br w:val="nil"/>
                    <w:tr2bl w:val="nil"/>
                  </w:tcBorders>
                  <w:vAlign w:val="center"/>
                </w:tcPr>
                <w:p>
                  <w:pPr>
                    <w:jc w:val="center"/>
                    <w:rPr>
                      <w:szCs w:val="21"/>
                      <w:u w:val="single"/>
                    </w:rPr>
                  </w:pPr>
                  <w:r>
                    <w:rPr>
                      <w:rFonts w:hint="eastAsia"/>
                      <w:szCs w:val="21"/>
                      <w:u w:val="single"/>
                    </w:rPr>
                    <w:t>1.84</w:t>
                  </w:r>
                </w:p>
              </w:tc>
              <w:tc>
                <w:tcPr>
                  <w:tcW w:w="0" w:type="auto"/>
                  <w:tcBorders>
                    <w:tl2br w:val="nil"/>
                    <w:tr2bl w:val="nil"/>
                  </w:tcBorders>
                  <w:vAlign w:val="center"/>
                </w:tcPr>
                <w:p>
                  <w:pPr>
                    <w:jc w:val="center"/>
                    <w:rPr>
                      <w:szCs w:val="21"/>
                      <w:u w:val="single"/>
                    </w:rPr>
                  </w:pPr>
                  <w:r>
                    <w:rPr>
                      <w:rFonts w:hint="eastAsia"/>
                      <w:szCs w:val="21"/>
                      <w:u w:val="single"/>
                    </w:rPr>
                    <w:t>0.609</w:t>
                  </w:r>
                </w:p>
              </w:tc>
              <w:tc>
                <w:tcPr>
                  <w:tcW w:w="0" w:type="auto"/>
                  <w:tcBorders>
                    <w:tl2br w:val="nil"/>
                    <w:tr2bl w:val="nil"/>
                  </w:tcBorders>
                  <w:vAlign w:val="center"/>
                </w:tcPr>
                <w:p>
                  <w:pPr>
                    <w:jc w:val="center"/>
                    <w:rPr>
                      <w:szCs w:val="21"/>
                      <w:u w:val="single"/>
                    </w:rPr>
                  </w:pPr>
                  <w:r>
                    <w:rPr>
                      <w:szCs w:val="21"/>
                      <w:u w:val="single"/>
                    </w:rPr>
                    <w:t>6.2</w:t>
                  </w:r>
                </w:p>
              </w:tc>
              <w:tc>
                <w:tcPr>
                  <w:tcW w:w="0" w:type="auto"/>
                  <w:tcBorders>
                    <w:tl2br w:val="nil"/>
                    <w:tr2bl w:val="nil"/>
                  </w:tcBorders>
                  <w:vAlign w:val="center"/>
                </w:tcPr>
                <w:p>
                  <w:pPr>
                    <w:jc w:val="center"/>
                    <w:rPr>
                      <w:szCs w:val="21"/>
                      <w:u w:val="single"/>
                    </w:rPr>
                  </w:pPr>
                  <w:r>
                    <w:rPr>
                      <w:szCs w:val="21"/>
                      <w:u w:val="single"/>
                    </w:rPr>
                    <w:t>2.4</w:t>
                  </w:r>
                  <w:r>
                    <w:rPr>
                      <w:rFonts w:hint="eastAsia"/>
                      <w:szCs w:val="21"/>
                      <w:u w:val="single"/>
                    </w:rPr>
                    <w:t>48</w:t>
                  </w:r>
                </w:p>
              </w:tc>
            </w:tr>
            <w:tr>
              <w:tblPrEx>
                <w:tblBorders>
                  <w:top w:val="single" w:color="auto" w:sz="2" w:space="0"/>
                  <w:left w:val="single" w:color="auto" w:sz="2" w:space="0"/>
                  <w:bottom w:val="single" w:color="auto" w:sz="2" w:space="0"/>
                  <w:right w:val="single" w:color="auto" w:sz="2" w:space="0"/>
                  <w:insideH w:val="single" w:color="auto" w:sz="4" w:space="0"/>
                  <w:insideV w:val="single" w:color="auto" w:sz="4" w:space="0"/>
                </w:tblBorders>
              </w:tblPrEx>
              <w:trPr>
                <w:cantSplit/>
                <w:trHeight w:val="282" w:hRule="atLeast"/>
                <w:jc w:val="center"/>
              </w:trPr>
              <w:tc>
                <w:tcPr>
                  <w:tcW w:w="0" w:type="auto"/>
                  <w:tcBorders>
                    <w:tl2br w:val="nil"/>
                    <w:tr2bl w:val="nil"/>
                  </w:tcBorders>
                  <w:vAlign w:val="center"/>
                </w:tcPr>
                <w:p>
                  <w:pPr>
                    <w:jc w:val="center"/>
                    <w:rPr>
                      <w:szCs w:val="21"/>
                      <w:u w:val="single"/>
                    </w:rPr>
                  </w:pPr>
                  <w:r>
                    <w:rPr>
                      <w:rFonts w:hint="eastAsia"/>
                      <w:szCs w:val="21"/>
                      <w:u w:val="single"/>
                    </w:rPr>
                    <w:t>污染物排放量（t/a）</w:t>
                  </w:r>
                </w:p>
              </w:tc>
              <w:tc>
                <w:tcPr>
                  <w:tcW w:w="0" w:type="auto"/>
                  <w:tcBorders>
                    <w:tl2br w:val="nil"/>
                    <w:tr2bl w:val="nil"/>
                  </w:tcBorders>
                  <w:vAlign w:val="center"/>
                </w:tcPr>
                <w:p>
                  <w:pPr>
                    <w:jc w:val="center"/>
                    <w:rPr>
                      <w:szCs w:val="21"/>
                      <w:u w:val="single"/>
                    </w:rPr>
                  </w:pPr>
                  <w:r>
                    <w:rPr>
                      <w:szCs w:val="21"/>
                      <w:u w:val="single"/>
                    </w:rPr>
                    <w:t>6998.4</w:t>
                  </w:r>
                </w:p>
              </w:tc>
              <w:tc>
                <w:tcPr>
                  <w:tcW w:w="913" w:type="dxa"/>
                  <w:tcBorders>
                    <w:tl2br w:val="nil"/>
                    <w:tr2bl w:val="nil"/>
                  </w:tcBorders>
                  <w:vAlign w:val="center"/>
                </w:tcPr>
                <w:p>
                  <w:pPr>
                    <w:widowControl/>
                    <w:jc w:val="center"/>
                    <w:textAlignment w:val="center"/>
                    <w:rPr>
                      <w:szCs w:val="21"/>
                      <w:u w:val="single"/>
                    </w:rPr>
                  </w:pPr>
                  <w:r>
                    <w:rPr>
                      <w:color w:val="000000"/>
                      <w:kern w:val="0"/>
                      <w:szCs w:val="21"/>
                      <w:u w:val="single"/>
                      <w:lang w:bidi="ar"/>
                    </w:rPr>
                    <w:t>0.058</w:t>
                  </w:r>
                </w:p>
              </w:tc>
              <w:tc>
                <w:tcPr>
                  <w:tcW w:w="981" w:type="dxa"/>
                  <w:tcBorders>
                    <w:tl2br w:val="nil"/>
                    <w:tr2bl w:val="nil"/>
                  </w:tcBorders>
                  <w:vAlign w:val="center"/>
                </w:tcPr>
                <w:p>
                  <w:pPr>
                    <w:widowControl/>
                    <w:jc w:val="center"/>
                    <w:textAlignment w:val="center"/>
                    <w:rPr>
                      <w:szCs w:val="21"/>
                      <w:u w:val="single"/>
                    </w:rPr>
                  </w:pPr>
                  <w:r>
                    <w:rPr>
                      <w:color w:val="000000"/>
                      <w:kern w:val="0"/>
                      <w:szCs w:val="21"/>
                      <w:u w:val="single"/>
                      <w:lang w:bidi="ar"/>
                    </w:rPr>
                    <w:t>0.01</w:t>
                  </w:r>
                  <w:r>
                    <w:rPr>
                      <w:rFonts w:hint="eastAsia"/>
                      <w:color w:val="000000"/>
                      <w:kern w:val="0"/>
                      <w:szCs w:val="21"/>
                      <w:u w:val="single"/>
                      <w:lang w:bidi="ar"/>
                    </w:rPr>
                    <w:t>3</w:t>
                  </w:r>
                </w:p>
              </w:tc>
              <w:tc>
                <w:tcPr>
                  <w:tcW w:w="1075" w:type="dxa"/>
                  <w:tcBorders>
                    <w:tl2br w:val="nil"/>
                    <w:tr2bl w:val="nil"/>
                  </w:tcBorders>
                  <w:vAlign w:val="center"/>
                </w:tcPr>
                <w:p>
                  <w:pPr>
                    <w:widowControl/>
                    <w:jc w:val="center"/>
                    <w:textAlignment w:val="center"/>
                    <w:rPr>
                      <w:szCs w:val="21"/>
                      <w:u w:val="single"/>
                    </w:rPr>
                  </w:pPr>
                  <w:r>
                    <w:rPr>
                      <w:color w:val="000000"/>
                      <w:kern w:val="0"/>
                      <w:szCs w:val="21"/>
                      <w:u w:val="single"/>
                      <w:lang w:bidi="ar"/>
                    </w:rPr>
                    <w:t>0.004</w:t>
                  </w:r>
                  <w:r>
                    <w:rPr>
                      <w:rFonts w:hint="eastAsia"/>
                      <w:color w:val="000000"/>
                      <w:kern w:val="0"/>
                      <w:szCs w:val="21"/>
                      <w:u w:val="single"/>
                      <w:lang w:bidi="ar"/>
                    </w:rPr>
                    <w:t>3</w:t>
                  </w:r>
                </w:p>
              </w:tc>
              <w:tc>
                <w:tcPr>
                  <w:tcW w:w="981" w:type="dxa"/>
                  <w:tcBorders>
                    <w:tl2br w:val="nil"/>
                    <w:tr2bl w:val="nil"/>
                  </w:tcBorders>
                  <w:vAlign w:val="center"/>
                </w:tcPr>
                <w:p>
                  <w:pPr>
                    <w:widowControl/>
                    <w:jc w:val="center"/>
                    <w:textAlignment w:val="center"/>
                    <w:rPr>
                      <w:szCs w:val="21"/>
                      <w:u w:val="single"/>
                    </w:rPr>
                  </w:pPr>
                  <w:r>
                    <w:rPr>
                      <w:color w:val="000000"/>
                      <w:kern w:val="0"/>
                      <w:szCs w:val="21"/>
                      <w:u w:val="single"/>
                      <w:lang w:bidi="ar"/>
                    </w:rPr>
                    <w:t>0.043</w:t>
                  </w:r>
                </w:p>
              </w:tc>
              <w:tc>
                <w:tcPr>
                  <w:tcW w:w="1060" w:type="dxa"/>
                  <w:tcBorders>
                    <w:tl2br w:val="nil"/>
                    <w:tr2bl w:val="nil"/>
                  </w:tcBorders>
                  <w:vAlign w:val="center"/>
                </w:tcPr>
                <w:p>
                  <w:pPr>
                    <w:widowControl/>
                    <w:jc w:val="center"/>
                    <w:textAlignment w:val="center"/>
                    <w:rPr>
                      <w:szCs w:val="21"/>
                      <w:u w:val="single"/>
                    </w:rPr>
                  </w:pPr>
                  <w:r>
                    <w:rPr>
                      <w:color w:val="000000"/>
                      <w:kern w:val="0"/>
                      <w:szCs w:val="21"/>
                      <w:u w:val="single"/>
                      <w:lang w:bidi="ar"/>
                    </w:rPr>
                    <w:t>0.017</w:t>
                  </w:r>
                </w:p>
              </w:tc>
            </w:tr>
            <w:tr>
              <w:tblPrEx>
                <w:tblBorders>
                  <w:top w:val="single" w:color="auto" w:sz="2" w:space="0"/>
                  <w:left w:val="single" w:color="auto" w:sz="2" w:space="0"/>
                  <w:bottom w:val="single" w:color="auto" w:sz="2" w:space="0"/>
                  <w:right w:val="single" w:color="auto" w:sz="2" w:space="0"/>
                  <w:insideH w:val="single" w:color="auto" w:sz="4" w:space="0"/>
                  <w:insideV w:val="single" w:color="auto" w:sz="4" w:space="0"/>
                </w:tblBorders>
              </w:tblPrEx>
              <w:trPr>
                <w:cantSplit/>
                <w:trHeight w:val="282" w:hRule="atLeast"/>
                <w:jc w:val="center"/>
              </w:trPr>
              <w:tc>
                <w:tcPr>
                  <w:tcW w:w="0" w:type="auto"/>
                  <w:tcBorders>
                    <w:tl2br w:val="nil"/>
                    <w:tr2bl w:val="nil"/>
                  </w:tcBorders>
                  <w:vAlign w:val="center"/>
                </w:tcPr>
                <w:p>
                  <w:pPr>
                    <w:jc w:val="center"/>
                    <w:rPr>
                      <w:szCs w:val="21"/>
                      <w:u w:val="single"/>
                    </w:rPr>
                  </w:pPr>
                  <w:r>
                    <w:rPr>
                      <w:rFonts w:hint="eastAsia"/>
                      <w:szCs w:val="21"/>
                      <w:u w:val="single"/>
                    </w:rPr>
                    <w:t>本项目执行标准（mg/L）</w:t>
                  </w:r>
                </w:p>
              </w:tc>
              <w:tc>
                <w:tcPr>
                  <w:tcW w:w="0" w:type="auto"/>
                  <w:tcBorders>
                    <w:tl2br w:val="nil"/>
                    <w:tr2bl w:val="nil"/>
                  </w:tcBorders>
                  <w:vAlign w:val="center"/>
                </w:tcPr>
                <w:p>
                  <w:pPr>
                    <w:jc w:val="center"/>
                    <w:rPr>
                      <w:szCs w:val="21"/>
                      <w:u w:val="single"/>
                    </w:rPr>
                  </w:pPr>
                  <w:r>
                    <w:rPr>
                      <w:rFonts w:hint="eastAsia"/>
                      <w:szCs w:val="21"/>
                      <w:u w:val="single"/>
                    </w:rPr>
                    <w:t>/</w:t>
                  </w:r>
                </w:p>
              </w:tc>
              <w:tc>
                <w:tcPr>
                  <w:tcW w:w="0" w:type="auto"/>
                  <w:tcBorders>
                    <w:tl2br w:val="nil"/>
                    <w:tr2bl w:val="nil"/>
                  </w:tcBorders>
                  <w:vAlign w:val="center"/>
                </w:tcPr>
                <w:p>
                  <w:pPr>
                    <w:jc w:val="center"/>
                    <w:rPr>
                      <w:szCs w:val="21"/>
                      <w:u w:val="single"/>
                    </w:rPr>
                  </w:pPr>
                  <w:r>
                    <w:rPr>
                      <w:rFonts w:hint="eastAsia"/>
                      <w:szCs w:val="21"/>
                      <w:u w:val="single"/>
                    </w:rPr>
                    <w:t>15</w:t>
                  </w:r>
                </w:p>
              </w:tc>
              <w:tc>
                <w:tcPr>
                  <w:tcW w:w="0" w:type="auto"/>
                  <w:tcBorders>
                    <w:tl2br w:val="nil"/>
                    <w:tr2bl w:val="nil"/>
                  </w:tcBorders>
                  <w:vAlign w:val="center"/>
                </w:tcPr>
                <w:p>
                  <w:pPr>
                    <w:jc w:val="center"/>
                    <w:rPr>
                      <w:szCs w:val="21"/>
                      <w:u w:val="single"/>
                    </w:rPr>
                  </w:pPr>
                  <w:r>
                    <w:rPr>
                      <w:rFonts w:hint="eastAsia"/>
                      <w:szCs w:val="21"/>
                      <w:u w:val="single"/>
                    </w:rPr>
                    <w:t>2.5</w:t>
                  </w:r>
                </w:p>
              </w:tc>
              <w:tc>
                <w:tcPr>
                  <w:tcW w:w="0" w:type="auto"/>
                  <w:tcBorders>
                    <w:tl2br w:val="nil"/>
                    <w:tr2bl w:val="nil"/>
                  </w:tcBorders>
                  <w:vAlign w:val="center"/>
                </w:tcPr>
                <w:p>
                  <w:pPr>
                    <w:jc w:val="center"/>
                    <w:rPr>
                      <w:szCs w:val="21"/>
                      <w:u w:val="single"/>
                    </w:rPr>
                  </w:pPr>
                  <w:r>
                    <w:rPr>
                      <w:rFonts w:hint="eastAsia"/>
                      <w:szCs w:val="21"/>
                      <w:u w:val="single"/>
                    </w:rPr>
                    <w:t>0.4</w:t>
                  </w:r>
                </w:p>
              </w:tc>
              <w:tc>
                <w:tcPr>
                  <w:tcW w:w="0" w:type="auto"/>
                  <w:tcBorders>
                    <w:tl2br w:val="nil"/>
                    <w:tr2bl w:val="nil"/>
                  </w:tcBorders>
                  <w:vAlign w:val="center"/>
                </w:tcPr>
                <w:p>
                  <w:pPr>
                    <w:jc w:val="center"/>
                    <w:rPr>
                      <w:szCs w:val="21"/>
                      <w:u w:val="single"/>
                    </w:rPr>
                  </w:pPr>
                  <w:r>
                    <w:rPr>
                      <w:rFonts w:hint="eastAsia"/>
                      <w:szCs w:val="21"/>
                      <w:u w:val="single"/>
                    </w:rPr>
                    <w:t>45</w:t>
                  </w:r>
                </w:p>
              </w:tc>
              <w:tc>
                <w:tcPr>
                  <w:tcW w:w="0" w:type="auto"/>
                  <w:tcBorders>
                    <w:tl2br w:val="nil"/>
                    <w:tr2bl w:val="nil"/>
                  </w:tcBorders>
                  <w:vAlign w:val="center"/>
                </w:tcPr>
                <w:p>
                  <w:pPr>
                    <w:jc w:val="center"/>
                    <w:rPr>
                      <w:szCs w:val="21"/>
                      <w:u w:val="single"/>
                    </w:rPr>
                  </w:pPr>
                  <w:r>
                    <w:rPr>
                      <w:rFonts w:hint="eastAsia"/>
                      <w:szCs w:val="21"/>
                      <w:u w:val="single"/>
                    </w:rPr>
                    <w:t>15</w:t>
                  </w:r>
                </w:p>
              </w:tc>
            </w:tr>
            <w:tr>
              <w:tblPrEx>
                <w:tblBorders>
                  <w:top w:val="single" w:color="auto" w:sz="2" w:space="0"/>
                  <w:left w:val="single" w:color="auto" w:sz="2" w:space="0"/>
                  <w:bottom w:val="single" w:color="auto" w:sz="2" w:space="0"/>
                  <w:right w:val="single" w:color="auto" w:sz="2"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0" w:type="auto"/>
                  <w:tcBorders>
                    <w:tl2br w:val="nil"/>
                    <w:tr2bl w:val="nil"/>
                  </w:tcBorders>
                  <w:vAlign w:val="center"/>
                </w:tcPr>
                <w:p>
                  <w:pPr>
                    <w:jc w:val="center"/>
                    <w:rPr>
                      <w:szCs w:val="21"/>
                      <w:u w:val="single"/>
                    </w:rPr>
                  </w:pPr>
                  <w:r>
                    <w:rPr>
                      <w:rFonts w:hint="eastAsia"/>
                      <w:szCs w:val="21"/>
                      <w:u w:val="single"/>
                    </w:rPr>
                    <w:t>是否达标</w:t>
                  </w:r>
                </w:p>
              </w:tc>
              <w:tc>
                <w:tcPr>
                  <w:tcW w:w="0" w:type="auto"/>
                  <w:tcBorders>
                    <w:tl2br w:val="nil"/>
                    <w:tr2bl w:val="nil"/>
                  </w:tcBorders>
                  <w:vAlign w:val="center"/>
                </w:tcPr>
                <w:p>
                  <w:pPr>
                    <w:jc w:val="center"/>
                    <w:rPr>
                      <w:szCs w:val="21"/>
                      <w:u w:val="single"/>
                    </w:rPr>
                  </w:pPr>
                  <w:r>
                    <w:rPr>
                      <w:rFonts w:hint="eastAsia"/>
                      <w:szCs w:val="21"/>
                      <w:u w:val="single"/>
                    </w:rPr>
                    <w:t>/</w:t>
                  </w:r>
                </w:p>
              </w:tc>
              <w:tc>
                <w:tcPr>
                  <w:tcW w:w="0" w:type="auto"/>
                  <w:tcBorders>
                    <w:tl2br w:val="nil"/>
                    <w:tr2bl w:val="nil"/>
                  </w:tcBorders>
                  <w:vAlign w:val="center"/>
                </w:tcPr>
                <w:p>
                  <w:pPr>
                    <w:jc w:val="center"/>
                    <w:rPr>
                      <w:szCs w:val="21"/>
                      <w:u w:val="single"/>
                    </w:rPr>
                  </w:pPr>
                  <w:r>
                    <w:rPr>
                      <w:rFonts w:hint="eastAsia"/>
                      <w:szCs w:val="21"/>
                      <w:u w:val="single"/>
                    </w:rPr>
                    <w:t>是</w:t>
                  </w:r>
                </w:p>
              </w:tc>
              <w:tc>
                <w:tcPr>
                  <w:tcW w:w="0" w:type="auto"/>
                  <w:tcBorders>
                    <w:tl2br w:val="nil"/>
                    <w:tr2bl w:val="nil"/>
                  </w:tcBorders>
                  <w:vAlign w:val="center"/>
                </w:tcPr>
                <w:p>
                  <w:pPr>
                    <w:jc w:val="center"/>
                    <w:rPr>
                      <w:szCs w:val="21"/>
                      <w:u w:val="single"/>
                    </w:rPr>
                  </w:pPr>
                  <w:r>
                    <w:rPr>
                      <w:rFonts w:hint="eastAsia"/>
                      <w:szCs w:val="21"/>
                      <w:u w:val="single"/>
                    </w:rPr>
                    <w:t>是</w:t>
                  </w:r>
                </w:p>
              </w:tc>
              <w:tc>
                <w:tcPr>
                  <w:tcW w:w="0" w:type="auto"/>
                  <w:tcBorders>
                    <w:tl2br w:val="nil"/>
                    <w:tr2bl w:val="nil"/>
                  </w:tcBorders>
                  <w:vAlign w:val="center"/>
                </w:tcPr>
                <w:p>
                  <w:pPr>
                    <w:jc w:val="center"/>
                    <w:rPr>
                      <w:szCs w:val="21"/>
                      <w:u w:val="single"/>
                    </w:rPr>
                  </w:pPr>
                  <w:r>
                    <w:rPr>
                      <w:rFonts w:hint="eastAsia"/>
                      <w:szCs w:val="21"/>
                      <w:u w:val="single"/>
                    </w:rPr>
                    <w:t>是</w:t>
                  </w:r>
                </w:p>
              </w:tc>
              <w:tc>
                <w:tcPr>
                  <w:tcW w:w="0" w:type="auto"/>
                  <w:tcBorders>
                    <w:tl2br w:val="nil"/>
                    <w:tr2bl w:val="nil"/>
                  </w:tcBorders>
                  <w:vAlign w:val="center"/>
                </w:tcPr>
                <w:p>
                  <w:pPr>
                    <w:jc w:val="center"/>
                    <w:rPr>
                      <w:szCs w:val="21"/>
                      <w:u w:val="single"/>
                    </w:rPr>
                  </w:pPr>
                  <w:r>
                    <w:rPr>
                      <w:rFonts w:hint="eastAsia"/>
                      <w:szCs w:val="21"/>
                      <w:u w:val="single"/>
                    </w:rPr>
                    <w:t>是</w:t>
                  </w:r>
                </w:p>
              </w:tc>
              <w:tc>
                <w:tcPr>
                  <w:tcW w:w="0" w:type="auto"/>
                  <w:tcBorders>
                    <w:tl2br w:val="nil"/>
                    <w:tr2bl w:val="nil"/>
                  </w:tcBorders>
                  <w:vAlign w:val="center"/>
                </w:tcPr>
                <w:p>
                  <w:pPr>
                    <w:jc w:val="center"/>
                    <w:rPr>
                      <w:szCs w:val="21"/>
                      <w:u w:val="single"/>
                    </w:rPr>
                  </w:pPr>
                  <w:r>
                    <w:rPr>
                      <w:rFonts w:hint="eastAsia"/>
                      <w:szCs w:val="21"/>
                      <w:u w:val="single"/>
                    </w:rPr>
                    <w:t>是</w:t>
                  </w:r>
                </w:p>
              </w:tc>
            </w:tr>
          </w:tbl>
          <w:p>
            <w:pPr>
              <w:autoSpaceDE w:val="0"/>
              <w:autoSpaceDN w:val="0"/>
              <w:adjustRightInd w:val="0"/>
              <w:snapToGrid w:val="0"/>
              <w:spacing w:line="360" w:lineRule="auto"/>
              <w:ind w:firstLine="480" w:firstLineChars="200"/>
              <w:rPr>
                <w:color w:val="000000"/>
                <w:sz w:val="24"/>
                <w:szCs w:val="22"/>
                <w:u w:val="single"/>
              </w:rPr>
            </w:pPr>
            <w:r>
              <w:rPr>
                <w:rFonts w:hint="eastAsia"/>
                <w:color w:val="000000"/>
                <w:sz w:val="24"/>
                <w:szCs w:val="22"/>
                <w:u w:val="single"/>
              </w:rPr>
              <w:t>由表5-3结果分析可知，外排的养殖废水经污水处理设备处理后，能够达到《水产养殖尾水污染物排放标准》（DB43/1752-2020）表1中的一级标准、《淡水池塘养殖水排放要求》（SC/T9101-2007）表1中的二级标准要求。</w:t>
            </w:r>
          </w:p>
          <w:p>
            <w:pPr>
              <w:tabs>
                <w:tab w:val="left" w:pos="0"/>
                <w:tab w:val="left" w:pos="870"/>
                <w:tab w:val="left" w:pos="3150"/>
              </w:tabs>
              <w:autoSpaceDE w:val="0"/>
              <w:autoSpaceDN w:val="0"/>
              <w:adjustRightInd w:val="0"/>
              <w:snapToGrid w:val="0"/>
              <w:spacing w:line="360" w:lineRule="auto"/>
              <w:ind w:firstLine="482" w:firstLineChars="200"/>
              <w:rPr>
                <w:b/>
                <w:bCs/>
                <w:color w:val="000000"/>
                <w:sz w:val="24"/>
                <w:u w:val="single"/>
              </w:rPr>
            </w:pPr>
            <w:r>
              <w:rPr>
                <w:rFonts w:hint="eastAsia"/>
                <w:b/>
                <w:bCs/>
                <w:color w:val="000000"/>
                <w:sz w:val="24"/>
                <w:u w:val="single"/>
              </w:rPr>
              <w:t>【治理措施】：</w:t>
            </w:r>
            <w:r>
              <w:rPr>
                <w:rFonts w:hint="eastAsia"/>
                <w:color w:val="000000"/>
                <w:sz w:val="24"/>
                <w:szCs w:val="22"/>
                <w:u w:val="single"/>
              </w:rPr>
              <w:t>养殖废水经污水处理设备处理达到</w:t>
            </w:r>
            <w:r>
              <w:rPr>
                <w:rFonts w:hint="eastAsia"/>
                <w:color w:val="000000"/>
                <w:sz w:val="24"/>
                <w:u w:val="single"/>
                <w:lang w:bidi="ar"/>
              </w:rPr>
              <w:t>《水产养殖尾水污染物排放标准》（DB43/1752-2020）表1中的一级标准、《淡水池塘养殖水排放要求》（SC/T9101-2007）表1中的二级标准后外排至日东河</w:t>
            </w:r>
            <w:r>
              <w:rPr>
                <w:rFonts w:hint="eastAsia"/>
                <w:color w:val="000000"/>
                <w:sz w:val="24"/>
                <w:szCs w:val="22"/>
                <w:u w:val="single"/>
              </w:rPr>
              <w:t>。</w:t>
            </w:r>
          </w:p>
          <w:p>
            <w:pPr>
              <w:tabs>
                <w:tab w:val="left" w:pos="0"/>
                <w:tab w:val="left" w:pos="870"/>
                <w:tab w:val="left" w:pos="3150"/>
              </w:tabs>
              <w:autoSpaceDE w:val="0"/>
              <w:autoSpaceDN w:val="0"/>
              <w:adjustRightInd w:val="0"/>
              <w:snapToGrid w:val="0"/>
              <w:spacing w:line="360" w:lineRule="auto"/>
              <w:ind w:firstLine="482" w:firstLineChars="200"/>
              <w:rPr>
                <w:b/>
                <w:bCs/>
                <w:sz w:val="24"/>
                <w:u w:val="single"/>
              </w:rPr>
            </w:pPr>
            <w:r>
              <w:rPr>
                <w:rFonts w:hint="eastAsia"/>
                <w:b/>
                <w:bCs/>
                <w:sz w:val="24"/>
                <w:u w:val="single"/>
              </w:rPr>
              <w:t>养殖废水治理措施及达标排放可行性分析：</w:t>
            </w:r>
          </w:p>
          <w:p>
            <w:pPr>
              <w:tabs>
                <w:tab w:val="left" w:pos="0"/>
                <w:tab w:val="left" w:pos="870"/>
                <w:tab w:val="left" w:pos="3150"/>
              </w:tabs>
              <w:autoSpaceDE w:val="0"/>
              <w:autoSpaceDN w:val="0"/>
              <w:adjustRightInd w:val="0"/>
              <w:snapToGrid w:val="0"/>
              <w:spacing w:line="360" w:lineRule="auto"/>
              <w:ind w:firstLine="480" w:firstLineChars="200"/>
              <w:rPr>
                <w:sz w:val="24"/>
                <w:u w:val="single"/>
              </w:rPr>
            </w:pPr>
            <w:r>
              <w:rPr>
                <w:rFonts w:hint="eastAsia"/>
                <w:sz w:val="24"/>
                <w:u w:val="single"/>
              </w:rPr>
              <w:t>本项目拟采用处理能力为60m³/d的污水处理设备对养殖废水进行处理，且污水处理系统处已做防渗处理，污水处理设备处理工艺为：格栅＋厌氧＋好氧，可有效降低废水中COD、BOD</w:t>
            </w:r>
            <w:r>
              <w:rPr>
                <w:rFonts w:hint="eastAsia"/>
                <w:sz w:val="24"/>
                <w:u w:val="single"/>
                <w:vertAlign w:val="subscript"/>
              </w:rPr>
              <w:t>5</w:t>
            </w:r>
            <w:r>
              <w:rPr>
                <w:rFonts w:hint="eastAsia"/>
                <w:sz w:val="24"/>
                <w:u w:val="single"/>
              </w:rPr>
              <w:t>等污染物的浓度值，这样能降低后续工艺运行负荷。废水经污水处理设备处理达标后外排至日东河。</w:t>
            </w:r>
          </w:p>
          <w:p>
            <w:pPr>
              <w:tabs>
                <w:tab w:val="left" w:pos="0"/>
                <w:tab w:val="left" w:pos="870"/>
                <w:tab w:val="left" w:pos="3150"/>
              </w:tabs>
              <w:autoSpaceDE w:val="0"/>
              <w:autoSpaceDN w:val="0"/>
              <w:adjustRightInd w:val="0"/>
              <w:snapToGrid w:val="0"/>
              <w:spacing w:line="360" w:lineRule="auto"/>
              <w:ind w:firstLine="480" w:firstLineChars="200"/>
              <w:rPr>
                <w:color w:val="000000"/>
                <w:sz w:val="24"/>
                <w:u w:val="single"/>
              </w:rPr>
            </w:pPr>
            <w:r>
              <w:rPr>
                <w:rFonts w:hint="eastAsia"/>
                <w:sz w:val="24"/>
                <w:u w:val="single"/>
              </w:rPr>
              <w:t>综上确定本项目养殖废水处理措施可行，废水经污水处理系统</w:t>
            </w:r>
            <w:r>
              <w:rPr>
                <w:rFonts w:hint="eastAsia"/>
                <w:color w:val="000000"/>
                <w:sz w:val="24"/>
                <w:u w:val="single"/>
              </w:rPr>
              <w:t>处理后可达到《水产养殖尾水污染物排放标准》（DB43/1752-2020）表1中的一级标准、《淡水池塘养殖水排放要求》（SC/T9101-2007）表1中的二级标准要求。</w:t>
            </w:r>
          </w:p>
          <w:p>
            <w:pPr>
              <w:adjustRightInd w:val="0"/>
              <w:snapToGrid w:val="0"/>
              <w:spacing w:line="360" w:lineRule="auto"/>
              <w:ind w:firstLine="480" w:firstLineChars="200"/>
              <w:rPr>
                <w:color w:val="000000"/>
                <w:sz w:val="24"/>
                <w:szCs w:val="21"/>
                <w:u w:val="single"/>
              </w:rPr>
            </w:pPr>
            <w:r>
              <w:rPr>
                <w:color w:val="000000"/>
                <w:sz w:val="24"/>
                <w:szCs w:val="21"/>
                <w:u w:val="single"/>
              </w:rPr>
              <w:t>本项目运营期水平衡见图4-1。</w:t>
            </w:r>
          </w:p>
          <w:p>
            <w:pPr>
              <w:adjustRightInd w:val="0"/>
              <w:snapToGrid w:val="0"/>
              <w:jc w:val="center"/>
              <w:rPr>
                <w:b/>
                <w:bCs/>
                <w:snapToGrid w:val="0"/>
                <w:szCs w:val="21"/>
                <w:u w:val="single"/>
              </w:rPr>
            </w:pPr>
            <w:r>
              <w:rPr>
                <w:rFonts w:hint="eastAsia"/>
                <w:b/>
                <w:bCs/>
                <w:snapToGrid w:val="0"/>
                <w:szCs w:val="21"/>
                <w:u w:val="single"/>
              </w:rPr>
              <w:drawing>
                <wp:inline distT="0" distB="0" distL="114300" distR="114300">
                  <wp:extent cx="3880485" cy="1661795"/>
                  <wp:effectExtent l="0" t="0" r="0" b="14605"/>
                  <wp:docPr id="1" name="ECB019B1-382A-4266-B25C-5B523AA43C14-2" descr="C:/Users/hp/AppData/Local/Temp/wps.cYHXXsw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CB019B1-382A-4266-B25C-5B523AA43C14-2" descr="C:/Users/hp/AppData/Local/Temp/wps.cYHXXswps"/>
                          <pic:cNvPicPr>
                            <a:picLocks noChangeAspect="1"/>
                          </pic:cNvPicPr>
                        </pic:nvPicPr>
                        <pic:blipFill>
                          <a:blip r:embed="rId24"/>
                          <a:srcRect l="7979" t="14290" r="2671" b="8931"/>
                          <a:stretch>
                            <a:fillRect/>
                          </a:stretch>
                        </pic:blipFill>
                        <pic:spPr>
                          <a:xfrm>
                            <a:off x="0" y="0"/>
                            <a:ext cx="3880485" cy="1661795"/>
                          </a:xfrm>
                          <a:prstGeom prst="rect">
                            <a:avLst/>
                          </a:prstGeom>
                        </pic:spPr>
                      </pic:pic>
                    </a:graphicData>
                  </a:graphic>
                </wp:inline>
              </w:drawing>
            </w:r>
          </w:p>
          <w:p>
            <w:pPr>
              <w:adjustRightInd w:val="0"/>
              <w:snapToGrid w:val="0"/>
              <w:jc w:val="center"/>
              <w:rPr>
                <w:b/>
                <w:bCs/>
                <w:snapToGrid w:val="0"/>
                <w:szCs w:val="21"/>
                <w:u w:val="single"/>
              </w:rPr>
            </w:pPr>
          </w:p>
          <w:p>
            <w:pPr>
              <w:tabs>
                <w:tab w:val="left" w:pos="0"/>
                <w:tab w:val="left" w:pos="870"/>
                <w:tab w:val="left" w:pos="3150"/>
              </w:tabs>
              <w:adjustRightInd w:val="0"/>
              <w:snapToGrid w:val="0"/>
              <w:spacing w:line="360" w:lineRule="auto"/>
              <w:jc w:val="center"/>
              <w:rPr>
                <w:color w:val="000000"/>
                <w:sz w:val="24"/>
                <w:u w:val="single"/>
              </w:rPr>
            </w:pPr>
            <w:r>
              <w:rPr>
                <w:rFonts w:hint="eastAsia"/>
                <w:b/>
                <w:bCs/>
                <w:snapToGrid w:val="0"/>
                <w:szCs w:val="21"/>
                <w:u w:val="single"/>
              </w:rPr>
              <w:t>图5-1  水平衡图（m³/a）</w:t>
            </w:r>
          </w:p>
          <w:p>
            <w:pPr>
              <w:pStyle w:val="2"/>
              <w:adjustRightInd w:val="0"/>
              <w:spacing w:before="0" w:after="0" w:line="360" w:lineRule="auto"/>
              <w:ind w:right="0" w:firstLine="482" w:firstLineChars="200"/>
              <w:rPr>
                <w:sz w:val="24"/>
                <w:szCs w:val="24"/>
              </w:rPr>
            </w:pPr>
            <w:r>
              <w:rPr>
                <w:rFonts w:hint="eastAsia"/>
                <w:b/>
                <w:bCs/>
                <w:sz w:val="24"/>
                <w:szCs w:val="24"/>
              </w:rPr>
              <w:t>3、声环境污染防治措施</w:t>
            </w:r>
          </w:p>
          <w:p>
            <w:pPr>
              <w:jc w:val="center"/>
              <w:rPr>
                <w:b/>
                <w:color w:val="000000"/>
                <w:szCs w:val="21"/>
              </w:rPr>
            </w:pPr>
            <w:r>
              <w:rPr>
                <w:b/>
                <w:color w:val="000000"/>
                <w:szCs w:val="21"/>
              </w:rPr>
              <w:t>表</w:t>
            </w:r>
            <w:r>
              <w:rPr>
                <w:rFonts w:hint="eastAsia"/>
                <w:b/>
                <w:color w:val="000000"/>
                <w:szCs w:val="21"/>
              </w:rPr>
              <w:t>5</w:t>
            </w:r>
            <w:r>
              <w:rPr>
                <w:b/>
                <w:color w:val="000000"/>
                <w:szCs w:val="21"/>
              </w:rPr>
              <w:t>-</w:t>
            </w:r>
            <w:r>
              <w:rPr>
                <w:rFonts w:hint="eastAsia"/>
                <w:b/>
                <w:color w:val="000000"/>
                <w:szCs w:val="21"/>
              </w:rPr>
              <w:t>4</w:t>
            </w:r>
            <w:r>
              <w:rPr>
                <w:b/>
                <w:color w:val="000000"/>
                <w:szCs w:val="21"/>
              </w:rPr>
              <w:t xml:space="preserve"> </w:t>
            </w:r>
            <w:r>
              <w:rPr>
                <w:rFonts w:hint="eastAsia"/>
                <w:b/>
                <w:color w:val="000000"/>
                <w:szCs w:val="21"/>
              </w:rPr>
              <w:t xml:space="preserve"> </w:t>
            </w:r>
            <w:r>
              <w:rPr>
                <w:b/>
                <w:color w:val="000000"/>
                <w:szCs w:val="21"/>
              </w:rPr>
              <w:t>运营期声环境污染防治措施</w:t>
            </w:r>
          </w:p>
          <w:tbl>
            <w:tblPr>
              <w:tblStyle w:val="24"/>
              <w:tblW w:w="4998"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108" w:type="dxa"/>
                <w:bottom w:w="0" w:type="dxa"/>
                <w:right w:w="108" w:type="dxa"/>
              </w:tblCellMar>
            </w:tblPr>
            <w:tblGrid>
              <w:gridCol w:w="741"/>
              <w:gridCol w:w="4186"/>
              <w:gridCol w:w="958"/>
              <w:gridCol w:w="1134"/>
              <w:gridCol w:w="998"/>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rPr>
                <w:cantSplit/>
                <w:trHeight w:val="284" w:hRule="atLeast"/>
                <w:jc w:val="center"/>
              </w:trPr>
              <w:tc>
                <w:tcPr>
                  <w:tcW w:w="462" w:type="pct"/>
                  <w:tcBorders>
                    <w:top w:val="single" w:color="auto" w:sz="4" w:space="0"/>
                    <w:left w:val="single" w:color="auto" w:sz="4" w:space="0"/>
                    <w:bottom w:val="single" w:color="auto" w:sz="6" w:space="0"/>
                    <w:right w:val="single" w:color="auto" w:sz="6" w:space="0"/>
                  </w:tcBorders>
                  <w:vAlign w:val="center"/>
                </w:tcPr>
                <w:p>
                  <w:pPr>
                    <w:jc w:val="center"/>
                    <w:rPr>
                      <w:color w:val="000000"/>
                      <w:kern w:val="0"/>
                      <w:szCs w:val="21"/>
                    </w:rPr>
                  </w:pPr>
                  <w:r>
                    <w:rPr>
                      <w:color w:val="000000"/>
                      <w:kern w:val="0"/>
                      <w:szCs w:val="21"/>
                    </w:rPr>
                    <w:t>污染因子</w:t>
                  </w:r>
                </w:p>
              </w:tc>
              <w:tc>
                <w:tcPr>
                  <w:tcW w:w="2609" w:type="pct"/>
                  <w:tcBorders>
                    <w:top w:val="single" w:color="auto" w:sz="4" w:space="0"/>
                    <w:left w:val="single" w:color="auto" w:sz="6" w:space="0"/>
                    <w:bottom w:val="single" w:color="auto" w:sz="6" w:space="0"/>
                    <w:right w:val="single" w:color="auto" w:sz="6" w:space="0"/>
                  </w:tcBorders>
                  <w:vAlign w:val="center"/>
                </w:tcPr>
                <w:p>
                  <w:pPr>
                    <w:jc w:val="center"/>
                    <w:rPr>
                      <w:color w:val="000000"/>
                      <w:kern w:val="0"/>
                      <w:szCs w:val="21"/>
                    </w:rPr>
                  </w:pPr>
                  <w:r>
                    <w:rPr>
                      <w:color w:val="000000"/>
                      <w:kern w:val="0"/>
                      <w:szCs w:val="21"/>
                    </w:rPr>
                    <w:t>环境保护措施</w:t>
                  </w:r>
                </w:p>
              </w:tc>
              <w:tc>
                <w:tcPr>
                  <w:tcW w:w="597" w:type="pct"/>
                  <w:tcBorders>
                    <w:top w:val="single" w:color="auto" w:sz="4" w:space="0"/>
                    <w:left w:val="single" w:color="auto" w:sz="6" w:space="0"/>
                    <w:bottom w:val="single" w:color="auto" w:sz="6" w:space="0"/>
                    <w:right w:val="single" w:color="auto" w:sz="6" w:space="0"/>
                  </w:tcBorders>
                  <w:vAlign w:val="center"/>
                </w:tcPr>
                <w:p>
                  <w:pPr>
                    <w:jc w:val="center"/>
                    <w:rPr>
                      <w:color w:val="000000"/>
                      <w:kern w:val="0"/>
                      <w:szCs w:val="21"/>
                    </w:rPr>
                  </w:pPr>
                  <w:r>
                    <w:rPr>
                      <w:color w:val="000000"/>
                      <w:kern w:val="0"/>
                      <w:szCs w:val="21"/>
                    </w:rPr>
                    <w:t>责任主体</w:t>
                  </w:r>
                </w:p>
              </w:tc>
              <w:tc>
                <w:tcPr>
                  <w:tcW w:w="707" w:type="pct"/>
                  <w:tcBorders>
                    <w:top w:val="single" w:color="auto" w:sz="4" w:space="0"/>
                    <w:left w:val="single" w:color="auto" w:sz="6" w:space="0"/>
                    <w:bottom w:val="single" w:color="auto" w:sz="6" w:space="0"/>
                    <w:right w:val="single" w:color="auto" w:sz="6" w:space="0"/>
                  </w:tcBorders>
                  <w:vAlign w:val="center"/>
                </w:tcPr>
                <w:p>
                  <w:pPr>
                    <w:jc w:val="center"/>
                    <w:rPr>
                      <w:color w:val="000000"/>
                      <w:kern w:val="0"/>
                      <w:szCs w:val="21"/>
                    </w:rPr>
                  </w:pPr>
                  <w:r>
                    <w:rPr>
                      <w:color w:val="000000"/>
                      <w:kern w:val="0"/>
                      <w:szCs w:val="21"/>
                    </w:rPr>
                    <w:t>措施效果</w:t>
                  </w:r>
                </w:p>
              </w:tc>
              <w:tc>
                <w:tcPr>
                  <w:tcW w:w="622" w:type="pct"/>
                  <w:tcBorders>
                    <w:top w:val="single" w:color="auto" w:sz="4" w:space="0"/>
                    <w:left w:val="single" w:color="auto" w:sz="6" w:space="0"/>
                    <w:bottom w:val="single" w:color="auto" w:sz="6" w:space="0"/>
                    <w:right w:val="single" w:color="auto" w:sz="4" w:space="0"/>
                  </w:tcBorders>
                  <w:vAlign w:val="center"/>
                </w:tcPr>
                <w:p>
                  <w:pPr>
                    <w:jc w:val="center"/>
                    <w:rPr>
                      <w:color w:val="000000"/>
                      <w:kern w:val="0"/>
                      <w:szCs w:val="21"/>
                    </w:rPr>
                  </w:pPr>
                  <w:r>
                    <w:rPr>
                      <w:color w:val="000000"/>
                      <w:kern w:val="0"/>
                      <w:szCs w:val="21"/>
                    </w:rPr>
                    <w:t>合理性分析</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84" w:hRule="atLeast"/>
                <w:jc w:val="center"/>
              </w:trPr>
              <w:tc>
                <w:tcPr>
                  <w:tcW w:w="462" w:type="pct"/>
                  <w:vMerge w:val="restart"/>
                  <w:tcBorders>
                    <w:top w:val="single" w:color="auto" w:sz="6" w:space="0"/>
                    <w:left w:val="single" w:color="auto" w:sz="4" w:space="0"/>
                    <w:right w:val="single" w:color="auto" w:sz="6" w:space="0"/>
                  </w:tcBorders>
                  <w:vAlign w:val="center"/>
                </w:tcPr>
                <w:p>
                  <w:pPr>
                    <w:jc w:val="center"/>
                    <w:rPr>
                      <w:color w:val="000000"/>
                      <w:kern w:val="0"/>
                      <w:szCs w:val="21"/>
                    </w:rPr>
                  </w:pPr>
                  <w:r>
                    <w:rPr>
                      <w:rFonts w:hint="eastAsia"/>
                      <w:color w:val="000000"/>
                      <w:kern w:val="0"/>
                      <w:szCs w:val="21"/>
                    </w:rPr>
                    <w:t>养殖区域</w:t>
                  </w:r>
                </w:p>
              </w:tc>
              <w:tc>
                <w:tcPr>
                  <w:tcW w:w="2609" w:type="pct"/>
                  <w:tcBorders>
                    <w:top w:val="single" w:color="auto" w:sz="6" w:space="0"/>
                    <w:left w:val="single" w:color="auto" w:sz="6" w:space="0"/>
                    <w:bottom w:val="single" w:color="auto" w:sz="6" w:space="0"/>
                    <w:right w:val="single" w:color="auto" w:sz="6" w:space="0"/>
                  </w:tcBorders>
                  <w:vAlign w:val="center"/>
                </w:tcPr>
                <w:p>
                  <w:pPr>
                    <w:snapToGrid w:val="0"/>
                    <w:jc w:val="center"/>
                    <w:rPr>
                      <w:color w:val="000000"/>
                      <w:kern w:val="0"/>
                      <w:szCs w:val="21"/>
                    </w:rPr>
                  </w:pPr>
                  <w:r>
                    <w:rPr>
                      <w:color w:val="000000"/>
                      <w:kern w:val="0"/>
                      <w:szCs w:val="21"/>
                    </w:rPr>
                    <w:t>采取基础减振等措施</w:t>
                  </w:r>
                </w:p>
              </w:tc>
              <w:tc>
                <w:tcPr>
                  <w:tcW w:w="597" w:type="pct"/>
                  <w:vMerge w:val="restart"/>
                  <w:tcBorders>
                    <w:top w:val="single" w:color="auto" w:sz="6" w:space="0"/>
                    <w:left w:val="single" w:color="auto" w:sz="6" w:space="0"/>
                    <w:right w:val="single" w:color="auto" w:sz="6" w:space="0"/>
                  </w:tcBorders>
                  <w:vAlign w:val="center"/>
                </w:tcPr>
                <w:p>
                  <w:pPr>
                    <w:snapToGrid w:val="0"/>
                    <w:jc w:val="center"/>
                    <w:rPr>
                      <w:color w:val="000000"/>
                      <w:kern w:val="0"/>
                      <w:szCs w:val="21"/>
                    </w:rPr>
                  </w:pPr>
                  <w:r>
                    <w:rPr>
                      <w:color w:val="000000"/>
                      <w:kern w:val="0"/>
                      <w:szCs w:val="21"/>
                    </w:rPr>
                    <w:t>建设单位</w:t>
                  </w:r>
                </w:p>
              </w:tc>
              <w:tc>
                <w:tcPr>
                  <w:tcW w:w="707" w:type="pct"/>
                  <w:vMerge w:val="restart"/>
                  <w:tcBorders>
                    <w:top w:val="single" w:color="auto" w:sz="6" w:space="0"/>
                    <w:left w:val="single" w:color="auto" w:sz="6" w:space="0"/>
                    <w:right w:val="single" w:color="auto" w:sz="6" w:space="0"/>
                  </w:tcBorders>
                  <w:vAlign w:val="center"/>
                </w:tcPr>
                <w:p>
                  <w:pPr>
                    <w:snapToGrid w:val="0"/>
                    <w:jc w:val="center"/>
                    <w:rPr>
                      <w:color w:val="000000"/>
                      <w:kern w:val="0"/>
                      <w:szCs w:val="21"/>
                    </w:rPr>
                  </w:pPr>
                  <w:r>
                    <w:rPr>
                      <w:color w:val="000000"/>
                      <w:kern w:val="0"/>
                      <w:szCs w:val="21"/>
                    </w:rPr>
                    <w:t>影响降低到最小</w:t>
                  </w:r>
                </w:p>
              </w:tc>
              <w:tc>
                <w:tcPr>
                  <w:tcW w:w="622" w:type="pct"/>
                  <w:tcBorders>
                    <w:top w:val="single" w:color="auto" w:sz="6" w:space="0"/>
                    <w:left w:val="single" w:color="auto" w:sz="6" w:space="0"/>
                    <w:bottom w:val="single" w:color="auto" w:sz="6" w:space="0"/>
                    <w:right w:val="single" w:color="auto" w:sz="4" w:space="0"/>
                  </w:tcBorders>
                  <w:vAlign w:val="center"/>
                </w:tcPr>
                <w:p>
                  <w:pPr>
                    <w:snapToGrid w:val="0"/>
                    <w:jc w:val="center"/>
                    <w:rPr>
                      <w:color w:val="000000"/>
                      <w:kern w:val="0"/>
                      <w:szCs w:val="21"/>
                    </w:rPr>
                  </w:pPr>
                  <w:r>
                    <w:rPr>
                      <w:rFonts w:hint="eastAsia"/>
                      <w:color w:val="000000"/>
                      <w:kern w:val="0"/>
                      <w:szCs w:val="21"/>
                    </w:rPr>
                    <w:t>合理</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84" w:hRule="atLeast"/>
                <w:jc w:val="center"/>
              </w:trPr>
              <w:tc>
                <w:tcPr>
                  <w:tcW w:w="462" w:type="pct"/>
                  <w:vMerge w:val="continue"/>
                  <w:tcBorders>
                    <w:left w:val="single" w:color="auto" w:sz="4" w:space="0"/>
                    <w:bottom w:val="single" w:color="auto" w:sz="6" w:space="0"/>
                    <w:right w:val="single" w:color="auto" w:sz="6" w:space="0"/>
                  </w:tcBorders>
                  <w:vAlign w:val="center"/>
                </w:tcPr>
                <w:p>
                  <w:pPr>
                    <w:jc w:val="center"/>
                    <w:rPr>
                      <w:color w:val="000000"/>
                      <w:kern w:val="0"/>
                      <w:szCs w:val="21"/>
                    </w:rPr>
                  </w:pPr>
                </w:p>
              </w:tc>
              <w:tc>
                <w:tcPr>
                  <w:tcW w:w="2609" w:type="pct"/>
                  <w:tcBorders>
                    <w:top w:val="single" w:color="auto" w:sz="6" w:space="0"/>
                    <w:left w:val="single" w:color="auto" w:sz="6" w:space="0"/>
                    <w:bottom w:val="single" w:color="auto" w:sz="6" w:space="0"/>
                    <w:right w:val="single" w:color="auto" w:sz="6" w:space="0"/>
                  </w:tcBorders>
                  <w:vAlign w:val="center"/>
                </w:tcPr>
                <w:p>
                  <w:pPr>
                    <w:snapToGrid w:val="0"/>
                    <w:jc w:val="center"/>
                    <w:rPr>
                      <w:color w:val="000000"/>
                      <w:kern w:val="0"/>
                      <w:szCs w:val="21"/>
                    </w:rPr>
                  </w:pPr>
                  <w:r>
                    <w:rPr>
                      <w:color w:val="000000"/>
                      <w:kern w:val="0"/>
                      <w:szCs w:val="21"/>
                    </w:rPr>
                    <w:t>在靠近居民一侧厂界种植绿化及加装围墙等降噪措施</w:t>
                  </w:r>
                </w:p>
              </w:tc>
              <w:tc>
                <w:tcPr>
                  <w:tcW w:w="597" w:type="pct"/>
                  <w:vMerge w:val="continue"/>
                  <w:tcBorders>
                    <w:left w:val="single" w:color="auto" w:sz="6" w:space="0"/>
                    <w:bottom w:val="single" w:color="auto" w:sz="6" w:space="0"/>
                    <w:right w:val="single" w:color="auto" w:sz="6" w:space="0"/>
                  </w:tcBorders>
                  <w:vAlign w:val="center"/>
                </w:tcPr>
                <w:p>
                  <w:pPr>
                    <w:snapToGrid w:val="0"/>
                    <w:jc w:val="center"/>
                    <w:rPr>
                      <w:color w:val="000000"/>
                      <w:kern w:val="0"/>
                      <w:szCs w:val="21"/>
                    </w:rPr>
                  </w:pPr>
                </w:p>
              </w:tc>
              <w:tc>
                <w:tcPr>
                  <w:tcW w:w="707" w:type="pct"/>
                  <w:vMerge w:val="continue"/>
                  <w:tcBorders>
                    <w:left w:val="single" w:color="auto" w:sz="6" w:space="0"/>
                    <w:bottom w:val="single" w:color="auto" w:sz="6" w:space="0"/>
                    <w:right w:val="single" w:color="auto" w:sz="6" w:space="0"/>
                  </w:tcBorders>
                  <w:vAlign w:val="center"/>
                </w:tcPr>
                <w:p>
                  <w:pPr>
                    <w:snapToGrid w:val="0"/>
                    <w:jc w:val="center"/>
                    <w:rPr>
                      <w:color w:val="000000"/>
                      <w:kern w:val="0"/>
                      <w:szCs w:val="21"/>
                    </w:rPr>
                  </w:pPr>
                </w:p>
              </w:tc>
              <w:tc>
                <w:tcPr>
                  <w:tcW w:w="622" w:type="pct"/>
                  <w:tcBorders>
                    <w:top w:val="single" w:color="auto" w:sz="6" w:space="0"/>
                    <w:left w:val="single" w:color="auto" w:sz="6" w:space="0"/>
                    <w:bottom w:val="single" w:color="auto" w:sz="6" w:space="0"/>
                    <w:right w:val="single" w:color="auto" w:sz="4" w:space="0"/>
                  </w:tcBorders>
                  <w:vAlign w:val="center"/>
                </w:tcPr>
                <w:p>
                  <w:pPr>
                    <w:snapToGrid w:val="0"/>
                    <w:jc w:val="center"/>
                    <w:rPr>
                      <w:color w:val="000000"/>
                      <w:kern w:val="0"/>
                      <w:szCs w:val="21"/>
                    </w:rPr>
                  </w:pPr>
                  <w:r>
                    <w:rPr>
                      <w:color w:val="000000"/>
                      <w:kern w:val="0"/>
                      <w:szCs w:val="21"/>
                    </w:rPr>
                    <w:t>合理</w:t>
                  </w:r>
                </w:p>
              </w:tc>
            </w:tr>
          </w:tbl>
          <w:p>
            <w:pPr>
              <w:numPr>
                <w:ilvl w:val="0"/>
                <w:numId w:val="7"/>
              </w:numPr>
              <w:adjustRightInd w:val="0"/>
              <w:snapToGrid w:val="0"/>
              <w:spacing w:line="360" w:lineRule="auto"/>
              <w:ind w:left="0" w:firstLine="480" w:firstLineChars="200"/>
              <w:rPr>
                <w:sz w:val="24"/>
              </w:rPr>
            </w:pPr>
            <w:r>
              <w:rPr>
                <w:rFonts w:hint="eastAsia"/>
                <w:sz w:val="24"/>
              </w:rPr>
              <w:t>噪声监测</w:t>
            </w:r>
          </w:p>
          <w:p>
            <w:pPr>
              <w:adjustRightInd w:val="0"/>
              <w:snapToGrid w:val="0"/>
              <w:spacing w:line="360" w:lineRule="auto"/>
              <w:ind w:firstLine="480" w:firstLineChars="200"/>
              <w:rPr>
                <w:sz w:val="24"/>
              </w:rPr>
            </w:pPr>
            <w:r>
              <w:rPr>
                <w:sz w:val="24"/>
              </w:rPr>
              <w:t>建设单位应按照《排污单位自行监测技术指南 总则》（HJ819-2017）制定公司的监测计划和工作方案，具体</w:t>
            </w:r>
            <w:r>
              <w:rPr>
                <w:rFonts w:hint="eastAsia"/>
                <w:sz w:val="24"/>
              </w:rPr>
              <w:t>废气</w:t>
            </w:r>
            <w:r>
              <w:rPr>
                <w:sz w:val="24"/>
              </w:rPr>
              <w:t>监测计划见下表。</w:t>
            </w:r>
          </w:p>
          <w:p>
            <w:pPr>
              <w:adjustRightInd w:val="0"/>
              <w:snapToGrid w:val="0"/>
              <w:ind w:firstLine="422" w:firstLineChars="200"/>
              <w:jc w:val="center"/>
              <w:rPr>
                <w:b/>
                <w:kern w:val="0"/>
                <w:szCs w:val="21"/>
              </w:rPr>
            </w:pPr>
            <w:r>
              <w:rPr>
                <w:b/>
                <w:kern w:val="0"/>
                <w:szCs w:val="21"/>
              </w:rPr>
              <w:t>表</w:t>
            </w:r>
            <w:r>
              <w:rPr>
                <w:rFonts w:hint="eastAsia"/>
                <w:b/>
                <w:kern w:val="0"/>
                <w:szCs w:val="21"/>
              </w:rPr>
              <w:t>5-5</w:t>
            </w:r>
            <w:r>
              <w:rPr>
                <w:b/>
                <w:kern w:val="0"/>
                <w:szCs w:val="21"/>
              </w:rPr>
              <w:t xml:space="preserve">  项目运营期环境监测计划</w:t>
            </w:r>
          </w:p>
          <w:tbl>
            <w:tblPr>
              <w:tblStyle w:val="2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5"/>
              <w:gridCol w:w="1931"/>
              <w:gridCol w:w="1675"/>
              <w:gridCol w:w="1602"/>
              <w:gridCol w:w="19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2" w:hRule="atLeast"/>
                <w:jc w:val="center"/>
              </w:trPr>
              <w:tc>
                <w:tcPr>
                  <w:tcW w:w="539" w:type="pct"/>
                  <w:vAlign w:val="center"/>
                </w:tcPr>
                <w:p>
                  <w:pPr>
                    <w:adjustRightInd w:val="0"/>
                    <w:snapToGrid w:val="0"/>
                    <w:jc w:val="center"/>
                    <w:rPr>
                      <w:kern w:val="0"/>
                      <w:szCs w:val="21"/>
                    </w:rPr>
                  </w:pPr>
                  <w:r>
                    <w:rPr>
                      <w:kern w:val="0"/>
                      <w:szCs w:val="21"/>
                    </w:rPr>
                    <w:t>监测项目</w:t>
                  </w:r>
                </w:p>
              </w:tc>
              <w:tc>
                <w:tcPr>
                  <w:tcW w:w="1204" w:type="pct"/>
                  <w:vAlign w:val="center"/>
                </w:tcPr>
                <w:p>
                  <w:pPr>
                    <w:adjustRightInd w:val="0"/>
                    <w:snapToGrid w:val="0"/>
                    <w:jc w:val="center"/>
                    <w:rPr>
                      <w:kern w:val="0"/>
                      <w:szCs w:val="20"/>
                    </w:rPr>
                  </w:pPr>
                  <w:r>
                    <w:rPr>
                      <w:kern w:val="0"/>
                      <w:szCs w:val="20"/>
                    </w:rPr>
                    <w:t>监测点位</w:t>
                  </w:r>
                </w:p>
              </w:tc>
              <w:tc>
                <w:tcPr>
                  <w:tcW w:w="1044" w:type="pct"/>
                  <w:vAlign w:val="center"/>
                </w:tcPr>
                <w:p>
                  <w:pPr>
                    <w:adjustRightInd w:val="0"/>
                    <w:snapToGrid w:val="0"/>
                    <w:jc w:val="center"/>
                    <w:rPr>
                      <w:kern w:val="0"/>
                      <w:szCs w:val="20"/>
                    </w:rPr>
                  </w:pPr>
                  <w:r>
                    <w:rPr>
                      <w:kern w:val="0"/>
                      <w:szCs w:val="20"/>
                    </w:rPr>
                    <w:t>监测因子</w:t>
                  </w:r>
                </w:p>
              </w:tc>
              <w:tc>
                <w:tcPr>
                  <w:tcW w:w="999" w:type="pct"/>
                  <w:vAlign w:val="center"/>
                </w:tcPr>
                <w:p>
                  <w:pPr>
                    <w:adjustRightInd w:val="0"/>
                    <w:snapToGrid w:val="0"/>
                    <w:jc w:val="center"/>
                    <w:rPr>
                      <w:kern w:val="0"/>
                      <w:szCs w:val="20"/>
                    </w:rPr>
                  </w:pPr>
                  <w:r>
                    <w:rPr>
                      <w:kern w:val="0"/>
                      <w:szCs w:val="20"/>
                    </w:rPr>
                    <w:t>监测频次</w:t>
                  </w:r>
                </w:p>
              </w:tc>
              <w:tc>
                <w:tcPr>
                  <w:tcW w:w="1212" w:type="pct"/>
                  <w:vAlign w:val="center"/>
                </w:tcPr>
                <w:p>
                  <w:pPr>
                    <w:adjustRightInd w:val="0"/>
                    <w:snapToGrid w:val="0"/>
                    <w:jc w:val="center"/>
                    <w:rPr>
                      <w:kern w:val="0"/>
                      <w:szCs w:val="20"/>
                    </w:rPr>
                  </w:pPr>
                  <w:r>
                    <w:rPr>
                      <w:rFonts w:hint="eastAsia"/>
                      <w:kern w:val="0"/>
                      <w:szCs w:val="20"/>
                    </w:rPr>
                    <w:t>执行排放标准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539" w:type="pct"/>
                  <w:vMerge w:val="restart"/>
                  <w:vAlign w:val="center"/>
                </w:tcPr>
                <w:p>
                  <w:pPr>
                    <w:adjustRightInd w:val="0"/>
                    <w:snapToGrid w:val="0"/>
                    <w:jc w:val="center"/>
                    <w:rPr>
                      <w:kern w:val="0"/>
                      <w:szCs w:val="21"/>
                    </w:rPr>
                  </w:pPr>
                  <w:r>
                    <w:rPr>
                      <w:kern w:val="0"/>
                      <w:szCs w:val="21"/>
                    </w:rPr>
                    <w:t>噪声</w:t>
                  </w:r>
                </w:p>
              </w:tc>
              <w:tc>
                <w:tcPr>
                  <w:tcW w:w="1204" w:type="pct"/>
                  <w:vAlign w:val="center"/>
                </w:tcPr>
                <w:p>
                  <w:pPr>
                    <w:adjustRightInd w:val="0"/>
                    <w:snapToGrid w:val="0"/>
                    <w:jc w:val="center"/>
                    <w:rPr>
                      <w:kern w:val="0"/>
                      <w:szCs w:val="20"/>
                    </w:rPr>
                  </w:pPr>
                  <w:r>
                    <w:rPr>
                      <w:rFonts w:hint="eastAsia"/>
                      <w:kern w:val="0"/>
                      <w:szCs w:val="20"/>
                    </w:rPr>
                    <w:t>厂界东侧外1m处</w:t>
                  </w:r>
                </w:p>
              </w:tc>
              <w:tc>
                <w:tcPr>
                  <w:tcW w:w="1044" w:type="pct"/>
                  <w:vMerge w:val="restart"/>
                  <w:vAlign w:val="center"/>
                </w:tcPr>
                <w:p>
                  <w:pPr>
                    <w:adjustRightInd w:val="0"/>
                    <w:snapToGrid w:val="0"/>
                    <w:jc w:val="center"/>
                    <w:rPr>
                      <w:kern w:val="0"/>
                      <w:szCs w:val="20"/>
                    </w:rPr>
                  </w:pPr>
                  <w:r>
                    <w:rPr>
                      <w:rFonts w:hint="eastAsia"/>
                      <w:kern w:val="0"/>
                      <w:szCs w:val="20"/>
                    </w:rPr>
                    <w:t>等效连续A声级</w:t>
                  </w:r>
                </w:p>
              </w:tc>
              <w:tc>
                <w:tcPr>
                  <w:tcW w:w="999" w:type="pct"/>
                  <w:vMerge w:val="restart"/>
                  <w:vAlign w:val="center"/>
                </w:tcPr>
                <w:p>
                  <w:pPr>
                    <w:adjustRightInd w:val="0"/>
                    <w:snapToGrid w:val="0"/>
                    <w:jc w:val="center"/>
                    <w:rPr>
                      <w:kern w:val="0"/>
                      <w:szCs w:val="20"/>
                    </w:rPr>
                  </w:pPr>
                  <w:r>
                    <w:rPr>
                      <w:kern w:val="0"/>
                      <w:szCs w:val="20"/>
                    </w:rPr>
                    <w:t>每季度一次</w:t>
                  </w:r>
                </w:p>
              </w:tc>
              <w:tc>
                <w:tcPr>
                  <w:tcW w:w="1212" w:type="pct"/>
                  <w:vMerge w:val="restart"/>
                  <w:vAlign w:val="center"/>
                </w:tcPr>
                <w:p>
                  <w:pPr>
                    <w:adjustRightInd w:val="0"/>
                    <w:snapToGrid w:val="0"/>
                    <w:jc w:val="center"/>
                    <w:rPr>
                      <w:kern w:val="0"/>
                      <w:szCs w:val="20"/>
                    </w:rPr>
                  </w:pPr>
                  <w:r>
                    <w:rPr>
                      <w:rFonts w:hint="eastAsia"/>
                      <w:kern w:val="0"/>
                      <w:szCs w:val="20"/>
                    </w:rPr>
                    <w:t>《</w:t>
                  </w:r>
                  <w:r>
                    <w:rPr>
                      <w:kern w:val="0"/>
                      <w:szCs w:val="20"/>
                    </w:rPr>
                    <w:t>工业企业厂界环境噪声排放标准》（GB12348-2008）2类标准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539" w:type="pct"/>
                  <w:vMerge w:val="continue"/>
                  <w:vAlign w:val="center"/>
                </w:tcPr>
                <w:p>
                  <w:pPr>
                    <w:adjustRightInd w:val="0"/>
                    <w:snapToGrid w:val="0"/>
                    <w:jc w:val="center"/>
                    <w:rPr>
                      <w:kern w:val="0"/>
                      <w:szCs w:val="21"/>
                      <w:highlight w:val="yellow"/>
                      <w:u w:val="single"/>
                    </w:rPr>
                  </w:pPr>
                </w:p>
              </w:tc>
              <w:tc>
                <w:tcPr>
                  <w:tcW w:w="1204" w:type="pct"/>
                  <w:vAlign w:val="center"/>
                </w:tcPr>
                <w:p>
                  <w:pPr>
                    <w:adjustRightInd w:val="0"/>
                    <w:snapToGrid w:val="0"/>
                    <w:jc w:val="center"/>
                    <w:rPr>
                      <w:kern w:val="0"/>
                      <w:szCs w:val="20"/>
                    </w:rPr>
                  </w:pPr>
                  <w:r>
                    <w:rPr>
                      <w:rFonts w:hint="eastAsia"/>
                      <w:kern w:val="0"/>
                      <w:szCs w:val="20"/>
                    </w:rPr>
                    <w:t>厂界南侧外1m处</w:t>
                  </w:r>
                </w:p>
              </w:tc>
              <w:tc>
                <w:tcPr>
                  <w:tcW w:w="1044" w:type="pct"/>
                  <w:vMerge w:val="continue"/>
                  <w:vAlign w:val="center"/>
                </w:tcPr>
                <w:p>
                  <w:pPr>
                    <w:adjustRightInd w:val="0"/>
                    <w:snapToGrid w:val="0"/>
                    <w:jc w:val="center"/>
                    <w:rPr>
                      <w:kern w:val="0"/>
                      <w:szCs w:val="20"/>
                      <w:highlight w:val="yellow"/>
                      <w:u w:val="single"/>
                    </w:rPr>
                  </w:pPr>
                </w:p>
              </w:tc>
              <w:tc>
                <w:tcPr>
                  <w:tcW w:w="999" w:type="pct"/>
                  <w:vMerge w:val="continue"/>
                  <w:vAlign w:val="center"/>
                </w:tcPr>
                <w:p>
                  <w:pPr>
                    <w:adjustRightInd w:val="0"/>
                    <w:snapToGrid w:val="0"/>
                    <w:jc w:val="center"/>
                    <w:rPr>
                      <w:kern w:val="0"/>
                      <w:szCs w:val="20"/>
                      <w:highlight w:val="yellow"/>
                      <w:u w:val="single"/>
                    </w:rPr>
                  </w:pPr>
                </w:p>
              </w:tc>
              <w:tc>
                <w:tcPr>
                  <w:tcW w:w="1212" w:type="pct"/>
                  <w:vMerge w:val="continue"/>
                  <w:vAlign w:val="center"/>
                </w:tcPr>
                <w:p>
                  <w:pPr>
                    <w:adjustRightInd w:val="0"/>
                    <w:snapToGrid w:val="0"/>
                    <w:jc w:val="center"/>
                    <w:rPr>
                      <w:kern w:val="0"/>
                      <w:szCs w:val="20"/>
                      <w:highlight w:val="yellow"/>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7" w:hRule="atLeast"/>
                <w:jc w:val="center"/>
              </w:trPr>
              <w:tc>
                <w:tcPr>
                  <w:tcW w:w="539" w:type="pct"/>
                  <w:vMerge w:val="continue"/>
                  <w:vAlign w:val="center"/>
                </w:tcPr>
                <w:p>
                  <w:pPr>
                    <w:adjustRightInd w:val="0"/>
                    <w:snapToGrid w:val="0"/>
                    <w:jc w:val="center"/>
                    <w:rPr>
                      <w:kern w:val="0"/>
                      <w:szCs w:val="21"/>
                      <w:highlight w:val="yellow"/>
                      <w:u w:val="single"/>
                    </w:rPr>
                  </w:pPr>
                </w:p>
              </w:tc>
              <w:tc>
                <w:tcPr>
                  <w:tcW w:w="1204" w:type="pct"/>
                  <w:vAlign w:val="center"/>
                </w:tcPr>
                <w:p>
                  <w:pPr>
                    <w:adjustRightInd w:val="0"/>
                    <w:snapToGrid w:val="0"/>
                    <w:jc w:val="center"/>
                    <w:rPr>
                      <w:kern w:val="0"/>
                      <w:szCs w:val="20"/>
                    </w:rPr>
                  </w:pPr>
                  <w:r>
                    <w:rPr>
                      <w:rFonts w:hint="eastAsia"/>
                      <w:kern w:val="0"/>
                      <w:szCs w:val="20"/>
                    </w:rPr>
                    <w:t>厂界西侧外1m处</w:t>
                  </w:r>
                </w:p>
              </w:tc>
              <w:tc>
                <w:tcPr>
                  <w:tcW w:w="1044" w:type="pct"/>
                  <w:vMerge w:val="continue"/>
                  <w:vAlign w:val="center"/>
                </w:tcPr>
                <w:p>
                  <w:pPr>
                    <w:adjustRightInd w:val="0"/>
                    <w:snapToGrid w:val="0"/>
                    <w:jc w:val="center"/>
                    <w:rPr>
                      <w:kern w:val="0"/>
                      <w:szCs w:val="20"/>
                      <w:highlight w:val="yellow"/>
                      <w:u w:val="single"/>
                    </w:rPr>
                  </w:pPr>
                </w:p>
              </w:tc>
              <w:tc>
                <w:tcPr>
                  <w:tcW w:w="999" w:type="pct"/>
                  <w:vMerge w:val="continue"/>
                  <w:vAlign w:val="center"/>
                </w:tcPr>
                <w:p>
                  <w:pPr>
                    <w:adjustRightInd w:val="0"/>
                    <w:snapToGrid w:val="0"/>
                    <w:jc w:val="center"/>
                    <w:rPr>
                      <w:kern w:val="0"/>
                      <w:szCs w:val="20"/>
                      <w:highlight w:val="yellow"/>
                      <w:u w:val="single"/>
                    </w:rPr>
                  </w:pPr>
                </w:p>
              </w:tc>
              <w:tc>
                <w:tcPr>
                  <w:tcW w:w="1212" w:type="pct"/>
                  <w:vMerge w:val="continue"/>
                  <w:vAlign w:val="center"/>
                </w:tcPr>
                <w:p>
                  <w:pPr>
                    <w:adjustRightInd w:val="0"/>
                    <w:snapToGrid w:val="0"/>
                    <w:jc w:val="center"/>
                    <w:rPr>
                      <w:kern w:val="0"/>
                      <w:szCs w:val="20"/>
                      <w:highlight w:val="yellow"/>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7" w:hRule="atLeast"/>
                <w:jc w:val="center"/>
              </w:trPr>
              <w:tc>
                <w:tcPr>
                  <w:tcW w:w="539" w:type="pct"/>
                  <w:vMerge w:val="continue"/>
                  <w:vAlign w:val="center"/>
                </w:tcPr>
                <w:p>
                  <w:pPr>
                    <w:adjustRightInd w:val="0"/>
                    <w:snapToGrid w:val="0"/>
                    <w:jc w:val="center"/>
                    <w:rPr>
                      <w:kern w:val="0"/>
                      <w:szCs w:val="21"/>
                      <w:highlight w:val="yellow"/>
                      <w:u w:val="single"/>
                    </w:rPr>
                  </w:pPr>
                </w:p>
              </w:tc>
              <w:tc>
                <w:tcPr>
                  <w:tcW w:w="1204" w:type="pct"/>
                  <w:vAlign w:val="center"/>
                </w:tcPr>
                <w:p>
                  <w:pPr>
                    <w:adjustRightInd w:val="0"/>
                    <w:snapToGrid w:val="0"/>
                    <w:jc w:val="center"/>
                    <w:rPr>
                      <w:kern w:val="0"/>
                      <w:szCs w:val="20"/>
                    </w:rPr>
                  </w:pPr>
                  <w:r>
                    <w:rPr>
                      <w:rFonts w:hint="eastAsia"/>
                      <w:kern w:val="0"/>
                      <w:szCs w:val="20"/>
                    </w:rPr>
                    <w:t>厂界北侧外1m处</w:t>
                  </w:r>
                </w:p>
              </w:tc>
              <w:tc>
                <w:tcPr>
                  <w:tcW w:w="1044" w:type="pct"/>
                  <w:vMerge w:val="continue"/>
                  <w:vAlign w:val="center"/>
                </w:tcPr>
                <w:p>
                  <w:pPr>
                    <w:adjustRightInd w:val="0"/>
                    <w:snapToGrid w:val="0"/>
                    <w:jc w:val="center"/>
                    <w:rPr>
                      <w:kern w:val="0"/>
                      <w:szCs w:val="20"/>
                      <w:highlight w:val="yellow"/>
                      <w:u w:val="single"/>
                    </w:rPr>
                  </w:pPr>
                </w:p>
              </w:tc>
              <w:tc>
                <w:tcPr>
                  <w:tcW w:w="999" w:type="pct"/>
                  <w:vMerge w:val="continue"/>
                  <w:vAlign w:val="center"/>
                </w:tcPr>
                <w:p>
                  <w:pPr>
                    <w:adjustRightInd w:val="0"/>
                    <w:snapToGrid w:val="0"/>
                    <w:jc w:val="center"/>
                    <w:rPr>
                      <w:kern w:val="0"/>
                      <w:szCs w:val="20"/>
                      <w:highlight w:val="yellow"/>
                      <w:u w:val="single"/>
                    </w:rPr>
                  </w:pPr>
                </w:p>
              </w:tc>
              <w:tc>
                <w:tcPr>
                  <w:tcW w:w="1212" w:type="pct"/>
                  <w:vMerge w:val="continue"/>
                  <w:vAlign w:val="center"/>
                </w:tcPr>
                <w:p>
                  <w:pPr>
                    <w:adjustRightInd w:val="0"/>
                    <w:snapToGrid w:val="0"/>
                    <w:jc w:val="center"/>
                    <w:rPr>
                      <w:kern w:val="0"/>
                      <w:szCs w:val="20"/>
                      <w:highlight w:val="yellow"/>
                      <w:u w:val="single"/>
                    </w:rPr>
                  </w:pPr>
                </w:p>
              </w:tc>
            </w:tr>
          </w:tbl>
          <w:p>
            <w:pPr>
              <w:pStyle w:val="2"/>
              <w:adjustRightInd w:val="0"/>
              <w:spacing w:before="0" w:after="0" w:line="360" w:lineRule="auto"/>
              <w:ind w:right="0" w:firstLine="482" w:firstLineChars="200"/>
              <w:rPr>
                <w:b/>
                <w:bCs/>
                <w:sz w:val="24"/>
                <w:szCs w:val="24"/>
              </w:rPr>
            </w:pPr>
            <w:r>
              <w:rPr>
                <w:rFonts w:hint="eastAsia"/>
                <w:b/>
                <w:bCs/>
                <w:sz w:val="24"/>
                <w:szCs w:val="24"/>
              </w:rPr>
              <w:t>4、固废污染防治措施</w:t>
            </w:r>
          </w:p>
          <w:p>
            <w:pPr>
              <w:adjustRightInd w:val="0"/>
              <w:snapToGrid w:val="0"/>
              <w:spacing w:line="360" w:lineRule="auto"/>
              <w:ind w:firstLine="480" w:firstLineChars="200"/>
              <w:rPr>
                <w:sz w:val="24"/>
              </w:rPr>
            </w:pPr>
            <w:r>
              <w:rPr>
                <w:sz w:val="24"/>
              </w:rPr>
              <w:t>项目</w:t>
            </w:r>
            <w:r>
              <w:rPr>
                <w:rFonts w:hint="eastAsia"/>
                <w:sz w:val="24"/>
              </w:rPr>
              <w:t>运营期</w:t>
            </w:r>
            <w:r>
              <w:rPr>
                <w:sz w:val="24"/>
              </w:rPr>
              <w:t>产生的固体废弃物主要包括废饲料包装袋、病死蛙、废弃网、沉淀池淤泥以及员工生活垃圾</w:t>
            </w:r>
            <w:r>
              <w:rPr>
                <w:rFonts w:hint="eastAsia"/>
                <w:sz w:val="24"/>
              </w:rPr>
              <w:t>。</w:t>
            </w:r>
          </w:p>
          <w:p>
            <w:pPr>
              <w:adjustRightInd w:val="0"/>
              <w:snapToGrid w:val="0"/>
              <w:spacing w:line="360" w:lineRule="auto"/>
              <w:ind w:firstLine="480" w:firstLineChars="200"/>
              <w:rPr>
                <w:color w:val="000000"/>
                <w:sz w:val="24"/>
              </w:rPr>
            </w:pPr>
            <w:r>
              <w:rPr>
                <w:color w:val="000000"/>
                <w:sz w:val="24"/>
              </w:rPr>
              <w:t>①废饲料包装袋</w:t>
            </w:r>
            <w:r>
              <w:rPr>
                <w:rFonts w:hint="eastAsia"/>
                <w:color w:val="000000"/>
                <w:sz w:val="24"/>
              </w:rPr>
              <w:t>：收集后作为回收废品外卖；</w:t>
            </w:r>
          </w:p>
          <w:p>
            <w:pPr>
              <w:adjustRightInd w:val="0"/>
              <w:snapToGrid w:val="0"/>
              <w:spacing w:line="360" w:lineRule="auto"/>
              <w:ind w:firstLine="480" w:firstLineChars="200"/>
              <w:rPr>
                <w:color w:val="000000"/>
                <w:sz w:val="24"/>
                <w:u w:val="single"/>
              </w:rPr>
            </w:pPr>
            <w:r>
              <w:rPr>
                <w:color w:val="000000"/>
                <w:sz w:val="24"/>
                <w:u w:val="single"/>
              </w:rPr>
              <w:t>②</w:t>
            </w:r>
            <w:r>
              <w:rPr>
                <w:rFonts w:hint="eastAsia"/>
                <w:color w:val="000000"/>
                <w:sz w:val="24"/>
                <w:u w:val="single"/>
              </w:rPr>
              <w:t>病死蛙：本项目产生的病死蛙少量用于喂鱼，其余的使用安全填埋井进行填埋。安全填埋井为混凝土结构，井深5m，井口直径2m，井口加盖密封。进行填埋时，在每次投入病病死蛙后，应覆盖1层厚度大于10cm的熟石灰，井填满后，用粘土填埋压实并封口。同时环评要求项目对安全井采取了防渗、防雨淋措施，避免了其淋滤液对地下水环境的影响。如果出现疫情，需按照畜牧管理部门、检验检疫部门的要求进行处置，建设单位不可私自进行填埋；</w:t>
            </w:r>
          </w:p>
          <w:p>
            <w:pPr>
              <w:adjustRightInd w:val="0"/>
              <w:snapToGrid w:val="0"/>
              <w:spacing w:line="360" w:lineRule="auto"/>
              <w:ind w:firstLine="480" w:firstLineChars="200"/>
              <w:rPr>
                <w:color w:val="000000"/>
                <w:sz w:val="24"/>
              </w:rPr>
            </w:pPr>
            <w:r>
              <w:rPr>
                <w:rFonts w:hint="eastAsia"/>
                <w:color w:val="000000"/>
                <w:sz w:val="24"/>
              </w:rPr>
              <w:t>③废弃网：收集后作为回收废品外卖；</w:t>
            </w:r>
          </w:p>
          <w:p>
            <w:pPr>
              <w:adjustRightInd w:val="0"/>
              <w:snapToGrid w:val="0"/>
              <w:spacing w:line="360" w:lineRule="auto"/>
              <w:ind w:firstLine="480" w:firstLineChars="200"/>
              <w:rPr>
                <w:color w:val="000000"/>
                <w:sz w:val="24"/>
                <w:u w:val="single"/>
              </w:rPr>
            </w:pPr>
            <w:r>
              <w:rPr>
                <w:rFonts w:hint="eastAsia"/>
                <w:color w:val="000000"/>
                <w:sz w:val="24"/>
                <w:u w:val="single"/>
              </w:rPr>
              <w:t>④沉淀池淤泥：自然干化后由当地农民清运至果林种树；</w:t>
            </w:r>
          </w:p>
          <w:p>
            <w:pPr>
              <w:adjustRightInd w:val="0"/>
              <w:snapToGrid w:val="0"/>
              <w:spacing w:line="360" w:lineRule="auto"/>
              <w:ind w:firstLine="480" w:firstLineChars="200"/>
              <w:rPr>
                <w:sz w:val="24"/>
                <w:highlight w:val="yellow"/>
              </w:rPr>
            </w:pPr>
            <w:r>
              <w:rPr>
                <w:rFonts w:hint="eastAsia"/>
                <w:color w:val="000000"/>
                <w:sz w:val="24"/>
              </w:rPr>
              <w:t>⑤</w:t>
            </w:r>
            <w:r>
              <w:rPr>
                <w:color w:val="000000"/>
                <w:sz w:val="24"/>
              </w:rPr>
              <w:t>生活垃圾：由环卫部门运往城市生活垃圾填埋场进行集中处理</w:t>
            </w:r>
            <w:r>
              <w:rPr>
                <w:rFonts w:hint="eastAsia"/>
                <w:color w:val="000000"/>
                <w:sz w:val="24"/>
              </w:rPr>
              <w:t>。</w:t>
            </w:r>
          </w:p>
          <w:p>
            <w:pPr>
              <w:adjustRightInd w:val="0"/>
              <w:snapToGrid w:val="0"/>
              <w:spacing w:line="360" w:lineRule="auto"/>
              <w:ind w:firstLine="480" w:firstLineChars="200"/>
              <w:rPr>
                <w:sz w:val="24"/>
              </w:rPr>
            </w:pPr>
            <w:r>
              <w:rPr>
                <w:rFonts w:hint="eastAsia"/>
                <w:sz w:val="24"/>
              </w:rPr>
              <w:t>本项目厂内拟</w:t>
            </w:r>
            <w:r>
              <w:rPr>
                <w:sz w:val="24"/>
              </w:rPr>
              <w:t>设置</w:t>
            </w:r>
            <w:r>
              <w:rPr>
                <w:rFonts w:hint="eastAsia"/>
                <w:sz w:val="24"/>
              </w:rPr>
              <w:t>一间</w:t>
            </w:r>
            <w:r>
              <w:rPr>
                <w:sz w:val="24"/>
              </w:rPr>
              <w:t>一般固废暂存间，本环评要求达到不扬散、不流失、不渗漏等要求；项目所有固废要按照“减量化、资源化、无害化”处理原则，加强固体废物的内部管理，建立固体废物产生、外运、处置及最终去向的详细账单，按废物转移交换处置管理办法实施追踪管理，并落实安全管理责任，避免二次污染。一般工业固废暂存场所需按照《一般工业固体废物贮存和填埋污染控制标准》（GB 18599-2020）要求建设</w:t>
            </w:r>
            <w:r>
              <w:rPr>
                <w:rFonts w:hint="eastAsia"/>
                <w:sz w:val="24"/>
              </w:rPr>
              <w:t>，</w:t>
            </w:r>
            <w:r>
              <w:rPr>
                <w:sz w:val="24"/>
              </w:rPr>
              <w:t>固废按相关标准和要求妥善处置后，对外影响较小。</w:t>
            </w:r>
          </w:p>
          <w:p>
            <w:pPr>
              <w:adjustRightInd w:val="0"/>
              <w:snapToGrid w:val="0"/>
              <w:spacing w:line="360" w:lineRule="auto"/>
              <w:ind w:firstLine="480" w:firstLineChars="200"/>
            </w:pPr>
            <w:r>
              <w:rPr>
                <w:sz w:val="24"/>
              </w:rPr>
              <w:t>通过采取上述措施后，本项目固体废物均可得到妥善的处理，对区域环境影响较小。</w:t>
            </w:r>
          </w:p>
          <w:p>
            <w:pPr>
              <w:pStyle w:val="2"/>
              <w:adjustRightInd w:val="0"/>
              <w:spacing w:before="0" w:after="0" w:line="360" w:lineRule="auto"/>
              <w:ind w:right="0" w:firstLine="482" w:firstLineChars="200"/>
              <w:rPr>
                <w:b/>
                <w:bCs/>
                <w:sz w:val="24"/>
                <w:szCs w:val="24"/>
                <w:u w:val="single"/>
              </w:rPr>
            </w:pPr>
            <w:r>
              <w:rPr>
                <w:rFonts w:hint="eastAsia"/>
                <w:b/>
                <w:bCs/>
                <w:sz w:val="24"/>
                <w:szCs w:val="24"/>
                <w:u w:val="single"/>
              </w:rPr>
              <w:t>5、生态环境污染防治措施</w:t>
            </w:r>
          </w:p>
          <w:p>
            <w:pPr>
              <w:adjustRightInd w:val="0"/>
              <w:snapToGrid w:val="0"/>
              <w:spacing w:line="360" w:lineRule="auto"/>
              <w:ind w:firstLine="480" w:firstLineChars="200"/>
              <w:rPr>
                <w:color w:val="000000"/>
                <w:sz w:val="24"/>
                <w:u w:val="single"/>
              </w:rPr>
            </w:pPr>
            <w:r>
              <w:rPr>
                <w:rFonts w:hint="eastAsia"/>
                <w:color w:val="000000"/>
                <w:sz w:val="24"/>
                <w:u w:val="single"/>
              </w:rPr>
              <w:t>项目运营后主要的生态影响为养殖废水对日东河、农田生态系统的影响。</w:t>
            </w:r>
          </w:p>
          <w:p>
            <w:pPr>
              <w:adjustRightInd w:val="0"/>
              <w:snapToGrid w:val="0"/>
              <w:spacing w:line="360" w:lineRule="auto"/>
              <w:ind w:firstLine="480" w:firstLineChars="200"/>
              <w:rPr>
                <w:sz w:val="24"/>
                <w:highlight w:val="yellow"/>
              </w:rPr>
            </w:pPr>
            <w:r>
              <w:rPr>
                <w:rFonts w:hint="eastAsia"/>
                <w:color w:val="000000"/>
                <w:sz w:val="24"/>
                <w:u w:val="single"/>
              </w:rPr>
              <w:t>针对项目养殖废水，项目拟采用一套污水处理设备进行处理，可以有效去除养殖水体中的CODcr、总磷等污染物。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08" w:type="pct"/>
            <w:tcBorders>
              <w:tl2br w:val="nil"/>
              <w:tr2bl w:val="nil"/>
            </w:tcBorders>
            <w:vAlign w:val="center"/>
          </w:tcPr>
          <w:p>
            <w:pPr>
              <w:adjustRightInd w:val="0"/>
              <w:snapToGrid w:val="0"/>
              <w:jc w:val="center"/>
              <w:rPr>
                <w:bCs/>
                <w:spacing w:val="10"/>
                <w:sz w:val="24"/>
                <w:highlight w:val="yellow"/>
              </w:rPr>
            </w:pPr>
            <w:r>
              <w:rPr>
                <w:bCs/>
                <w:sz w:val="24"/>
              </w:rPr>
              <w:t>其他</w:t>
            </w:r>
          </w:p>
        </w:tc>
        <w:tc>
          <w:tcPr>
            <w:tcW w:w="4591" w:type="pct"/>
            <w:tcBorders>
              <w:tl2br w:val="nil"/>
              <w:tr2bl w:val="nil"/>
            </w:tcBorders>
            <w:vAlign w:val="center"/>
          </w:tcPr>
          <w:p>
            <w:pPr>
              <w:pStyle w:val="2"/>
              <w:adjustRightInd w:val="0"/>
              <w:spacing w:before="0" w:after="0" w:line="360" w:lineRule="auto"/>
              <w:ind w:right="0" w:firstLine="482" w:firstLineChars="200"/>
              <w:rPr>
                <w:b/>
                <w:bCs/>
                <w:sz w:val="24"/>
                <w:szCs w:val="24"/>
                <w:u w:val="single"/>
              </w:rPr>
            </w:pPr>
            <w:r>
              <w:rPr>
                <w:rFonts w:hint="eastAsia"/>
                <w:b/>
                <w:bCs/>
                <w:sz w:val="24"/>
                <w:szCs w:val="24"/>
                <w:u w:val="single"/>
              </w:rPr>
              <w:t>1、</w:t>
            </w:r>
            <w:r>
              <w:rPr>
                <w:b/>
                <w:bCs/>
                <w:sz w:val="24"/>
                <w:szCs w:val="24"/>
                <w:u w:val="single"/>
              </w:rPr>
              <w:t>“三同时”验收</w:t>
            </w:r>
          </w:p>
          <w:p>
            <w:pPr>
              <w:numPr>
                <w:ilvl w:val="0"/>
                <w:numId w:val="8"/>
              </w:numPr>
              <w:adjustRightInd w:val="0"/>
              <w:snapToGrid w:val="0"/>
              <w:spacing w:line="360" w:lineRule="auto"/>
              <w:ind w:firstLine="480" w:firstLineChars="200"/>
              <w:rPr>
                <w:color w:val="000000"/>
                <w:sz w:val="24"/>
                <w:u w:val="single"/>
              </w:rPr>
            </w:pPr>
            <w:r>
              <w:rPr>
                <w:color w:val="000000"/>
                <w:sz w:val="24"/>
                <w:u w:val="single"/>
              </w:rPr>
              <w:t>根据《建设项目环境保护管理条例》（2017年7月修订）、《建设项目竣工环境保护验收暂行办法》（国环规环评</w:t>
            </w:r>
            <w:r>
              <w:rPr>
                <w:rFonts w:hint="eastAsia"/>
                <w:color w:val="000000"/>
                <w:sz w:val="24"/>
                <w:u w:val="single"/>
              </w:rPr>
              <w:t>[2017]</w:t>
            </w:r>
            <w:r>
              <w:rPr>
                <w:color w:val="000000"/>
                <w:sz w:val="24"/>
                <w:u w:val="single"/>
              </w:rPr>
              <w:t>4号），建设项目竣工后建设单位需自主开展环境保护验收。项目竣工环保设施的验收要求如下：</w:t>
            </w:r>
          </w:p>
          <w:p>
            <w:pPr>
              <w:numPr>
                <w:ilvl w:val="0"/>
                <w:numId w:val="8"/>
              </w:numPr>
              <w:adjustRightInd w:val="0"/>
              <w:snapToGrid w:val="0"/>
              <w:spacing w:line="360" w:lineRule="auto"/>
              <w:ind w:firstLine="480" w:firstLineChars="200"/>
              <w:rPr>
                <w:color w:val="000000"/>
                <w:sz w:val="24"/>
                <w:u w:val="single"/>
              </w:rPr>
            </w:pPr>
            <w:r>
              <w:rPr>
                <w:color w:val="000000"/>
                <w:sz w:val="24"/>
                <w:u w:val="single"/>
              </w:rPr>
              <w:t>建设项目需要配套建设的环境保护设施，必须与主体工程同时设计、同时施工、同时投产使用。</w:t>
            </w:r>
          </w:p>
          <w:p>
            <w:pPr>
              <w:numPr>
                <w:ilvl w:val="0"/>
                <w:numId w:val="8"/>
              </w:numPr>
              <w:adjustRightInd w:val="0"/>
              <w:snapToGrid w:val="0"/>
              <w:spacing w:line="360" w:lineRule="auto"/>
              <w:ind w:firstLine="480" w:firstLineChars="200"/>
              <w:rPr>
                <w:color w:val="000000"/>
                <w:sz w:val="24"/>
                <w:u w:val="single"/>
              </w:rPr>
            </w:pPr>
            <w:r>
              <w:rPr>
                <w:color w:val="000000"/>
                <w:sz w:val="24"/>
                <w:u w:val="single"/>
              </w:rPr>
              <w:t>项目竣工后，建设单位应当按照国务院环境保护行政主管部门规定的标准和程序，对配套建设的环境保护设施进行验收，编制验收报告。</w:t>
            </w:r>
          </w:p>
          <w:p>
            <w:pPr>
              <w:numPr>
                <w:ilvl w:val="0"/>
                <w:numId w:val="8"/>
              </w:numPr>
              <w:adjustRightInd w:val="0"/>
              <w:snapToGrid w:val="0"/>
              <w:spacing w:line="360" w:lineRule="auto"/>
              <w:ind w:firstLine="480" w:firstLineChars="200"/>
              <w:rPr>
                <w:color w:val="000000"/>
                <w:sz w:val="24"/>
                <w:u w:val="single"/>
              </w:rPr>
            </w:pPr>
            <w:r>
              <w:rPr>
                <w:color w:val="000000"/>
                <w:sz w:val="24"/>
                <w:u w:val="single"/>
              </w:rPr>
              <w:t>建设单位在环境保护设施验收过程中，应当如实查验、监测、记载建设项目环境保护设施的建设和调试情况，不得弄虚作假。建设单位不具备编制验收监测（调查）报告能力的，可以委托有能力的技术机构编制。建设单位对受委托的技术机构编制的验收监测（调查）报告结论负责。建设单位与受委托的技术机构之间的权利义务关系，以及受委托的技术机构应当承担的责任，可以通过合同形式约定。</w:t>
            </w:r>
          </w:p>
          <w:p>
            <w:pPr>
              <w:adjustRightInd w:val="0"/>
              <w:snapToGrid w:val="0"/>
              <w:spacing w:line="360" w:lineRule="auto"/>
              <w:ind w:firstLine="480" w:firstLineChars="200"/>
              <w:rPr>
                <w:b/>
                <w:color w:val="000000"/>
                <w:szCs w:val="21"/>
                <w:u w:val="single"/>
              </w:rPr>
            </w:pPr>
            <w:r>
              <w:rPr>
                <w:color w:val="000000"/>
                <w:sz w:val="24"/>
                <w:u w:val="single"/>
              </w:rPr>
              <w:t>d、建设项目配套建设的环境保护设施经验收合格后，其主体工程方可投入生产或者使用；未经验收或者验收不合格的，不得投入生产或者使用。项目环境保护竣工验收项目见下表。</w:t>
            </w:r>
          </w:p>
          <w:p>
            <w:pPr>
              <w:adjustRightInd w:val="0"/>
              <w:snapToGrid w:val="0"/>
              <w:spacing w:line="300" w:lineRule="exact"/>
              <w:jc w:val="center"/>
              <w:rPr>
                <w:b/>
                <w:color w:val="000000"/>
                <w:szCs w:val="21"/>
                <w:u w:val="single"/>
              </w:rPr>
            </w:pPr>
            <w:r>
              <w:rPr>
                <w:b/>
                <w:color w:val="000000"/>
                <w:szCs w:val="21"/>
                <w:u w:val="single"/>
              </w:rPr>
              <w:t>表</w:t>
            </w:r>
            <w:r>
              <w:rPr>
                <w:rFonts w:hint="eastAsia"/>
                <w:b/>
                <w:color w:val="000000"/>
                <w:szCs w:val="21"/>
                <w:u w:val="single"/>
              </w:rPr>
              <w:t>5-6</w:t>
            </w:r>
            <w:r>
              <w:rPr>
                <w:b/>
                <w:color w:val="000000"/>
                <w:szCs w:val="21"/>
                <w:u w:val="single"/>
              </w:rPr>
              <w:t xml:space="preserve"> </w:t>
            </w:r>
            <w:r>
              <w:rPr>
                <w:rFonts w:hint="eastAsia"/>
                <w:b/>
                <w:color w:val="000000"/>
                <w:szCs w:val="21"/>
                <w:u w:val="single"/>
              </w:rPr>
              <w:t xml:space="preserve"> </w:t>
            </w:r>
            <w:r>
              <w:rPr>
                <w:b/>
                <w:color w:val="000000"/>
                <w:szCs w:val="21"/>
                <w:u w:val="single"/>
              </w:rPr>
              <w:t>项目环保竣工验收一览表</w:t>
            </w:r>
          </w:p>
          <w:tbl>
            <w:tblPr>
              <w:tblStyle w:val="24"/>
              <w:tblW w:w="4994"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531"/>
              <w:gridCol w:w="1856"/>
              <w:gridCol w:w="561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03" w:hRule="atLeast"/>
              </w:trPr>
              <w:tc>
                <w:tcPr>
                  <w:tcW w:w="332" w:type="pct"/>
                  <w:tcBorders>
                    <w:tl2br w:val="nil"/>
                    <w:tr2bl w:val="nil"/>
                  </w:tcBorders>
                  <w:vAlign w:val="center"/>
                </w:tcPr>
                <w:p>
                  <w:pPr>
                    <w:adjustRightInd w:val="0"/>
                    <w:snapToGrid w:val="0"/>
                    <w:spacing w:line="310" w:lineRule="exact"/>
                    <w:jc w:val="center"/>
                    <w:rPr>
                      <w:color w:val="000000"/>
                      <w:szCs w:val="21"/>
                      <w:u w:val="single"/>
                    </w:rPr>
                  </w:pPr>
                  <w:r>
                    <w:rPr>
                      <w:color w:val="000000"/>
                      <w:szCs w:val="21"/>
                      <w:u w:val="single"/>
                    </w:rPr>
                    <w:t>序号</w:t>
                  </w:r>
                </w:p>
              </w:tc>
              <w:tc>
                <w:tcPr>
                  <w:tcW w:w="1160" w:type="pct"/>
                  <w:tcBorders>
                    <w:tl2br w:val="nil"/>
                    <w:tr2bl w:val="nil"/>
                  </w:tcBorders>
                  <w:vAlign w:val="center"/>
                </w:tcPr>
                <w:p>
                  <w:pPr>
                    <w:adjustRightInd w:val="0"/>
                    <w:snapToGrid w:val="0"/>
                    <w:spacing w:line="310" w:lineRule="exact"/>
                    <w:jc w:val="center"/>
                    <w:rPr>
                      <w:color w:val="000000"/>
                      <w:szCs w:val="21"/>
                      <w:u w:val="single"/>
                    </w:rPr>
                  </w:pPr>
                  <w:r>
                    <w:rPr>
                      <w:color w:val="000000"/>
                      <w:szCs w:val="21"/>
                      <w:u w:val="single"/>
                    </w:rPr>
                    <w:t>验收项目</w:t>
                  </w:r>
                </w:p>
              </w:tc>
              <w:tc>
                <w:tcPr>
                  <w:tcW w:w="3507" w:type="pct"/>
                  <w:tcBorders>
                    <w:tl2br w:val="nil"/>
                    <w:tr2bl w:val="nil"/>
                  </w:tcBorders>
                  <w:vAlign w:val="center"/>
                </w:tcPr>
                <w:p>
                  <w:pPr>
                    <w:adjustRightInd w:val="0"/>
                    <w:snapToGrid w:val="0"/>
                    <w:spacing w:line="310" w:lineRule="exact"/>
                    <w:jc w:val="center"/>
                    <w:rPr>
                      <w:color w:val="000000"/>
                      <w:szCs w:val="21"/>
                      <w:u w:val="single"/>
                    </w:rPr>
                  </w:pPr>
                  <w:r>
                    <w:rPr>
                      <w:color w:val="000000"/>
                      <w:szCs w:val="21"/>
                      <w:u w:val="single"/>
                    </w:rPr>
                    <w:t>验收内容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03" w:hRule="atLeast"/>
              </w:trPr>
              <w:tc>
                <w:tcPr>
                  <w:tcW w:w="332" w:type="pct"/>
                  <w:tcBorders>
                    <w:tl2br w:val="nil"/>
                    <w:tr2bl w:val="nil"/>
                  </w:tcBorders>
                  <w:vAlign w:val="center"/>
                </w:tcPr>
                <w:p>
                  <w:pPr>
                    <w:adjustRightInd w:val="0"/>
                    <w:snapToGrid w:val="0"/>
                    <w:spacing w:line="310" w:lineRule="exact"/>
                    <w:jc w:val="center"/>
                    <w:rPr>
                      <w:color w:val="000000"/>
                      <w:szCs w:val="21"/>
                      <w:u w:val="single"/>
                    </w:rPr>
                  </w:pPr>
                  <w:r>
                    <w:rPr>
                      <w:color w:val="000000"/>
                      <w:szCs w:val="21"/>
                      <w:u w:val="single"/>
                    </w:rPr>
                    <w:t>1</w:t>
                  </w:r>
                </w:p>
              </w:tc>
              <w:tc>
                <w:tcPr>
                  <w:tcW w:w="1160" w:type="pct"/>
                  <w:tcBorders>
                    <w:tl2br w:val="nil"/>
                    <w:tr2bl w:val="nil"/>
                  </w:tcBorders>
                  <w:vAlign w:val="center"/>
                </w:tcPr>
                <w:p>
                  <w:pPr>
                    <w:adjustRightInd w:val="0"/>
                    <w:snapToGrid w:val="0"/>
                    <w:spacing w:line="310" w:lineRule="exact"/>
                    <w:jc w:val="center"/>
                    <w:rPr>
                      <w:color w:val="000000"/>
                      <w:szCs w:val="21"/>
                      <w:u w:val="single"/>
                    </w:rPr>
                  </w:pPr>
                  <w:r>
                    <w:rPr>
                      <w:color w:val="000000"/>
                      <w:szCs w:val="21"/>
                      <w:u w:val="single"/>
                    </w:rPr>
                    <w:t>相关资料、手续</w:t>
                  </w:r>
                </w:p>
              </w:tc>
              <w:tc>
                <w:tcPr>
                  <w:tcW w:w="3507" w:type="pct"/>
                  <w:tcBorders>
                    <w:tl2br w:val="nil"/>
                    <w:tr2bl w:val="nil"/>
                  </w:tcBorders>
                  <w:vAlign w:val="center"/>
                </w:tcPr>
                <w:p>
                  <w:pPr>
                    <w:adjustRightInd w:val="0"/>
                    <w:snapToGrid w:val="0"/>
                    <w:spacing w:line="310" w:lineRule="exact"/>
                    <w:jc w:val="center"/>
                    <w:rPr>
                      <w:color w:val="000000"/>
                      <w:szCs w:val="21"/>
                      <w:u w:val="single"/>
                    </w:rPr>
                  </w:pPr>
                  <w:r>
                    <w:rPr>
                      <w:color w:val="000000"/>
                      <w:szCs w:val="21"/>
                      <w:u w:val="single"/>
                    </w:rPr>
                    <w:t>项目相关批复文件（主要为环境影响评价审批文件）是否齐备，项目是否具备开工条件，环境保护档案是否齐全。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03" w:hRule="atLeast"/>
              </w:trPr>
              <w:tc>
                <w:tcPr>
                  <w:tcW w:w="332" w:type="pct"/>
                  <w:tcBorders>
                    <w:tl2br w:val="nil"/>
                    <w:tr2bl w:val="nil"/>
                  </w:tcBorders>
                  <w:vAlign w:val="center"/>
                </w:tcPr>
                <w:p>
                  <w:pPr>
                    <w:adjustRightInd w:val="0"/>
                    <w:snapToGrid w:val="0"/>
                    <w:spacing w:line="310" w:lineRule="exact"/>
                    <w:jc w:val="center"/>
                    <w:rPr>
                      <w:color w:val="000000"/>
                      <w:szCs w:val="21"/>
                      <w:u w:val="single"/>
                    </w:rPr>
                  </w:pPr>
                  <w:r>
                    <w:rPr>
                      <w:color w:val="000000"/>
                      <w:szCs w:val="21"/>
                      <w:u w:val="single"/>
                    </w:rPr>
                    <w:t>2</w:t>
                  </w:r>
                </w:p>
              </w:tc>
              <w:tc>
                <w:tcPr>
                  <w:tcW w:w="1160" w:type="pct"/>
                  <w:tcBorders>
                    <w:tl2br w:val="nil"/>
                    <w:tr2bl w:val="nil"/>
                  </w:tcBorders>
                  <w:vAlign w:val="center"/>
                </w:tcPr>
                <w:p>
                  <w:pPr>
                    <w:adjustRightInd w:val="0"/>
                    <w:snapToGrid w:val="0"/>
                    <w:spacing w:line="310" w:lineRule="exact"/>
                    <w:jc w:val="center"/>
                    <w:rPr>
                      <w:color w:val="000000"/>
                      <w:szCs w:val="21"/>
                      <w:u w:val="single"/>
                    </w:rPr>
                  </w:pPr>
                  <w:r>
                    <w:rPr>
                      <w:color w:val="000000"/>
                      <w:szCs w:val="21"/>
                      <w:u w:val="single"/>
                    </w:rPr>
                    <w:t>实际工程内容及方案设计情况</w:t>
                  </w:r>
                </w:p>
              </w:tc>
              <w:tc>
                <w:tcPr>
                  <w:tcW w:w="3507" w:type="pct"/>
                  <w:tcBorders>
                    <w:tl2br w:val="nil"/>
                    <w:tr2bl w:val="nil"/>
                  </w:tcBorders>
                  <w:vAlign w:val="center"/>
                </w:tcPr>
                <w:p>
                  <w:pPr>
                    <w:adjustRightInd w:val="0"/>
                    <w:snapToGrid w:val="0"/>
                    <w:spacing w:line="310" w:lineRule="exact"/>
                    <w:jc w:val="center"/>
                    <w:rPr>
                      <w:color w:val="000000"/>
                      <w:szCs w:val="21"/>
                      <w:u w:val="single"/>
                    </w:rPr>
                  </w:pPr>
                  <w:r>
                    <w:rPr>
                      <w:color w:val="000000"/>
                      <w:szCs w:val="21"/>
                      <w:u w:val="single"/>
                    </w:rPr>
                    <w:t>核实实际工程内容及方案设计变更情况，以及由此造成的环境影响变化情况。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03" w:hRule="atLeast"/>
              </w:trPr>
              <w:tc>
                <w:tcPr>
                  <w:tcW w:w="332" w:type="pct"/>
                  <w:tcBorders>
                    <w:tl2br w:val="nil"/>
                    <w:tr2bl w:val="nil"/>
                  </w:tcBorders>
                  <w:vAlign w:val="center"/>
                </w:tcPr>
                <w:p>
                  <w:pPr>
                    <w:adjustRightInd w:val="0"/>
                    <w:snapToGrid w:val="0"/>
                    <w:spacing w:line="310" w:lineRule="exact"/>
                    <w:jc w:val="center"/>
                    <w:rPr>
                      <w:color w:val="000000"/>
                      <w:szCs w:val="21"/>
                      <w:u w:val="single"/>
                    </w:rPr>
                  </w:pPr>
                  <w:r>
                    <w:rPr>
                      <w:color w:val="000000"/>
                      <w:szCs w:val="21"/>
                      <w:u w:val="single"/>
                    </w:rPr>
                    <w:t>3</w:t>
                  </w:r>
                </w:p>
              </w:tc>
              <w:tc>
                <w:tcPr>
                  <w:tcW w:w="1160" w:type="pct"/>
                  <w:tcBorders>
                    <w:tl2br w:val="nil"/>
                    <w:tr2bl w:val="nil"/>
                  </w:tcBorders>
                  <w:vAlign w:val="center"/>
                </w:tcPr>
                <w:p>
                  <w:pPr>
                    <w:adjustRightInd w:val="0"/>
                    <w:snapToGrid w:val="0"/>
                    <w:spacing w:line="310" w:lineRule="exact"/>
                    <w:jc w:val="center"/>
                    <w:rPr>
                      <w:color w:val="000000"/>
                      <w:szCs w:val="21"/>
                      <w:u w:val="single"/>
                    </w:rPr>
                  </w:pPr>
                  <w:r>
                    <w:rPr>
                      <w:color w:val="000000"/>
                      <w:szCs w:val="21"/>
                      <w:u w:val="single"/>
                    </w:rPr>
                    <w:t>环境保护目标基本情况</w:t>
                  </w:r>
                </w:p>
              </w:tc>
              <w:tc>
                <w:tcPr>
                  <w:tcW w:w="3507" w:type="pct"/>
                  <w:tcBorders>
                    <w:tl2br w:val="nil"/>
                    <w:tr2bl w:val="nil"/>
                  </w:tcBorders>
                  <w:vAlign w:val="center"/>
                </w:tcPr>
                <w:p>
                  <w:pPr>
                    <w:adjustRightInd w:val="0"/>
                    <w:snapToGrid w:val="0"/>
                    <w:spacing w:line="310" w:lineRule="exact"/>
                    <w:jc w:val="center"/>
                    <w:rPr>
                      <w:color w:val="000000"/>
                      <w:szCs w:val="21"/>
                      <w:u w:val="single"/>
                    </w:rPr>
                  </w:pPr>
                  <w:r>
                    <w:rPr>
                      <w:color w:val="000000"/>
                      <w:szCs w:val="21"/>
                      <w:u w:val="single"/>
                    </w:rPr>
                    <w:t>核实环境保护目标基本情况及变更情况。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90" w:hRule="atLeast"/>
              </w:trPr>
              <w:tc>
                <w:tcPr>
                  <w:tcW w:w="332" w:type="pct"/>
                  <w:tcBorders>
                    <w:tl2br w:val="nil"/>
                    <w:tr2bl w:val="nil"/>
                  </w:tcBorders>
                  <w:vAlign w:val="center"/>
                </w:tcPr>
                <w:p>
                  <w:pPr>
                    <w:adjustRightInd w:val="0"/>
                    <w:snapToGrid w:val="0"/>
                    <w:spacing w:line="310" w:lineRule="exact"/>
                    <w:jc w:val="center"/>
                    <w:rPr>
                      <w:color w:val="000000"/>
                      <w:szCs w:val="21"/>
                      <w:u w:val="single"/>
                    </w:rPr>
                  </w:pPr>
                  <w:r>
                    <w:rPr>
                      <w:color w:val="000000"/>
                      <w:szCs w:val="21"/>
                      <w:u w:val="single"/>
                    </w:rPr>
                    <w:t>4</w:t>
                  </w:r>
                </w:p>
              </w:tc>
              <w:tc>
                <w:tcPr>
                  <w:tcW w:w="1160" w:type="pct"/>
                  <w:tcBorders>
                    <w:tl2br w:val="nil"/>
                    <w:tr2bl w:val="nil"/>
                  </w:tcBorders>
                  <w:vAlign w:val="center"/>
                </w:tcPr>
                <w:p>
                  <w:pPr>
                    <w:adjustRightInd w:val="0"/>
                    <w:snapToGrid w:val="0"/>
                    <w:spacing w:line="310" w:lineRule="exact"/>
                    <w:jc w:val="center"/>
                    <w:rPr>
                      <w:color w:val="000000"/>
                      <w:szCs w:val="21"/>
                      <w:u w:val="single"/>
                    </w:rPr>
                  </w:pPr>
                  <w:r>
                    <w:rPr>
                      <w:color w:val="000000"/>
                      <w:szCs w:val="21"/>
                      <w:u w:val="single"/>
                    </w:rPr>
                    <w:t>环保相关评价制度及规章制度</w:t>
                  </w:r>
                </w:p>
              </w:tc>
              <w:tc>
                <w:tcPr>
                  <w:tcW w:w="3507" w:type="pct"/>
                  <w:tcBorders>
                    <w:tl2br w:val="nil"/>
                    <w:tr2bl w:val="nil"/>
                  </w:tcBorders>
                  <w:vAlign w:val="center"/>
                </w:tcPr>
                <w:p>
                  <w:pPr>
                    <w:adjustRightInd w:val="0"/>
                    <w:snapToGrid w:val="0"/>
                    <w:spacing w:line="310" w:lineRule="exact"/>
                    <w:jc w:val="center"/>
                    <w:rPr>
                      <w:color w:val="000000"/>
                      <w:szCs w:val="21"/>
                      <w:u w:val="single"/>
                    </w:rPr>
                  </w:pPr>
                  <w:r>
                    <w:rPr>
                      <w:color w:val="000000"/>
                      <w:szCs w:val="21"/>
                      <w:u w:val="single"/>
                    </w:rPr>
                    <w:t>核实环境影响评价制度及其他环境保护规章制度执行情况。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332" w:type="pct"/>
                  <w:tcBorders>
                    <w:tl2br w:val="nil"/>
                    <w:tr2bl w:val="nil"/>
                  </w:tcBorders>
                  <w:vAlign w:val="center"/>
                </w:tcPr>
                <w:p>
                  <w:pPr>
                    <w:adjustRightInd w:val="0"/>
                    <w:snapToGrid w:val="0"/>
                    <w:spacing w:line="310" w:lineRule="exact"/>
                    <w:jc w:val="center"/>
                    <w:rPr>
                      <w:color w:val="000000"/>
                      <w:szCs w:val="21"/>
                      <w:u w:val="single"/>
                    </w:rPr>
                  </w:pPr>
                  <w:r>
                    <w:rPr>
                      <w:color w:val="000000"/>
                      <w:szCs w:val="21"/>
                      <w:u w:val="single"/>
                    </w:rPr>
                    <w:t>5</w:t>
                  </w:r>
                </w:p>
              </w:tc>
              <w:tc>
                <w:tcPr>
                  <w:tcW w:w="1160" w:type="pct"/>
                  <w:tcBorders>
                    <w:tl2br w:val="nil"/>
                    <w:tr2bl w:val="nil"/>
                  </w:tcBorders>
                  <w:vAlign w:val="center"/>
                </w:tcPr>
                <w:p>
                  <w:pPr>
                    <w:adjustRightInd w:val="0"/>
                    <w:snapToGrid w:val="0"/>
                    <w:spacing w:line="310" w:lineRule="exact"/>
                    <w:jc w:val="center"/>
                    <w:rPr>
                      <w:color w:val="000000"/>
                      <w:szCs w:val="21"/>
                      <w:u w:val="single"/>
                    </w:rPr>
                  </w:pPr>
                  <w:r>
                    <w:rPr>
                      <w:color w:val="000000"/>
                      <w:szCs w:val="21"/>
                      <w:u w:val="single"/>
                    </w:rPr>
                    <w:t>各项环境保护设施落实情况</w:t>
                  </w:r>
                </w:p>
              </w:tc>
              <w:tc>
                <w:tcPr>
                  <w:tcW w:w="3507" w:type="pct"/>
                  <w:tcBorders>
                    <w:tl2br w:val="nil"/>
                    <w:tr2bl w:val="nil"/>
                  </w:tcBorders>
                  <w:vAlign w:val="center"/>
                </w:tcPr>
                <w:p>
                  <w:pPr>
                    <w:adjustRightInd w:val="0"/>
                    <w:snapToGrid w:val="0"/>
                    <w:spacing w:line="310" w:lineRule="exact"/>
                    <w:jc w:val="center"/>
                    <w:rPr>
                      <w:color w:val="000000"/>
                      <w:szCs w:val="21"/>
                      <w:u w:val="single"/>
                    </w:rPr>
                  </w:pPr>
                  <w:r>
                    <w:rPr>
                      <w:color w:val="000000"/>
                      <w:szCs w:val="21"/>
                      <w:u w:val="single"/>
                    </w:rPr>
                    <w:t>核实工程设计、环境影响评价文件及环境影响评价审批文件中提出的大气环境、水环境、声环境、固体废物及生态保护等各项措施落实情况及实施效果。</w:t>
                  </w:r>
                </w:p>
                <w:p>
                  <w:pPr>
                    <w:adjustRightInd w:val="0"/>
                    <w:snapToGrid w:val="0"/>
                    <w:spacing w:line="310" w:lineRule="exact"/>
                    <w:jc w:val="center"/>
                    <w:rPr>
                      <w:color w:val="000000"/>
                      <w:szCs w:val="21"/>
                      <w:u w:val="single"/>
                    </w:rPr>
                  </w:pPr>
                  <w:r>
                    <w:rPr>
                      <w:color w:val="000000"/>
                      <w:szCs w:val="21"/>
                      <w:u w:val="single"/>
                    </w:rPr>
                    <w:t>大气环境：项目</w:t>
                  </w:r>
                  <w:r>
                    <w:rPr>
                      <w:rFonts w:hint="eastAsia"/>
                      <w:color w:val="000000"/>
                      <w:szCs w:val="21"/>
                      <w:u w:val="single"/>
                    </w:rPr>
                    <w:t>是否在厂区内定期喷洒除臭剂</w:t>
                  </w:r>
                  <w:r>
                    <w:rPr>
                      <w:color w:val="000000"/>
                      <w:szCs w:val="21"/>
                      <w:u w:val="single"/>
                    </w:rPr>
                    <w:t>；</w:t>
                  </w:r>
                </w:p>
                <w:p>
                  <w:pPr>
                    <w:adjustRightInd w:val="0"/>
                    <w:snapToGrid w:val="0"/>
                    <w:spacing w:line="310" w:lineRule="exact"/>
                    <w:jc w:val="center"/>
                    <w:rPr>
                      <w:color w:val="000000"/>
                      <w:szCs w:val="21"/>
                      <w:u w:val="single"/>
                    </w:rPr>
                  </w:pPr>
                  <w:r>
                    <w:rPr>
                      <w:color w:val="000000"/>
                      <w:szCs w:val="21"/>
                      <w:u w:val="single"/>
                    </w:rPr>
                    <w:t>水环境：生活废水是否经三格化粪池处理达标后用于周边农田施肥；养殖废水经污水处理系统处理达标后外排至日东河</w:t>
                  </w:r>
                  <w:r>
                    <w:rPr>
                      <w:rFonts w:hint="eastAsia"/>
                      <w:color w:val="000000"/>
                      <w:szCs w:val="21"/>
                      <w:u w:val="single"/>
                    </w:rPr>
                    <w:t>；</w:t>
                  </w:r>
                </w:p>
                <w:p>
                  <w:pPr>
                    <w:adjustRightInd w:val="0"/>
                    <w:snapToGrid w:val="0"/>
                    <w:spacing w:line="310" w:lineRule="exact"/>
                    <w:jc w:val="center"/>
                    <w:rPr>
                      <w:color w:val="000000"/>
                      <w:sz w:val="24"/>
                      <w:u w:val="single"/>
                    </w:rPr>
                  </w:pPr>
                  <w:r>
                    <w:rPr>
                      <w:color w:val="000000"/>
                      <w:szCs w:val="21"/>
                      <w:u w:val="single"/>
                    </w:rPr>
                    <w:t>声环境：</w:t>
                  </w:r>
                  <w:r>
                    <w:rPr>
                      <w:rFonts w:hint="eastAsia"/>
                      <w:color w:val="000000"/>
                      <w:szCs w:val="21"/>
                      <w:u w:val="single"/>
                    </w:rPr>
                    <w:t>机械设备是否</w:t>
                  </w:r>
                  <w:r>
                    <w:rPr>
                      <w:color w:val="000000"/>
                      <w:szCs w:val="21"/>
                      <w:u w:val="single"/>
                    </w:rPr>
                    <w:t>采取基础减振等措施</w:t>
                  </w:r>
                  <w:r>
                    <w:rPr>
                      <w:rFonts w:hint="eastAsia"/>
                      <w:color w:val="000000"/>
                      <w:szCs w:val="21"/>
                      <w:u w:val="single"/>
                    </w:rPr>
                    <w:t>；是否在靠近居民一侧厂界种植绿化及加装围墙等降噪措施</w:t>
                  </w:r>
                  <w:r>
                    <w:rPr>
                      <w:bCs/>
                      <w:color w:val="000000"/>
                      <w:szCs w:val="21"/>
                      <w:u w:val="single"/>
                    </w:rPr>
                    <w:t>；</w:t>
                  </w:r>
                </w:p>
                <w:p>
                  <w:pPr>
                    <w:adjustRightInd w:val="0"/>
                    <w:snapToGrid w:val="0"/>
                    <w:spacing w:line="310" w:lineRule="exact"/>
                    <w:jc w:val="center"/>
                    <w:rPr>
                      <w:color w:val="000000"/>
                      <w:szCs w:val="21"/>
                      <w:u w:val="single"/>
                    </w:rPr>
                  </w:pPr>
                  <w:r>
                    <w:rPr>
                      <w:color w:val="000000"/>
                      <w:szCs w:val="21"/>
                      <w:u w:val="single"/>
                    </w:rPr>
                    <w:t>是否设置一般固废暂存间收集</w:t>
                  </w:r>
                  <w:r>
                    <w:rPr>
                      <w:rFonts w:hint="eastAsia"/>
                      <w:color w:val="000000"/>
                      <w:szCs w:val="21"/>
                      <w:u w:val="single"/>
                    </w:rPr>
                    <w:t>；病死蛙是否按环评要求进行合理的处置；</w:t>
                  </w:r>
                </w:p>
                <w:p>
                  <w:pPr>
                    <w:adjustRightInd w:val="0"/>
                    <w:snapToGrid w:val="0"/>
                    <w:spacing w:line="310" w:lineRule="exact"/>
                    <w:jc w:val="center"/>
                    <w:rPr>
                      <w:color w:val="000000"/>
                      <w:szCs w:val="21"/>
                      <w:highlight w:val="yellow"/>
                      <w:u w:val="single"/>
                    </w:rPr>
                  </w:pPr>
                  <w:r>
                    <w:rPr>
                      <w:rFonts w:hint="eastAsia"/>
                      <w:color w:val="FF0000"/>
                      <w:szCs w:val="21"/>
                      <w:u w:val="single"/>
                    </w:rPr>
                    <w:t>在入河排污口处是否设置标识标牌。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85" w:hRule="atLeast"/>
              </w:trPr>
              <w:tc>
                <w:tcPr>
                  <w:tcW w:w="332" w:type="pct"/>
                  <w:tcBorders>
                    <w:tl2br w:val="nil"/>
                    <w:tr2bl w:val="nil"/>
                  </w:tcBorders>
                  <w:vAlign w:val="center"/>
                </w:tcPr>
                <w:p>
                  <w:pPr>
                    <w:adjustRightInd w:val="0"/>
                    <w:snapToGrid w:val="0"/>
                    <w:spacing w:line="310" w:lineRule="exact"/>
                    <w:jc w:val="center"/>
                    <w:rPr>
                      <w:color w:val="000000"/>
                      <w:szCs w:val="21"/>
                      <w:u w:val="single"/>
                    </w:rPr>
                  </w:pPr>
                  <w:r>
                    <w:rPr>
                      <w:color w:val="000000"/>
                      <w:szCs w:val="21"/>
                      <w:u w:val="single"/>
                    </w:rPr>
                    <w:t>6</w:t>
                  </w:r>
                </w:p>
              </w:tc>
              <w:tc>
                <w:tcPr>
                  <w:tcW w:w="1160" w:type="pct"/>
                  <w:tcBorders>
                    <w:tl2br w:val="nil"/>
                    <w:tr2bl w:val="nil"/>
                  </w:tcBorders>
                  <w:vAlign w:val="center"/>
                </w:tcPr>
                <w:p>
                  <w:pPr>
                    <w:adjustRightInd w:val="0"/>
                    <w:snapToGrid w:val="0"/>
                    <w:spacing w:line="310" w:lineRule="exact"/>
                    <w:jc w:val="center"/>
                    <w:rPr>
                      <w:color w:val="000000"/>
                      <w:szCs w:val="21"/>
                      <w:u w:val="single"/>
                    </w:rPr>
                  </w:pPr>
                  <w:r>
                    <w:rPr>
                      <w:color w:val="000000"/>
                      <w:szCs w:val="21"/>
                      <w:u w:val="single"/>
                    </w:rPr>
                    <w:t>环境保护设施正产运转条件</w:t>
                  </w:r>
                </w:p>
              </w:tc>
              <w:tc>
                <w:tcPr>
                  <w:tcW w:w="3507" w:type="pct"/>
                  <w:tcBorders>
                    <w:tl2br w:val="nil"/>
                    <w:tr2bl w:val="nil"/>
                  </w:tcBorders>
                  <w:vAlign w:val="center"/>
                </w:tcPr>
                <w:p>
                  <w:pPr>
                    <w:adjustRightInd w:val="0"/>
                    <w:snapToGrid w:val="0"/>
                    <w:spacing w:line="310" w:lineRule="exact"/>
                    <w:jc w:val="center"/>
                    <w:rPr>
                      <w:color w:val="000000"/>
                      <w:szCs w:val="21"/>
                      <w:highlight w:val="yellow"/>
                      <w:u w:val="single"/>
                    </w:rPr>
                  </w:pPr>
                  <w:r>
                    <w:rPr>
                      <w:rFonts w:hint="eastAsia"/>
                      <w:color w:val="000000"/>
                      <w:szCs w:val="21"/>
                      <w:u w:val="single"/>
                    </w:rPr>
                    <w:t>厂内污水处理设备</w:t>
                  </w:r>
                  <w:r>
                    <w:rPr>
                      <w:color w:val="000000"/>
                      <w:szCs w:val="21"/>
                      <w:u w:val="single"/>
                    </w:rPr>
                    <w:t>是否正常稳定运行。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332" w:type="pct"/>
                  <w:tcBorders>
                    <w:tl2br w:val="nil"/>
                    <w:tr2bl w:val="nil"/>
                  </w:tcBorders>
                  <w:vAlign w:val="center"/>
                </w:tcPr>
                <w:p>
                  <w:pPr>
                    <w:adjustRightInd w:val="0"/>
                    <w:snapToGrid w:val="0"/>
                    <w:spacing w:line="310" w:lineRule="exact"/>
                    <w:jc w:val="center"/>
                    <w:rPr>
                      <w:color w:val="000000"/>
                      <w:szCs w:val="21"/>
                      <w:u w:val="single"/>
                    </w:rPr>
                  </w:pPr>
                  <w:r>
                    <w:rPr>
                      <w:color w:val="000000"/>
                      <w:szCs w:val="21"/>
                      <w:u w:val="single"/>
                    </w:rPr>
                    <w:t>7</w:t>
                  </w:r>
                </w:p>
              </w:tc>
              <w:tc>
                <w:tcPr>
                  <w:tcW w:w="1160" w:type="pct"/>
                  <w:tcBorders>
                    <w:tl2br w:val="nil"/>
                    <w:tr2bl w:val="nil"/>
                  </w:tcBorders>
                  <w:vAlign w:val="center"/>
                </w:tcPr>
                <w:p>
                  <w:pPr>
                    <w:adjustRightInd w:val="0"/>
                    <w:snapToGrid w:val="0"/>
                    <w:spacing w:line="310" w:lineRule="exact"/>
                    <w:jc w:val="center"/>
                    <w:rPr>
                      <w:szCs w:val="21"/>
                      <w:u w:val="single"/>
                    </w:rPr>
                  </w:pPr>
                  <w:r>
                    <w:rPr>
                      <w:szCs w:val="21"/>
                      <w:u w:val="single"/>
                    </w:rPr>
                    <w:t>污染物排放达标情况</w:t>
                  </w:r>
                </w:p>
              </w:tc>
              <w:tc>
                <w:tcPr>
                  <w:tcW w:w="3507" w:type="pct"/>
                  <w:tcBorders>
                    <w:tl2br w:val="nil"/>
                    <w:tr2bl w:val="nil"/>
                  </w:tcBorders>
                  <w:vAlign w:val="center"/>
                </w:tcPr>
                <w:p>
                  <w:pPr>
                    <w:adjustRightInd w:val="0"/>
                    <w:snapToGrid w:val="0"/>
                    <w:spacing w:line="310" w:lineRule="exact"/>
                    <w:jc w:val="center"/>
                    <w:rPr>
                      <w:szCs w:val="21"/>
                      <w:u w:val="single"/>
                    </w:rPr>
                  </w:pPr>
                  <w:r>
                    <w:rPr>
                      <w:szCs w:val="21"/>
                      <w:u w:val="single"/>
                    </w:rPr>
                    <w:t>生活污水是否经三格化粪池处理达《农田灌溉水质标准》（GB5084-2021）旱作类标准后用于周边农田施肥，不外排；养殖废水是否经污水处理设备处理达到《水产养殖尾水污染物排放标准》（DB43/1752-2020）表1中的一级标准、《淡水池塘养殖水排放要求》（SC/T9101-2007）表1中的二级标准后外排至日东河</w:t>
                  </w:r>
                  <w:r>
                    <w:rPr>
                      <w:rFonts w:hint="eastAsia"/>
                      <w:szCs w:val="21"/>
                      <w:u w:val="single"/>
                    </w:rPr>
                    <w:t>；</w:t>
                  </w:r>
                </w:p>
                <w:p>
                  <w:pPr>
                    <w:adjustRightInd w:val="0"/>
                    <w:snapToGrid w:val="0"/>
                    <w:spacing w:line="310" w:lineRule="exact"/>
                    <w:jc w:val="center"/>
                    <w:rPr>
                      <w:szCs w:val="21"/>
                      <w:u w:val="single"/>
                    </w:rPr>
                  </w:pPr>
                  <w:r>
                    <w:rPr>
                      <w:szCs w:val="21"/>
                      <w:u w:val="single"/>
                    </w:rPr>
                    <w:t>恶臭污染物是否满足《恶臭污染物排放标准》（GB14554-93）恶臭污染物厂界标准值</w:t>
                  </w:r>
                  <w:r>
                    <w:rPr>
                      <w:rFonts w:hint="eastAsia"/>
                      <w:szCs w:val="21"/>
                      <w:u w:val="single"/>
                    </w:rPr>
                    <w:t>；</w:t>
                  </w:r>
                </w:p>
                <w:p>
                  <w:pPr>
                    <w:adjustRightInd w:val="0"/>
                    <w:snapToGrid w:val="0"/>
                    <w:spacing w:line="310" w:lineRule="exact"/>
                    <w:jc w:val="center"/>
                    <w:rPr>
                      <w:szCs w:val="21"/>
                      <w:u w:val="single"/>
                    </w:rPr>
                  </w:pPr>
                  <w:r>
                    <w:rPr>
                      <w:szCs w:val="21"/>
                      <w:u w:val="single"/>
                    </w:rPr>
                    <w:t>项目厂界是否满足《工业企业厂界环境噪声排放标准》（GB12348-2008）2类标准；</w:t>
                  </w:r>
                </w:p>
                <w:p>
                  <w:pPr>
                    <w:adjustRightInd w:val="0"/>
                    <w:snapToGrid w:val="0"/>
                    <w:spacing w:line="310" w:lineRule="exact"/>
                    <w:jc w:val="center"/>
                    <w:rPr>
                      <w:szCs w:val="21"/>
                      <w:u w:val="single"/>
                    </w:rPr>
                  </w:pPr>
                  <w:r>
                    <w:rPr>
                      <w:szCs w:val="21"/>
                      <w:u w:val="single"/>
                    </w:rPr>
                    <w:t>一般固废是否设置一般固废暂存间收集</w:t>
                  </w:r>
                  <w:r>
                    <w:rPr>
                      <w:rFonts w:hint="eastAsia"/>
                      <w:szCs w:val="21"/>
                      <w:u w:val="single"/>
                    </w:rPr>
                    <w:t>，病死蛙是否按环评要求进行合理的处置</w:t>
                  </w:r>
                  <w:r>
                    <w:rPr>
                      <w:szCs w:val="21"/>
                      <w:u w:val="single"/>
                    </w:rPr>
                    <w:t>。</w:t>
                  </w:r>
                </w:p>
              </w:tc>
            </w:tr>
          </w:tbl>
          <w:p>
            <w:pPr>
              <w:keepNext/>
              <w:keepLines/>
              <w:snapToGrid w:val="0"/>
              <w:spacing w:line="360" w:lineRule="auto"/>
              <w:ind w:firstLine="482" w:firstLineChars="200"/>
              <w:outlineLvl w:val="1"/>
              <w:rPr>
                <w:b/>
                <w:bCs/>
                <w:color w:val="FF0000"/>
                <w:sz w:val="24"/>
              </w:rPr>
            </w:pPr>
            <w:r>
              <w:rPr>
                <w:rFonts w:hint="eastAsia"/>
                <w:b/>
                <w:bCs/>
                <w:color w:val="FF0000"/>
                <w:sz w:val="24"/>
              </w:rPr>
              <w:t>7、</w:t>
            </w:r>
            <w:r>
              <w:rPr>
                <w:b/>
                <w:bCs/>
                <w:color w:val="FF0000"/>
                <w:sz w:val="24"/>
              </w:rPr>
              <w:t>对排污口规范化的要求</w:t>
            </w:r>
          </w:p>
          <w:p>
            <w:pPr>
              <w:snapToGrid w:val="0"/>
              <w:spacing w:line="360" w:lineRule="auto"/>
              <w:ind w:firstLine="480" w:firstLineChars="200"/>
              <w:rPr>
                <w:color w:val="FF0000"/>
                <w:sz w:val="24"/>
              </w:rPr>
            </w:pPr>
            <w:r>
              <w:rPr>
                <w:color w:val="FF0000"/>
                <w:sz w:val="24"/>
              </w:rPr>
              <w:t>根据《关于开展排放口规范化整治工作的通知》国家环境保护总局环发【1999】24号文件的要求，一切新建、改建的排污单位以及限期治理的排污单位，必须在建设污染治理设施的同时，建设规范化排污口。因此，建设单位在投产时，各类排污口必须规范化建设和管理，而且规范化工作应于污染治理同步实施，即治理设施完工时，规范化工作必须同时完成，并列入污染物治理设施的验收内容。</w:t>
            </w:r>
          </w:p>
          <w:p>
            <w:pPr>
              <w:snapToGrid w:val="0"/>
              <w:spacing w:line="360" w:lineRule="auto"/>
              <w:ind w:firstLine="480" w:firstLineChars="200"/>
              <w:rPr>
                <w:snapToGrid w:val="0"/>
                <w:color w:val="FF0000"/>
                <w:sz w:val="24"/>
              </w:rPr>
            </w:pPr>
            <w:r>
              <w:rPr>
                <w:snapToGrid w:val="0"/>
                <w:color w:val="FF0000"/>
                <w:sz w:val="24"/>
              </w:rPr>
              <w:t>拟建项目应在气、声、固排污口（源）挂牌标识。规范化整治具体如下：</w:t>
            </w:r>
          </w:p>
          <w:p>
            <w:pPr>
              <w:snapToGrid w:val="0"/>
              <w:spacing w:line="360" w:lineRule="auto"/>
              <w:ind w:firstLine="480" w:firstLineChars="200"/>
              <w:rPr>
                <w:rFonts w:ascii="宋体" w:hAnsi="宋体"/>
                <w:snapToGrid w:val="0"/>
                <w:color w:val="FF0000"/>
                <w:sz w:val="24"/>
              </w:rPr>
            </w:pPr>
            <w:r>
              <w:rPr>
                <w:rFonts w:ascii="宋体" w:hAnsi="宋体"/>
                <w:snapToGrid w:val="0"/>
                <w:color w:val="FF0000"/>
                <w:sz w:val="24"/>
              </w:rPr>
              <w:fldChar w:fldCharType="begin"/>
            </w:r>
            <w:r>
              <w:rPr>
                <w:rFonts w:ascii="宋体" w:hAnsi="宋体"/>
                <w:snapToGrid w:val="0"/>
                <w:color w:val="FF0000"/>
                <w:sz w:val="24"/>
              </w:rPr>
              <w:instrText xml:space="preserve"> = 1 \* GB3 \* MERGEFORMAT </w:instrText>
            </w:r>
            <w:r>
              <w:rPr>
                <w:rFonts w:ascii="宋体" w:hAnsi="宋体"/>
                <w:snapToGrid w:val="0"/>
                <w:color w:val="FF0000"/>
                <w:sz w:val="24"/>
              </w:rPr>
              <w:fldChar w:fldCharType="separate"/>
            </w:r>
            <w:r>
              <w:rPr>
                <w:rFonts w:ascii="宋体" w:hAnsi="宋体"/>
                <w:snapToGrid w:val="0"/>
                <w:color w:val="FF0000"/>
                <w:sz w:val="24"/>
              </w:rPr>
              <w:t>①</w:t>
            </w:r>
            <w:r>
              <w:rPr>
                <w:rFonts w:ascii="宋体" w:hAnsi="宋体"/>
                <w:snapToGrid w:val="0"/>
                <w:color w:val="FF0000"/>
                <w:sz w:val="24"/>
              </w:rPr>
              <w:fldChar w:fldCharType="end"/>
            </w:r>
            <w:r>
              <w:rPr>
                <w:rFonts w:ascii="宋体" w:hAnsi="宋体"/>
                <w:snapToGrid w:val="0"/>
                <w:color w:val="FF0000"/>
                <w:sz w:val="24"/>
              </w:rPr>
              <w:t>项目建成后，废气排气筒附近醒目处均应树立一个环保图形标志牌。</w:t>
            </w:r>
          </w:p>
          <w:p>
            <w:pPr>
              <w:snapToGrid w:val="0"/>
              <w:spacing w:line="360" w:lineRule="auto"/>
              <w:ind w:firstLine="480" w:firstLineChars="200"/>
              <w:rPr>
                <w:color w:val="FF0000"/>
                <w:sz w:val="24"/>
              </w:rPr>
            </w:pPr>
            <w:r>
              <w:rPr>
                <w:color w:val="FF0000"/>
                <w:sz w:val="24"/>
              </w:rPr>
              <w:fldChar w:fldCharType="begin"/>
            </w:r>
            <w:r>
              <w:rPr>
                <w:color w:val="FF0000"/>
                <w:sz w:val="24"/>
              </w:rPr>
              <w:instrText xml:space="preserve"> = 2 \* GB3 \* MERGEFORMAT </w:instrText>
            </w:r>
            <w:r>
              <w:rPr>
                <w:color w:val="FF0000"/>
                <w:sz w:val="24"/>
              </w:rPr>
              <w:fldChar w:fldCharType="separate"/>
            </w:r>
            <w:r>
              <w:rPr>
                <w:color w:val="FF0000"/>
                <w:sz w:val="24"/>
              </w:rPr>
              <w:t>②</w:t>
            </w:r>
            <w:r>
              <w:rPr>
                <w:color w:val="FF0000"/>
                <w:sz w:val="24"/>
              </w:rPr>
              <w:fldChar w:fldCharType="end"/>
            </w:r>
            <w:r>
              <w:rPr>
                <w:color w:val="FF0000"/>
                <w:sz w:val="24"/>
              </w:rPr>
              <w:t>项目建成后，废渣处置前应当有防扬散、防流失等措施，贮存处进出口醒目处应设置环保图形标志牌。</w:t>
            </w:r>
          </w:p>
          <w:p>
            <w:pPr>
              <w:snapToGrid w:val="0"/>
              <w:spacing w:line="360" w:lineRule="auto"/>
              <w:ind w:firstLine="480" w:firstLineChars="200"/>
              <w:rPr>
                <w:color w:val="FF0000"/>
                <w:sz w:val="24"/>
              </w:rPr>
            </w:pPr>
            <w:r>
              <w:rPr>
                <w:color w:val="FF0000"/>
                <w:sz w:val="24"/>
              </w:rPr>
              <w:fldChar w:fldCharType="begin"/>
            </w:r>
            <w:r>
              <w:rPr>
                <w:color w:val="FF0000"/>
                <w:sz w:val="24"/>
              </w:rPr>
              <w:instrText xml:space="preserve"> = 3 \* GB3 \* MERGEFORMAT </w:instrText>
            </w:r>
            <w:r>
              <w:rPr>
                <w:color w:val="FF0000"/>
                <w:sz w:val="24"/>
              </w:rPr>
              <w:fldChar w:fldCharType="separate"/>
            </w:r>
            <w:r>
              <w:rPr>
                <w:color w:val="FF0000"/>
                <w:sz w:val="24"/>
              </w:rPr>
              <w:t>③</w:t>
            </w:r>
            <w:r>
              <w:rPr>
                <w:color w:val="FF0000"/>
                <w:sz w:val="24"/>
              </w:rPr>
              <w:fldChar w:fldCharType="end"/>
            </w:r>
            <w:r>
              <w:rPr>
                <w:color w:val="FF0000"/>
                <w:sz w:val="24"/>
              </w:rPr>
              <w:t>项目建成后，在噪声较大的车间外或噪声源较大的地方醒目处应设置环保图形标志牌。</w:t>
            </w:r>
          </w:p>
          <w:p>
            <w:pPr>
              <w:snapToGrid w:val="0"/>
              <w:spacing w:line="360" w:lineRule="auto"/>
              <w:ind w:firstLine="480" w:firstLineChars="200"/>
              <w:rPr>
                <w:color w:val="FF0000"/>
                <w:sz w:val="24"/>
                <w:szCs w:val="22"/>
              </w:rPr>
            </w:pPr>
            <w:r>
              <w:rPr>
                <w:color w:val="FF0000"/>
                <w:sz w:val="24"/>
              </w:rPr>
              <w:t>标志牌的设置应按《环境保护图形标志</w:t>
            </w:r>
            <w:r>
              <w:rPr>
                <w:rFonts w:hint="eastAsia"/>
                <w:color w:val="FF0000"/>
                <w:sz w:val="24"/>
              </w:rPr>
              <w:t>-</w:t>
            </w:r>
            <w:r>
              <w:rPr>
                <w:color w:val="FF0000"/>
                <w:sz w:val="24"/>
              </w:rPr>
              <w:t>排放口（源）》（GB15562.1-1995、GB15562.2-1995）的规定执行。标志牌必须保持清晰、完整，当发现有损坏或颜色有变化，应及时修复或更换。检查时间一年两次。具体见表</w:t>
            </w:r>
            <w:r>
              <w:rPr>
                <w:rFonts w:hint="eastAsia"/>
                <w:color w:val="FF0000"/>
                <w:sz w:val="24"/>
              </w:rPr>
              <w:t>5-7</w:t>
            </w:r>
            <w:r>
              <w:rPr>
                <w:color w:val="FF0000"/>
                <w:sz w:val="24"/>
              </w:rPr>
              <w:t>和</w:t>
            </w:r>
            <w:r>
              <w:rPr>
                <w:rFonts w:hint="eastAsia"/>
                <w:color w:val="FF0000"/>
                <w:sz w:val="24"/>
              </w:rPr>
              <w:t>5-8</w:t>
            </w:r>
            <w:r>
              <w:rPr>
                <w:color w:val="FF0000"/>
                <w:sz w:val="24"/>
              </w:rPr>
              <w:t>。</w:t>
            </w:r>
          </w:p>
          <w:p>
            <w:pPr>
              <w:adjustRightInd w:val="0"/>
              <w:snapToGrid w:val="0"/>
              <w:jc w:val="center"/>
              <w:rPr>
                <w:b/>
                <w:bCs/>
                <w:color w:val="FF0000"/>
                <w:szCs w:val="21"/>
              </w:rPr>
            </w:pPr>
            <w:r>
              <w:rPr>
                <w:b/>
                <w:bCs/>
                <w:color w:val="FF0000"/>
                <w:szCs w:val="21"/>
              </w:rPr>
              <w:t>表</w:t>
            </w:r>
            <w:r>
              <w:rPr>
                <w:rFonts w:hint="eastAsia"/>
                <w:b/>
                <w:bCs/>
                <w:color w:val="FF0000"/>
                <w:szCs w:val="21"/>
              </w:rPr>
              <w:t>5-7</w:t>
            </w:r>
            <w:r>
              <w:rPr>
                <w:b/>
                <w:bCs/>
                <w:color w:val="FF0000"/>
                <w:szCs w:val="21"/>
              </w:rPr>
              <w:t xml:space="preserve"> 环境保护图形标志的形状及颜色表</w:t>
            </w:r>
          </w:p>
          <w:tbl>
            <w:tblPr>
              <w:tblStyle w:val="2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04"/>
              <w:gridCol w:w="2004"/>
              <w:gridCol w:w="2002"/>
              <w:gridCol w:w="20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Header/>
                <w:jc w:val="center"/>
              </w:trPr>
              <w:tc>
                <w:tcPr>
                  <w:tcW w:w="1249" w:type="pct"/>
                  <w:tcBorders>
                    <w:tl2br w:val="nil"/>
                    <w:tr2bl w:val="nil"/>
                  </w:tcBorders>
                  <w:vAlign w:val="center"/>
                </w:tcPr>
                <w:p>
                  <w:pPr>
                    <w:adjustRightInd w:val="0"/>
                    <w:snapToGrid w:val="0"/>
                    <w:jc w:val="center"/>
                    <w:rPr>
                      <w:color w:val="FF0000"/>
                      <w:szCs w:val="21"/>
                    </w:rPr>
                  </w:pPr>
                  <w:r>
                    <w:rPr>
                      <w:color w:val="FF0000"/>
                      <w:szCs w:val="21"/>
                    </w:rPr>
                    <w:t>标准名称</w:t>
                  </w:r>
                </w:p>
              </w:tc>
              <w:tc>
                <w:tcPr>
                  <w:tcW w:w="1249" w:type="pct"/>
                  <w:tcBorders>
                    <w:tl2br w:val="nil"/>
                    <w:tr2bl w:val="nil"/>
                  </w:tcBorders>
                  <w:vAlign w:val="center"/>
                </w:tcPr>
                <w:p>
                  <w:pPr>
                    <w:adjustRightInd w:val="0"/>
                    <w:snapToGrid w:val="0"/>
                    <w:jc w:val="center"/>
                    <w:rPr>
                      <w:color w:val="FF0000"/>
                      <w:szCs w:val="21"/>
                    </w:rPr>
                  </w:pPr>
                  <w:r>
                    <w:rPr>
                      <w:color w:val="FF0000"/>
                      <w:szCs w:val="21"/>
                    </w:rPr>
                    <w:t>形状</w:t>
                  </w:r>
                </w:p>
              </w:tc>
              <w:tc>
                <w:tcPr>
                  <w:tcW w:w="1248" w:type="pct"/>
                  <w:tcBorders>
                    <w:tl2br w:val="nil"/>
                    <w:tr2bl w:val="nil"/>
                  </w:tcBorders>
                  <w:vAlign w:val="center"/>
                </w:tcPr>
                <w:p>
                  <w:pPr>
                    <w:adjustRightInd w:val="0"/>
                    <w:snapToGrid w:val="0"/>
                    <w:jc w:val="center"/>
                    <w:rPr>
                      <w:color w:val="FF0000"/>
                      <w:szCs w:val="21"/>
                    </w:rPr>
                  </w:pPr>
                  <w:r>
                    <w:rPr>
                      <w:color w:val="FF0000"/>
                      <w:szCs w:val="21"/>
                    </w:rPr>
                    <w:t>背景颜色</w:t>
                  </w:r>
                </w:p>
              </w:tc>
              <w:tc>
                <w:tcPr>
                  <w:tcW w:w="1251" w:type="pct"/>
                  <w:tcBorders>
                    <w:tl2br w:val="nil"/>
                    <w:tr2bl w:val="nil"/>
                  </w:tcBorders>
                  <w:vAlign w:val="center"/>
                </w:tcPr>
                <w:p>
                  <w:pPr>
                    <w:adjustRightInd w:val="0"/>
                    <w:snapToGrid w:val="0"/>
                    <w:jc w:val="center"/>
                    <w:rPr>
                      <w:color w:val="FF0000"/>
                      <w:szCs w:val="21"/>
                    </w:rPr>
                  </w:pPr>
                  <w:r>
                    <w:rPr>
                      <w:color w:val="FF0000"/>
                      <w:szCs w:val="21"/>
                    </w:rPr>
                    <w:t>图形颜色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Header/>
                <w:jc w:val="center"/>
              </w:trPr>
              <w:tc>
                <w:tcPr>
                  <w:tcW w:w="1249" w:type="pct"/>
                  <w:tcBorders>
                    <w:tl2br w:val="nil"/>
                    <w:tr2bl w:val="nil"/>
                  </w:tcBorders>
                  <w:vAlign w:val="center"/>
                </w:tcPr>
                <w:p>
                  <w:pPr>
                    <w:adjustRightInd w:val="0"/>
                    <w:snapToGrid w:val="0"/>
                    <w:jc w:val="center"/>
                    <w:rPr>
                      <w:color w:val="FF0000"/>
                      <w:szCs w:val="21"/>
                    </w:rPr>
                  </w:pPr>
                  <w:r>
                    <w:rPr>
                      <w:color w:val="FF0000"/>
                      <w:szCs w:val="21"/>
                    </w:rPr>
                    <w:t>警告标志</w:t>
                  </w:r>
                </w:p>
              </w:tc>
              <w:tc>
                <w:tcPr>
                  <w:tcW w:w="1249" w:type="pct"/>
                  <w:tcBorders>
                    <w:tl2br w:val="nil"/>
                    <w:tr2bl w:val="nil"/>
                  </w:tcBorders>
                  <w:vAlign w:val="center"/>
                </w:tcPr>
                <w:p>
                  <w:pPr>
                    <w:adjustRightInd w:val="0"/>
                    <w:snapToGrid w:val="0"/>
                    <w:jc w:val="center"/>
                    <w:rPr>
                      <w:color w:val="FF0000"/>
                      <w:szCs w:val="21"/>
                    </w:rPr>
                  </w:pPr>
                  <w:r>
                    <w:rPr>
                      <w:color w:val="FF0000"/>
                      <w:szCs w:val="21"/>
                    </w:rPr>
                    <w:t>三角形边框</w:t>
                  </w:r>
                </w:p>
              </w:tc>
              <w:tc>
                <w:tcPr>
                  <w:tcW w:w="1248" w:type="pct"/>
                  <w:tcBorders>
                    <w:tl2br w:val="nil"/>
                    <w:tr2bl w:val="nil"/>
                  </w:tcBorders>
                  <w:vAlign w:val="center"/>
                </w:tcPr>
                <w:p>
                  <w:pPr>
                    <w:adjustRightInd w:val="0"/>
                    <w:snapToGrid w:val="0"/>
                    <w:jc w:val="center"/>
                    <w:rPr>
                      <w:color w:val="FF0000"/>
                      <w:szCs w:val="21"/>
                    </w:rPr>
                  </w:pPr>
                  <w:r>
                    <w:rPr>
                      <w:color w:val="FF0000"/>
                      <w:szCs w:val="21"/>
                    </w:rPr>
                    <w:t>黄色</w:t>
                  </w:r>
                </w:p>
              </w:tc>
              <w:tc>
                <w:tcPr>
                  <w:tcW w:w="1251" w:type="pct"/>
                  <w:tcBorders>
                    <w:tl2br w:val="nil"/>
                    <w:tr2bl w:val="nil"/>
                  </w:tcBorders>
                  <w:vAlign w:val="center"/>
                </w:tcPr>
                <w:p>
                  <w:pPr>
                    <w:adjustRightInd w:val="0"/>
                    <w:snapToGrid w:val="0"/>
                    <w:jc w:val="center"/>
                    <w:rPr>
                      <w:color w:val="FF0000"/>
                      <w:szCs w:val="21"/>
                    </w:rPr>
                  </w:pPr>
                  <w:r>
                    <w:rPr>
                      <w:color w:val="FF0000"/>
                      <w:szCs w:val="21"/>
                    </w:rPr>
                    <w:t>黑色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Header/>
                <w:jc w:val="center"/>
              </w:trPr>
              <w:tc>
                <w:tcPr>
                  <w:tcW w:w="1249" w:type="pct"/>
                  <w:tcBorders>
                    <w:tl2br w:val="nil"/>
                    <w:tr2bl w:val="nil"/>
                  </w:tcBorders>
                  <w:vAlign w:val="center"/>
                </w:tcPr>
                <w:p>
                  <w:pPr>
                    <w:adjustRightInd w:val="0"/>
                    <w:snapToGrid w:val="0"/>
                    <w:jc w:val="center"/>
                    <w:rPr>
                      <w:color w:val="FF0000"/>
                      <w:szCs w:val="21"/>
                    </w:rPr>
                  </w:pPr>
                  <w:r>
                    <w:rPr>
                      <w:color w:val="FF0000"/>
                      <w:szCs w:val="21"/>
                    </w:rPr>
                    <w:t>提示标志</w:t>
                  </w:r>
                </w:p>
              </w:tc>
              <w:tc>
                <w:tcPr>
                  <w:tcW w:w="1249" w:type="pct"/>
                  <w:tcBorders>
                    <w:tl2br w:val="nil"/>
                    <w:tr2bl w:val="nil"/>
                  </w:tcBorders>
                  <w:vAlign w:val="center"/>
                </w:tcPr>
                <w:p>
                  <w:pPr>
                    <w:adjustRightInd w:val="0"/>
                    <w:snapToGrid w:val="0"/>
                    <w:jc w:val="center"/>
                    <w:rPr>
                      <w:color w:val="FF0000"/>
                      <w:szCs w:val="21"/>
                    </w:rPr>
                  </w:pPr>
                  <w:r>
                    <w:rPr>
                      <w:color w:val="FF0000"/>
                      <w:szCs w:val="21"/>
                    </w:rPr>
                    <w:t>正方形边框</w:t>
                  </w:r>
                </w:p>
              </w:tc>
              <w:tc>
                <w:tcPr>
                  <w:tcW w:w="1248" w:type="pct"/>
                  <w:tcBorders>
                    <w:tl2br w:val="nil"/>
                    <w:tr2bl w:val="nil"/>
                  </w:tcBorders>
                  <w:vAlign w:val="center"/>
                </w:tcPr>
                <w:p>
                  <w:pPr>
                    <w:adjustRightInd w:val="0"/>
                    <w:snapToGrid w:val="0"/>
                    <w:jc w:val="center"/>
                    <w:rPr>
                      <w:color w:val="FF0000"/>
                      <w:szCs w:val="21"/>
                    </w:rPr>
                  </w:pPr>
                  <w:r>
                    <w:rPr>
                      <w:color w:val="FF0000"/>
                      <w:szCs w:val="21"/>
                    </w:rPr>
                    <w:t>绿色</w:t>
                  </w:r>
                </w:p>
              </w:tc>
              <w:tc>
                <w:tcPr>
                  <w:tcW w:w="1251" w:type="pct"/>
                  <w:tcBorders>
                    <w:tl2br w:val="nil"/>
                    <w:tr2bl w:val="nil"/>
                  </w:tcBorders>
                  <w:vAlign w:val="center"/>
                </w:tcPr>
                <w:p>
                  <w:pPr>
                    <w:adjustRightInd w:val="0"/>
                    <w:snapToGrid w:val="0"/>
                    <w:jc w:val="center"/>
                    <w:rPr>
                      <w:color w:val="FF0000"/>
                      <w:szCs w:val="21"/>
                    </w:rPr>
                  </w:pPr>
                  <w:r>
                    <w:rPr>
                      <w:color w:val="FF0000"/>
                      <w:szCs w:val="21"/>
                    </w:rPr>
                    <w:t>白色</w:t>
                  </w:r>
                </w:p>
              </w:tc>
            </w:tr>
          </w:tbl>
          <w:p>
            <w:pPr>
              <w:adjustRightInd w:val="0"/>
              <w:snapToGrid w:val="0"/>
              <w:jc w:val="center"/>
              <w:rPr>
                <w:b/>
                <w:bCs/>
                <w:color w:val="FF0000"/>
                <w:szCs w:val="21"/>
              </w:rPr>
            </w:pPr>
          </w:p>
          <w:p>
            <w:pPr>
              <w:adjustRightInd w:val="0"/>
              <w:snapToGrid w:val="0"/>
              <w:jc w:val="center"/>
              <w:rPr>
                <w:b/>
                <w:bCs/>
                <w:color w:val="FF0000"/>
                <w:szCs w:val="21"/>
              </w:rPr>
            </w:pPr>
          </w:p>
          <w:p>
            <w:pPr>
              <w:adjustRightInd w:val="0"/>
              <w:snapToGrid w:val="0"/>
              <w:jc w:val="center"/>
              <w:rPr>
                <w:b/>
                <w:bCs/>
                <w:color w:val="FF0000"/>
                <w:szCs w:val="21"/>
              </w:rPr>
            </w:pPr>
          </w:p>
          <w:p>
            <w:pPr>
              <w:adjustRightInd w:val="0"/>
              <w:snapToGrid w:val="0"/>
              <w:jc w:val="center"/>
              <w:rPr>
                <w:b/>
                <w:bCs/>
                <w:color w:val="FF0000"/>
                <w:szCs w:val="21"/>
              </w:rPr>
            </w:pPr>
          </w:p>
          <w:p>
            <w:pPr>
              <w:adjustRightInd w:val="0"/>
              <w:snapToGrid w:val="0"/>
              <w:jc w:val="center"/>
              <w:rPr>
                <w:bCs/>
                <w:color w:val="FF0000"/>
                <w:szCs w:val="21"/>
              </w:rPr>
            </w:pPr>
            <w:r>
              <w:rPr>
                <w:b/>
                <w:bCs/>
                <w:color w:val="FF0000"/>
                <w:szCs w:val="21"/>
              </w:rPr>
              <w:t>表</w:t>
            </w:r>
            <w:r>
              <w:rPr>
                <w:rFonts w:hint="eastAsia"/>
                <w:b/>
                <w:bCs/>
                <w:color w:val="FF0000"/>
                <w:szCs w:val="21"/>
              </w:rPr>
              <w:t>5-8</w:t>
            </w:r>
            <w:r>
              <w:rPr>
                <w:b/>
                <w:bCs/>
                <w:color w:val="FF0000"/>
                <w:szCs w:val="21"/>
              </w:rPr>
              <w:t xml:space="preserve"> 环境保护图形符号一览表</w:t>
            </w:r>
          </w:p>
          <w:tbl>
            <w:tblPr>
              <w:tblStyle w:val="2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2"/>
              <w:gridCol w:w="1807"/>
              <w:gridCol w:w="1807"/>
              <w:gridCol w:w="1725"/>
              <w:gridCol w:w="17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87" w:type="pct"/>
                  <w:tcBorders>
                    <w:tl2br w:val="nil"/>
                    <w:tr2bl w:val="nil"/>
                  </w:tcBorders>
                  <w:vAlign w:val="center"/>
                </w:tcPr>
                <w:p>
                  <w:pPr>
                    <w:adjustRightInd w:val="0"/>
                    <w:snapToGrid w:val="0"/>
                    <w:jc w:val="center"/>
                    <w:rPr>
                      <w:color w:val="FF0000"/>
                      <w:szCs w:val="21"/>
                    </w:rPr>
                  </w:pPr>
                  <w:r>
                    <w:rPr>
                      <w:color w:val="FF0000"/>
                      <w:szCs w:val="21"/>
                    </w:rPr>
                    <w:t>序号</w:t>
                  </w:r>
                </w:p>
              </w:tc>
              <w:tc>
                <w:tcPr>
                  <w:tcW w:w="1126" w:type="pct"/>
                  <w:tcBorders>
                    <w:tl2br w:val="nil"/>
                    <w:tr2bl w:val="nil"/>
                  </w:tcBorders>
                  <w:vAlign w:val="center"/>
                </w:tcPr>
                <w:p>
                  <w:pPr>
                    <w:adjustRightInd w:val="0"/>
                    <w:snapToGrid w:val="0"/>
                    <w:jc w:val="center"/>
                    <w:rPr>
                      <w:color w:val="FF0000"/>
                      <w:szCs w:val="21"/>
                    </w:rPr>
                  </w:pPr>
                  <w:r>
                    <w:rPr>
                      <w:color w:val="FF0000"/>
                      <w:szCs w:val="21"/>
                    </w:rPr>
                    <w:t>提示图形符号</w:t>
                  </w:r>
                </w:p>
              </w:tc>
              <w:tc>
                <w:tcPr>
                  <w:tcW w:w="1126" w:type="pct"/>
                  <w:tcBorders>
                    <w:tl2br w:val="nil"/>
                    <w:tr2bl w:val="nil"/>
                  </w:tcBorders>
                  <w:vAlign w:val="center"/>
                </w:tcPr>
                <w:p>
                  <w:pPr>
                    <w:adjustRightInd w:val="0"/>
                    <w:snapToGrid w:val="0"/>
                    <w:jc w:val="center"/>
                    <w:rPr>
                      <w:color w:val="FF0000"/>
                      <w:szCs w:val="21"/>
                    </w:rPr>
                  </w:pPr>
                  <w:r>
                    <w:rPr>
                      <w:color w:val="FF0000"/>
                      <w:szCs w:val="21"/>
                    </w:rPr>
                    <w:t>警告图形符号</w:t>
                  </w:r>
                </w:p>
              </w:tc>
              <w:tc>
                <w:tcPr>
                  <w:tcW w:w="1075" w:type="pct"/>
                  <w:tcBorders>
                    <w:tl2br w:val="nil"/>
                    <w:tr2bl w:val="nil"/>
                  </w:tcBorders>
                  <w:vAlign w:val="center"/>
                </w:tcPr>
                <w:p>
                  <w:pPr>
                    <w:adjustRightInd w:val="0"/>
                    <w:snapToGrid w:val="0"/>
                    <w:jc w:val="center"/>
                    <w:rPr>
                      <w:color w:val="FF0000"/>
                      <w:szCs w:val="21"/>
                    </w:rPr>
                  </w:pPr>
                  <w:r>
                    <w:rPr>
                      <w:color w:val="FF0000"/>
                      <w:szCs w:val="21"/>
                    </w:rPr>
                    <w:t>名称</w:t>
                  </w:r>
                </w:p>
              </w:tc>
              <w:tc>
                <w:tcPr>
                  <w:tcW w:w="1082" w:type="pct"/>
                  <w:tcBorders>
                    <w:tl2br w:val="nil"/>
                    <w:tr2bl w:val="nil"/>
                  </w:tcBorders>
                  <w:vAlign w:val="center"/>
                </w:tcPr>
                <w:p>
                  <w:pPr>
                    <w:adjustRightInd w:val="0"/>
                    <w:snapToGrid w:val="0"/>
                    <w:jc w:val="center"/>
                    <w:rPr>
                      <w:color w:val="FF0000"/>
                      <w:szCs w:val="21"/>
                    </w:rPr>
                  </w:pPr>
                  <w:r>
                    <w:rPr>
                      <w:color w:val="FF0000"/>
                      <w:szCs w:val="21"/>
                    </w:rPr>
                    <w:t>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87" w:type="pct"/>
                  <w:tcBorders>
                    <w:tl2br w:val="nil"/>
                    <w:tr2bl w:val="nil"/>
                  </w:tcBorders>
                  <w:vAlign w:val="center"/>
                </w:tcPr>
                <w:p>
                  <w:pPr>
                    <w:adjustRightInd w:val="0"/>
                    <w:snapToGrid w:val="0"/>
                    <w:jc w:val="center"/>
                    <w:rPr>
                      <w:color w:val="FF0000"/>
                      <w:szCs w:val="21"/>
                    </w:rPr>
                  </w:pPr>
                  <w:r>
                    <w:rPr>
                      <w:rFonts w:hint="eastAsia"/>
                      <w:color w:val="FF0000"/>
                      <w:szCs w:val="21"/>
                    </w:rPr>
                    <w:t>1</w:t>
                  </w:r>
                </w:p>
              </w:tc>
              <w:tc>
                <w:tcPr>
                  <w:tcW w:w="1126" w:type="pct"/>
                  <w:tcBorders>
                    <w:tl2br w:val="nil"/>
                    <w:tr2bl w:val="nil"/>
                  </w:tcBorders>
                  <w:vAlign w:val="center"/>
                </w:tcPr>
                <w:p>
                  <w:pPr>
                    <w:adjustRightInd w:val="0"/>
                    <w:snapToGrid w:val="0"/>
                    <w:jc w:val="center"/>
                    <w:rPr>
                      <w:color w:val="FF0000"/>
                      <w:szCs w:val="21"/>
                    </w:rPr>
                  </w:pPr>
                  <w:r>
                    <w:rPr>
                      <w:color w:val="FF0000"/>
                      <w:szCs w:val="21"/>
                    </w:rPr>
                    <w:drawing>
                      <wp:inline distT="0" distB="0" distL="0" distR="0">
                        <wp:extent cx="807085" cy="663575"/>
                        <wp:effectExtent l="0" t="0" r="12065" b="3175"/>
                        <wp:docPr id="15" name="图片 91"/>
                        <wp:cNvGraphicFramePr/>
                        <a:graphic xmlns:a="http://schemas.openxmlformats.org/drawingml/2006/main">
                          <a:graphicData uri="http://schemas.openxmlformats.org/drawingml/2006/picture">
                            <pic:pic xmlns:pic="http://schemas.openxmlformats.org/drawingml/2006/picture">
                              <pic:nvPicPr>
                                <pic:cNvPr id="15" name="图片 91"/>
                                <pic:cNvPicPr/>
                              </pic:nvPicPr>
                              <pic:blipFill>
                                <a:blip r:embed="rId25">
                                  <a:extLst>
                                    <a:ext uri="{28A0092B-C50C-407E-A947-70E740481C1C}">
                                      <a14:useLocalDpi xmlns:a14="http://schemas.microsoft.com/office/drawing/2010/main" val="0"/>
                                    </a:ext>
                                  </a:extLst>
                                </a:blip>
                                <a:srcRect/>
                                <a:stretch>
                                  <a:fillRect/>
                                </a:stretch>
                              </pic:blipFill>
                              <pic:spPr>
                                <a:xfrm>
                                  <a:off x="0" y="0"/>
                                  <a:ext cx="807085" cy="663575"/>
                                </a:xfrm>
                                <a:prstGeom prst="rect">
                                  <a:avLst/>
                                </a:prstGeom>
                                <a:noFill/>
                                <a:ln>
                                  <a:noFill/>
                                </a:ln>
                              </pic:spPr>
                            </pic:pic>
                          </a:graphicData>
                        </a:graphic>
                      </wp:inline>
                    </w:drawing>
                  </w:r>
                </w:p>
              </w:tc>
              <w:tc>
                <w:tcPr>
                  <w:tcW w:w="1126" w:type="pct"/>
                  <w:tcBorders>
                    <w:tl2br w:val="nil"/>
                    <w:tr2bl w:val="nil"/>
                  </w:tcBorders>
                  <w:vAlign w:val="center"/>
                </w:tcPr>
                <w:p>
                  <w:pPr>
                    <w:adjustRightInd w:val="0"/>
                    <w:snapToGrid w:val="0"/>
                    <w:jc w:val="center"/>
                    <w:rPr>
                      <w:color w:val="FF0000"/>
                      <w:szCs w:val="21"/>
                    </w:rPr>
                  </w:pPr>
                  <w:r>
                    <w:rPr>
                      <w:color w:val="FF0000"/>
                      <w:szCs w:val="21"/>
                    </w:rPr>
                    <w:drawing>
                      <wp:inline distT="0" distB="0" distL="0" distR="0">
                        <wp:extent cx="787400" cy="647700"/>
                        <wp:effectExtent l="0" t="0" r="12700" b="0"/>
                        <wp:docPr id="16" name="图片 92"/>
                        <wp:cNvGraphicFramePr/>
                        <a:graphic xmlns:a="http://schemas.openxmlformats.org/drawingml/2006/main">
                          <a:graphicData uri="http://schemas.openxmlformats.org/drawingml/2006/picture">
                            <pic:pic xmlns:pic="http://schemas.openxmlformats.org/drawingml/2006/picture">
                              <pic:nvPicPr>
                                <pic:cNvPr id="16" name="图片 92"/>
                                <pic:cNvPicPr/>
                              </pic:nvPicPr>
                              <pic:blipFill>
                                <a:blip r:embed="rId26">
                                  <a:extLst>
                                    <a:ext uri="{28A0092B-C50C-407E-A947-70E740481C1C}">
                                      <a14:useLocalDpi xmlns:a14="http://schemas.microsoft.com/office/drawing/2010/main" val="0"/>
                                    </a:ext>
                                  </a:extLst>
                                </a:blip>
                                <a:srcRect/>
                                <a:stretch>
                                  <a:fillRect/>
                                </a:stretch>
                              </pic:blipFill>
                              <pic:spPr>
                                <a:xfrm>
                                  <a:off x="0" y="0"/>
                                  <a:ext cx="787400" cy="647700"/>
                                </a:xfrm>
                                <a:prstGeom prst="rect">
                                  <a:avLst/>
                                </a:prstGeom>
                                <a:noFill/>
                                <a:ln>
                                  <a:noFill/>
                                </a:ln>
                              </pic:spPr>
                            </pic:pic>
                          </a:graphicData>
                        </a:graphic>
                      </wp:inline>
                    </w:drawing>
                  </w:r>
                </w:p>
              </w:tc>
              <w:tc>
                <w:tcPr>
                  <w:tcW w:w="1075" w:type="pct"/>
                  <w:tcBorders>
                    <w:tl2br w:val="nil"/>
                    <w:tr2bl w:val="nil"/>
                  </w:tcBorders>
                  <w:vAlign w:val="center"/>
                </w:tcPr>
                <w:p>
                  <w:pPr>
                    <w:adjustRightInd w:val="0"/>
                    <w:snapToGrid w:val="0"/>
                    <w:jc w:val="center"/>
                    <w:rPr>
                      <w:color w:val="FF0000"/>
                      <w:szCs w:val="21"/>
                    </w:rPr>
                  </w:pPr>
                  <w:r>
                    <w:rPr>
                      <w:color w:val="FF0000"/>
                      <w:szCs w:val="21"/>
                    </w:rPr>
                    <w:t>一般固体废物</w:t>
                  </w:r>
                </w:p>
              </w:tc>
              <w:tc>
                <w:tcPr>
                  <w:tcW w:w="1082" w:type="pct"/>
                  <w:tcBorders>
                    <w:tl2br w:val="nil"/>
                    <w:tr2bl w:val="nil"/>
                  </w:tcBorders>
                  <w:vAlign w:val="center"/>
                </w:tcPr>
                <w:p>
                  <w:pPr>
                    <w:adjustRightInd w:val="0"/>
                    <w:snapToGrid w:val="0"/>
                    <w:jc w:val="center"/>
                    <w:rPr>
                      <w:color w:val="FF0000"/>
                      <w:szCs w:val="21"/>
                    </w:rPr>
                  </w:pPr>
                  <w:r>
                    <w:rPr>
                      <w:color w:val="FF0000"/>
                      <w:szCs w:val="21"/>
                    </w:rPr>
                    <w:t>表示一般固体废物贮存、处置场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87" w:type="pct"/>
                  <w:tcBorders>
                    <w:tl2br w:val="nil"/>
                    <w:tr2bl w:val="nil"/>
                  </w:tcBorders>
                  <w:vAlign w:val="center"/>
                </w:tcPr>
                <w:p>
                  <w:pPr>
                    <w:adjustRightInd w:val="0"/>
                    <w:snapToGrid w:val="0"/>
                    <w:jc w:val="center"/>
                    <w:rPr>
                      <w:color w:val="FF0000"/>
                      <w:szCs w:val="21"/>
                    </w:rPr>
                  </w:pPr>
                  <w:r>
                    <w:rPr>
                      <w:rFonts w:hint="eastAsia"/>
                      <w:color w:val="FF0000"/>
                      <w:szCs w:val="21"/>
                    </w:rPr>
                    <w:t>2</w:t>
                  </w:r>
                </w:p>
              </w:tc>
              <w:tc>
                <w:tcPr>
                  <w:tcW w:w="1126" w:type="pct"/>
                  <w:tcBorders>
                    <w:tl2br w:val="nil"/>
                    <w:tr2bl w:val="nil"/>
                  </w:tcBorders>
                  <w:vAlign w:val="center"/>
                </w:tcPr>
                <w:p>
                  <w:pPr>
                    <w:adjustRightInd w:val="0"/>
                    <w:snapToGrid w:val="0"/>
                    <w:jc w:val="center"/>
                    <w:rPr>
                      <w:color w:val="FF0000"/>
                      <w:szCs w:val="21"/>
                    </w:rPr>
                  </w:pPr>
                  <w:r>
                    <w:rPr>
                      <w:color w:val="FF0000"/>
                      <w:szCs w:val="21"/>
                    </w:rPr>
                    <w:drawing>
                      <wp:inline distT="0" distB="0" distL="0" distR="0">
                        <wp:extent cx="827405" cy="741680"/>
                        <wp:effectExtent l="0" t="0" r="10795" b="1270"/>
                        <wp:docPr id="17" name="图片 93"/>
                        <wp:cNvGraphicFramePr/>
                        <a:graphic xmlns:a="http://schemas.openxmlformats.org/drawingml/2006/main">
                          <a:graphicData uri="http://schemas.openxmlformats.org/drawingml/2006/picture">
                            <pic:pic xmlns:pic="http://schemas.openxmlformats.org/drawingml/2006/picture">
                              <pic:nvPicPr>
                                <pic:cNvPr id="17" name="图片 93"/>
                                <pic:cNvPicPr/>
                              </pic:nvPicPr>
                              <pic:blipFill>
                                <a:blip r:embed="rId27">
                                  <a:extLst>
                                    <a:ext uri="{28A0092B-C50C-407E-A947-70E740481C1C}">
                                      <a14:useLocalDpi xmlns:a14="http://schemas.microsoft.com/office/drawing/2010/main" val="0"/>
                                    </a:ext>
                                  </a:extLst>
                                </a:blip>
                                <a:srcRect/>
                                <a:stretch>
                                  <a:fillRect/>
                                </a:stretch>
                              </pic:blipFill>
                              <pic:spPr>
                                <a:xfrm>
                                  <a:off x="0" y="0"/>
                                  <a:ext cx="827405" cy="741680"/>
                                </a:xfrm>
                                <a:prstGeom prst="rect">
                                  <a:avLst/>
                                </a:prstGeom>
                                <a:noFill/>
                                <a:ln>
                                  <a:noFill/>
                                </a:ln>
                              </pic:spPr>
                            </pic:pic>
                          </a:graphicData>
                        </a:graphic>
                      </wp:inline>
                    </w:drawing>
                  </w:r>
                </w:p>
              </w:tc>
              <w:tc>
                <w:tcPr>
                  <w:tcW w:w="1126" w:type="pct"/>
                  <w:tcBorders>
                    <w:tl2br w:val="nil"/>
                    <w:tr2bl w:val="nil"/>
                  </w:tcBorders>
                  <w:vAlign w:val="center"/>
                </w:tcPr>
                <w:p>
                  <w:pPr>
                    <w:adjustRightInd w:val="0"/>
                    <w:snapToGrid w:val="0"/>
                    <w:jc w:val="center"/>
                    <w:rPr>
                      <w:color w:val="FF0000"/>
                      <w:szCs w:val="21"/>
                    </w:rPr>
                  </w:pPr>
                  <w:r>
                    <w:rPr>
                      <w:color w:val="FF0000"/>
                      <w:szCs w:val="21"/>
                    </w:rPr>
                    <w:drawing>
                      <wp:inline distT="0" distB="0" distL="0" distR="0">
                        <wp:extent cx="840740" cy="720090"/>
                        <wp:effectExtent l="0" t="0" r="16510" b="3810"/>
                        <wp:docPr id="18" name="图片 94"/>
                        <wp:cNvGraphicFramePr/>
                        <a:graphic xmlns:a="http://schemas.openxmlformats.org/drawingml/2006/main">
                          <a:graphicData uri="http://schemas.openxmlformats.org/drawingml/2006/picture">
                            <pic:pic xmlns:pic="http://schemas.openxmlformats.org/drawingml/2006/picture">
                              <pic:nvPicPr>
                                <pic:cNvPr id="18" name="图片 94"/>
                                <pic:cNvPicPr/>
                              </pic:nvPicPr>
                              <pic:blipFill>
                                <a:blip r:embed="rId28">
                                  <a:extLst>
                                    <a:ext uri="{28A0092B-C50C-407E-A947-70E740481C1C}">
                                      <a14:useLocalDpi xmlns:a14="http://schemas.microsoft.com/office/drawing/2010/main" val="0"/>
                                    </a:ext>
                                  </a:extLst>
                                </a:blip>
                                <a:srcRect/>
                                <a:stretch>
                                  <a:fillRect/>
                                </a:stretch>
                              </pic:blipFill>
                              <pic:spPr>
                                <a:xfrm>
                                  <a:off x="0" y="0"/>
                                  <a:ext cx="840740" cy="720090"/>
                                </a:xfrm>
                                <a:prstGeom prst="rect">
                                  <a:avLst/>
                                </a:prstGeom>
                                <a:noFill/>
                                <a:ln>
                                  <a:noFill/>
                                </a:ln>
                              </pic:spPr>
                            </pic:pic>
                          </a:graphicData>
                        </a:graphic>
                      </wp:inline>
                    </w:drawing>
                  </w:r>
                </w:p>
              </w:tc>
              <w:tc>
                <w:tcPr>
                  <w:tcW w:w="1075" w:type="pct"/>
                  <w:tcBorders>
                    <w:tl2br w:val="nil"/>
                    <w:tr2bl w:val="nil"/>
                  </w:tcBorders>
                  <w:vAlign w:val="center"/>
                </w:tcPr>
                <w:p>
                  <w:pPr>
                    <w:adjustRightInd w:val="0"/>
                    <w:snapToGrid w:val="0"/>
                    <w:jc w:val="center"/>
                    <w:rPr>
                      <w:color w:val="FF0000"/>
                      <w:szCs w:val="21"/>
                    </w:rPr>
                  </w:pPr>
                  <w:r>
                    <w:rPr>
                      <w:color w:val="FF0000"/>
                      <w:szCs w:val="21"/>
                    </w:rPr>
                    <w:t>噪声排放源</w:t>
                  </w:r>
                </w:p>
              </w:tc>
              <w:tc>
                <w:tcPr>
                  <w:tcW w:w="1082" w:type="pct"/>
                  <w:tcBorders>
                    <w:tl2br w:val="nil"/>
                    <w:tr2bl w:val="nil"/>
                  </w:tcBorders>
                  <w:vAlign w:val="center"/>
                </w:tcPr>
                <w:p>
                  <w:pPr>
                    <w:adjustRightInd w:val="0"/>
                    <w:snapToGrid w:val="0"/>
                    <w:jc w:val="center"/>
                    <w:rPr>
                      <w:color w:val="FF0000"/>
                      <w:szCs w:val="21"/>
                    </w:rPr>
                  </w:pPr>
                  <w:r>
                    <w:rPr>
                      <w:color w:val="FF0000"/>
                      <w:szCs w:val="21"/>
                    </w:rPr>
                    <w:t>表示噪声向外环境排放</w:t>
                  </w:r>
                </w:p>
              </w:tc>
            </w:tr>
          </w:tbl>
          <w:p>
            <w:pPr>
              <w:adjustRightInd w:val="0"/>
              <w:snapToGrid w:val="0"/>
              <w:rPr>
                <w:bCs/>
                <w:spacing w:val="10"/>
                <w:sz w:val="24"/>
                <w:highlight w:val="yellow"/>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08" w:type="pct"/>
            <w:tcBorders>
              <w:tl2br w:val="nil"/>
              <w:tr2bl w:val="nil"/>
            </w:tcBorders>
            <w:vAlign w:val="center"/>
          </w:tcPr>
          <w:p>
            <w:pPr>
              <w:adjustRightInd w:val="0"/>
              <w:snapToGrid w:val="0"/>
              <w:jc w:val="center"/>
              <w:rPr>
                <w:bCs/>
                <w:spacing w:val="10"/>
                <w:sz w:val="24"/>
              </w:rPr>
            </w:pPr>
            <w:r>
              <w:rPr>
                <w:bCs/>
                <w:sz w:val="24"/>
              </w:rPr>
              <w:t>环保投资</w:t>
            </w:r>
          </w:p>
        </w:tc>
        <w:tc>
          <w:tcPr>
            <w:tcW w:w="4591" w:type="pct"/>
            <w:tcBorders>
              <w:tl2br w:val="nil"/>
              <w:tr2bl w:val="nil"/>
            </w:tcBorders>
          </w:tcPr>
          <w:p>
            <w:pPr>
              <w:adjustRightInd w:val="0"/>
              <w:snapToGrid w:val="0"/>
              <w:spacing w:line="360" w:lineRule="auto"/>
              <w:ind w:firstLine="480" w:firstLineChars="200"/>
              <w:rPr>
                <w:b/>
                <w:color w:val="000000"/>
                <w:szCs w:val="21"/>
                <w:u w:val="single"/>
              </w:rPr>
            </w:pPr>
            <w:r>
              <w:rPr>
                <w:color w:val="000000"/>
                <w:sz w:val="24"/>
                <w:szCs w:val="22"/>
                <w:u w:val="single"/>
              </w:rPr>
              <w:t>本项目总投资为</w:t>
            </w:r>
            <w:r>
              <w:rPr>
                <w:rFonts w:hint="eastAsia"/>
                <w:color w:val="000000"/>
                <w:sz w:val="24"/>
                <w:szCs w:val="22"/>
                <w:u w:val="single"/>
              </w:rPr>
              <w:t>7000</w:t>
            </w:r>
            <w:r>
              <w:rPr>
                <w:color w:val="000000"/>
                <w:sz w:val="24"/>
                <w:szCs w:val="22"/>
                <w:u w:val="single"/>
              </w:rPr>
              <w:t>万元，其中环保投资约</w:t>
            </w:r>
            <w:r>
              <w:rPr>
                <w:rFonts w:hint="eastAsia"/>
                <w:color w:val="000000"/>
                <w:sz w:val="24"/>
                <w:szCs w:val="22"/>
                <w:u w:val="single"/>
              </w:rPr>
              <w:t>131.1</w:t>
            </w:r>
            <w:r>
              <w:rPr>
                <w:color w:val="000000"/>
                <w:sz w:val="24"/>
                <w:szCs w:val="22"/>
                <w:u w:val="single"/>
              </w:rPr>
              <w:t>万，约占总投资的</w:t>
            </w:r>
            <w:r>
              <w:rPr>
                <w:rFonts w:hint="eastAsia"/>
                <w:color w:val="000000"/>
                <w:sz w:val="24"/>
                <w:szCs w:val="22"/>
                <w:u w:val="single"/>
              </w:rPr>
              <w:t>1.87</w:t>
            </w:r>
            <w:r>
              <w:rPr>
                <w:color w:val="000000"/>
                <w:sz w:val="24"/>
                <w:szCs w:val="22"/>
                <w:u w:val="single"/>
              </w:rPr>
              <w:t>%，主要用于开采过程中废水、废气、噪声以及固废等治理，项目采取的污染防治措施及项目环保投资详见下表。</w:t>
            </w:r>
          </w:p>
          <w:p>
            <w:pPr>
              <w:jc w:val="center"/>
              <w:rPr>
                <w:b/>
                <w:color w:val="000000"/>
                <w:szCs w:val="21"/>
                <w:u w:val="single"/>
              </w:rPr>
            </w:pPr>
            <w:r>
              <w:rPr>
                <w:b/>
                <w:color w:val="000000"/>
                <w:szCs w:val="21"/>
                <w:u w:val="single"/>
              </w:rPr>
              <w:t>表</w:t>
            </w:r>
            <w:r>
              <w:rPr>
                <w:rFonts w:hint="eastAsia"/>
                <w:b/>
                <w:color w:val="000000"/>
                <w:szCs w:val="21"/>
                <w:u w:val="single"/>
              </w:rPr>
              <w:t>5-9</w:t>
            </w:r>
            <w:r>
              <w:rPr>
                <w:b/>
                <w:color w:val="000000"/>
                <w:szCs w:val="21"/>
                <w:u w:val="single"/>
              </w:rPr>
              <w:t xml:space="preserve">  环保投资一览表</w:t>
            </w:r>
          </w:p>
          <w:tbl>
            <w:tblPr>
              <w:tblStyle w:val="2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6" w:space="0"/>
              </w:tblBorders>
              <w:tblLayout w:type="autofit"/>
              <w:tblCellMar>
                <w:top w:w="0" w:type="dxa"/>
                <w:left w:w="108" w:type="dxa"/>
                <w:bottom w:w="0" w:type="dxa"/>
                <w:right w:w="108" w:type="dxa"/>
              </w:tblCellMar>
            </w:tblPr>
            <w:tblGrid>
              <w:gridCol w:w="935"/>
              <w:gridCol w:w="4493"/>
              <w:gridCol w:w="25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6" w:space="0"/>
                </w:tblBorders>
              </w:tblPrEx>
              <w:trPr>
                <w:tblHeader/>
                <w:jc w:val="center"/>
              </w:trPr>
              <w:tc>
                <w:tcPr>
                  <w:tcW w:w="583" w:type="pct"/>
                  <w:vAlign w:val="center"/>
                </w:tcPr>
                <w:p>
                  <w:pPr>
                    <w:pStyle w:val="53"/>
                    <w:rPr>
                      <w:u w:val="single"/>
                    </w:rPr>
                  </w:pPr>
                  <w:r>
                    <w:rPr>
                      <w:u w:val="single"/>
                    </w:rPr>
                    <w:t>类别</w:t>
                  </w:r>
                </w:p>
              </w:tc>
              <w:tc>
                <w:tcPr>
                  <w:tcW w:w="2801" w:type="pct"/>
                  <w:vAlign w:val="center"/>
                </w:tcPr>
                <w:p>
                  <w:pPr>
                    <w:pStyle w:val="53"/>
                    <w:rPr>
                      <w:u w:val="single"/>
                    </w:rPr>
                  </w:pPr>
                  <w:r>
                    <w:rPr>
                      <w:u w:val="single"/>
                    </w:rPr>
                    <w:t>治理措施</w:t>
                  </w:r>
                </w:p>
              </w:tc>
              <w:tc>
                <w:tcPr>
                  <w:tcW w:w="1614" w:type="pct"/>
                  <w:vAlign w:val="center"/>
                </w:tcPr>
                <w:p>
                  <w:pPr>
                    <w:pStyle w:val="53"/>
                    <w:rPr>
                      <w:u w:val="single"/>
                    </w:rPr>
                  </w:pPr>
                  <w:r>
                    <w:rPr>
                      <w:u w:val="single"/>
                    </w:rPr>
                    <w:t>投资（万元）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6" w:space="0"/>
                </w:tblBorders>
              </w:tblPrEx>
              <w:trPr>
                <w:tblHeader/>
                <w:jc w:val="center"/>
              </w:trPr>
              <w:tc>
                <w:tcPr>
                  <w:tcW w:w="583" w:type="pct"/>
                  <w:vAlign w:val="center"/>
                </w:tcPr>
                <w:p>
                  <w:pPr>
                    <w:pStyle w:val="53"/>
                    <w:rPr>
                      <w:u w:val="single"/>
                    </w:rPr>
                  </w:pPr>
                  <w:r>
                    <w:rPr>
                      <w:u w:val="single"/>
                    </w:rPr>
                    <w:t>废水</w:t>
                  </w:r>
                </w:p>
              </w:tc>
              <w:tc>
                <w:tcPr>
                  <w:tcW w:w="2801" w:type="pct"/>
                  <w:vAlign w:val="center"/>
                </w:tcPr>
                <w:p>
                  <w:pPr>
                    <w:pStyle w:val="53"/>
                    <w:rPr>
                      <w:u w:val="single"/>
                    </w:rPr>
                  </w:pPr>
                  <w:r>
                    <w:rPr>
                      <w:rFonts w:hint="eastAsia"/>
                      <w:u w:val="single"/>
                    </w:rPr>
                    <w:t>三格化粪池</w:t>
                  </w:r>
                  <w:r>
                    <w:rPr>
                      <w:u w:val="single"/>
                    </w:rPr>
                    <w:t>、污水处理设备</w:t>
                  </w:r>
                </w:p>
              </w:tc>
              <w:tc>
                <w:tcPr>
                  <w:tcW w:w="1614" w:type="pct"/>
                  <w:tcBorders>
                    <w:right w:val="single" w:color="auto" w:sz="4" w:space="0"/>
                  </w:tcBorders>
                  <w:vAlign w:val="center"/>
                </w:tcPr>
                <w:p>
                  <w:pPr>
                    <w:pStyle w:val="53"/>
                    <w:rPr>
                      <w:u w:val="single"/>
                    </w:rPr>
                  </w:pPr>
                  <w:r>
                    <w:rPr>
                      <w:rFonts w:hint="eastAsia"/>
                      <w:u w:val="singl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6" w:space="0"/>
                </w:tblBorders>
              </w:tblPrEx>
              <w:trPr>
                <w:tblHeader/>
                <w:jc w:val="center"/>
              </w:trPr>
              <w:tc>
                <w:tcPr>
                  <w:tcW w:w="583" w:type="pct"/>
                  <w:vAlign w:val="center"/>
                </w:tcPr>
                <w:p>
                  <w:pPr>
                    <w:pStyle w:val="53"/>
                    <w:rPr>
                      <w:u w:val="single"/>
                    </w:rPr>
                  </w:pPr>
                  <w:r>
                    <w:rPr>
                      <w:u w:val="single"/>
                    </w:rPr>
                    <w:t>废气</w:t>
                  </w:r>
                </w:p>
              </w:tc>
              <w:tc>
                <w:tcPr>
                  <w:tcW w:w="2801" w:type="pct"/>
                  <w:vAlign w:val="center"/>
                </w:tcPr>
                <w:p>
                  <w:pPr>
                    <w:pStyle w:val="53"/>
                    <w:rPr>
                      <w:u w:val="single"/>
                    </w:rPr>
                  </w:pPr>
                  <w:r>
                    <w:rPr>
                      <w:u w:val="single"/>
                    </w:rPr>
                    <w:t>定期喷洒除臭剂</w:t>
                  </w:r>
                </w:p>
              </w:tc>
              <w:tc>
                <w:tcPr>
                  <w:tcW w:w="1614" w:type="pct"/>
                  <w:vAlign w:val="center"/>
                </w:tcPr>
                <w:p>
                  <w:pPr>
                    <w:pStyle w:val="53"/>
                    <w:rPr>
                      <w:u w:val="single"/>
                    </w:rPr>
                  </w:pPr>
                  <w:r>
                    <w:rPr>
                      <w:rFonts w:hint="eastAsia"/>
                      <w:u w:val="single"/>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6" w:space="0"/>
                </w:tblBorders>
              </w:tblPrEx>
              <w:trPr>
                <w:tblHeader/>
                <w:jc w:val="center"/>
              </w:trPr>
              <w:tc>
                <w:tcPr>
                  <w:tcW w:w="583" w:type="pct"/>
                  <w:vAlign w:val="center"/>
                </w:tcPr>
                <w:p>
                  <w:pPr>
                    <w:pStyle w:val="53"/>
                    <w:rPr>
                      <w:u w:val="single"/>
                    </w:rPr>
                  </w:pPr>
                  <w:r>
                    <w:rPr>
                      <w:u w:val="single"/>
                    </w:rPr>
                    <w:t>固废</w:t>
                  </w:r>
                </w:p>
              </w:tc>
              <w:tc>
                <w:tcPr>
                  <w:tcW w:w="2801" w:type="pct"/>
                  <w:vAlign w:val="center"/>
                </w:tcPr>
                <w:p>
                  <w:pPr>
                    <w:pStyle w:val="53"/>
                    <w:rPr>
                      <w:u w:val="single"/>
                    </w:rPr>
                  </w:pPr>
                  <w:r>
                    <w:rPr>
                      <w:rFonts w:hint="eastAsia"/>
                      <w:u w:val="single"/>
                    </w:rPr>
                    <w:t>一般固废暂存间、安全填埋井</w:t>
                  </w:r>
                </w:p>
              </w:tc>
              <w:tc>
                <w:tcPr>
                  <w:tcW w:w="1614" w:type="pct"/>
                  <w:vAlign w:val="center"/>
                </w:tcPr>
                <w:p>
                  <w:pPr>
                    <w:pStyle w:val="53"/>
                    <w:rPr>
                      <w:u w:val="single"/>
                    </w:rPr>
                  </w:pPr>
                  <w:r>
                    <w:rPr>
                      <w:rFonts w:hint="eastAsia"/>
                      <w:u w:val="single"/>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6" w:space="0"/>
                </w:tblBorders>
              </w:tblPrEx>
              <w:trPr>
                <w:tblHeader/>
                <w:jc w:val="center"/>
              </w:trPr>
              <w:tc>
                <w:tcPr>
                  <w:tcW w:w="583" w:type="pct"/>
                  <w:vAlign w:val="center"/>
                </w:tcPr>
                <w:p>
                  <w:pPr>
                    <w:pStyle w:val="53"/>
                    <w:rPr>
                      <w:u w:val="single"/>
                    </w:rPr>
                  </w:pPr>
                  <w:r>
                    <w:rPr>
                      <w:u w:val="single"/>
                    </w:rPr>
                    <w:t>噪声</w:t>
                  </w:r>
                </w:p>
              </w:tc>
              <w:tc>
                <w:tcPr>
                  <w:tcW w:w="2801" w:type="pct"/>
                  <w:vAlign w:val="center"/>
                </w:tcPr>
                <w:p>
                  <w:pPr>
                    <w:pStyle w:val="53"/>
                    <w:rPr>
                      <w:u w:val="single"/>
                    </w:rPr>
                  </w:pPr>
                  <w:r>
                    <w:rPr>
                      <w:u w:val="single"/>
                    </w:rPr>
                    <w:t>采取基础减振</w:t>
                  </w:r>
                  <w:r>
                    <w:rPr>
                      <w:rFonts w:hint="eastAsia"/>
                      <w:u w:val="single"/>
                    </w:rPr>
                    <w:t>、在靠近居民一侧厂界种植绿化及加装围墙等降噪措施</w:t>
                  </w:r>
                </w:p>
              </w:tc>
              <w:tc>
                <w:tcPr>
                  <w:tcW w:w="1614" w:type="pct"/>
                  <w:vAlign w:val="center"/>
                </w:tcPr>
                <w:p>
                  <w:pPr>
                    <w:pStyle w:val="53"/>
                    <w:rPr>
                      <w:u w:val="single"/>
                    </w:rPr>
                  </w:pPr>
                  <w:r>
                    <w:rPr>
                      <w:rFonts w:hint="eastAsia"/>
                      <w:u w:val="single"/>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6" w:space="0"/>
                </w:tblBorders>
              </w:tblPrEx>
              <w:trPr>
                <w:tblHeader/>
                <w:jc w:val="center"/>
              </w:trPr>
              <w:tc>
                <w:tcPr>
                  <w:tcW w:w="583" w:type="pct"/>
                  <w:vAlign w:val="center"/>
                </w:tcPr>
                <w:p>
                  <w:pPr>
                    <w:pStyle w:val="53"/>
                    <w:rPr>
                      <w:u w:val="single"/>
                    </w:rPr>
                  </w:pPr>
                  <w:r>
                    <w:rPr>
                      <w:rFonts w:hint="eastAsia"/>
                      <w:u w:val="single"/>
                    </w:rPr>
                    <w:t>其他</w:t>
                  </w:r>
                </w:p>
              </w:tc>
              <w:tc>
                <w:tcPr>
                  <w:tcW w:w="2801" w:type="pct"/>
                  <w:vAlign w:val="center"/>
                </w:tcPr>
                <w:p>
                  <w:pPr>
                    <w:pStyle w:val="53"/>
                    <w:rPr>
                      <w:u w:val="single"/>
                    </w:rPr>
                  </w:pPr>
                  <w:r>
                    <w:rPr>
                      <w:rFonts w:hint="eastAsia"/>
                      <w:u w:val="single"/>
                    </w:rPr>
                    <w:t>入河排污口标志标牌</w:t>
                  </w:r>
                </w:p>
              </w:tc>
              <w:tc>
                <w:tcPr>
                  <w:tcW w:w="1614" w:type="pct"/>
                  <w:vAlign w:val="center"/>
                </w:tcPr>
                <w:p>
                  <w:pPr>
                    <w:pStyle w:val="53"/>
                    <w:rPr>
                      <w:u w:val="single"/>
                    </w:rPr>
                  </w:pPr>
                  <w:r>
                    <w:rPr>
                      <w:rFonts w:hint="eastAsia"/>
                      <w:u w:val="single"/>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6" w:space="0"/>
                </w:tblBorders>
              </w:tblPrEx>
              <w:trPr>
                <w:tblHeader/>
                <w:jc w:val="center"/>
              </w:trPr>
              <w:tc>
                <w:tcPr>
                  <w:tcW w:w="583" w:type="pct"/>
                  <w:vAlign w:val="center"/>
                </w:tcPr>
                <w:p>
                  <w:pPr>
                    <w:pStyle w:val="53"/>
                    <w:rPr>
                      <w:u w:val="single"/>
                    </w:rPr>
                  </w:pPr>
                  <w:r>
                    <w:rPr>
                      <w:u w:val="single"/>
                    </w:rPr>
                    <w:t>合计</w:t>
                  </w:r>
                </w:p>
              </w:tc>
              <w:tc>
                <w:tcPr>
                  <w:tcW w:w="2801" w:type="pct"/>
                  <w:vAlign w:val="center"/>
                </w:tcPr>
                <w:p>
                  <w:pPr>
                    <w:pStyle w:val="53"/>
                    <w:rPr>
                      <w:u w:val="single"/>
                    </w:rPr>
                  </w:pPr>
                  <w:r>
                    <w:rPr>
                      <w:u w:val="single"/>
                    </w:rPr>
                    <w:t>/</w:t>
                  </w:r>
                </w:p>
              </w:tc>
              <w:tc>
                <w:tcPr>
                  <w:tcW w:w="1614" w:type="pct"/>
                  <w:vAlign w:val="center"/>
                </w:tcPr>
                <w:p>
                  <w:pPr>
                    <w:pStyle w:val="53"/>
                    <w:rPr>
                      <w:u w:val="single"/>
                    </w:rPr>
                  </w:pPr>
                  <w:r>
                    <w:rPr>
                      <w:rFonts w:hint="eastAsia"/>
                      <w:u w:val="single"/>
                    </w:rPr>
                    <w:t>131.1</w:t>
                  </w:r>
                </w:p>
              </w:tc>
            </w:tr>
          </w:tbl>
          <w:p>
            <w:pPr>
              <w:pStyle w:val="30"/>
              <w:rPr>
                <w:rFonts w:hint="default" w:ascii="Times New Roman"/>
                <w:b/>
                <w:sz w:val="21"/>
                <w:szCs w:val="21"/>
                <w:u w:val="single"/>
              </w:rPr>
            </w:pPr>
          </w:p>
          <w:p>
            <w:pPr>
              <w:pStyle w:val="20"/>
              <w:ind w:left="420" w:hanging="420"/>
            </w:pPr>
          </w:p>
          <w:p>
            <w:pPr>
              <w:adjustRightInd w:val="0"/>
              <w:snapToGrid w:val="0"/>
              <w:rPr>
                <w:bCs/>
                <w:spacing w:val="1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08" w:type="pct"/>
            <w:tcBorders>
              <w:tl2br w:val="nil"/>
              <w:tr2bl w:val="nil"/>
            </w:tcBorders>
            <w:vAlign w:val="center"/>
          </w:tcPr>
          <w:p>
            <w:pPr>
              <w:adjustRightInd w:val="0"/>
              <w:snapToGrid w:val="0"/>
              <w:jc w:val="center"/>
              <w:rPr>
                <w:bCs/>
                <w:sz w:val="24"/>
              </w:rPr>
            </w:pPr>
          </w:p>
        </w:tc>
        <w:tc>
          <w:tcPr>
            <w:tcW w:w="4591" w:type="pct"/>
            <w:tcBorders>
              <w:tl2br w:val="nil"/>
              <w:tr2bl w:val="nil"/>
            </w:tcBorders>
          </w:tcPr>
          <w:p>
            <w:pPr>
              <w:adjustRightInd w:val="0"/>
              <w:snapToGrid w:val="0"/>
              <w:rPr>
                <w:bCs/>
                <w:spacing w:val="10"/>
                <w:sz w:val="24"/>
              </w:rPr>
            </w:pPr>
          </w:p>
        </w:tc>
      </w:tr>
    </w:tbl>
    <w:p>
      <w:pPr>
        <w:sectPr>
          <w:pgSz w:w="11907" w:h="16840"/>
          <w:pgMar w:top="1701" w:right="1531" w:bottom="1701" w:left="1531" w:header="851" w:footer="1077" w:gutter="0"/>
          <w:cols w:space="720" w:num="1"/>
          <w:docGrid w:linePitch="312" w:charSpace="0"/>
        </w:sectPr>
      </w:pPr>
    </w:p>
    <w:p>
      <w:pPr>
        <w:pStyle w:val="22"/>
        <w:adjustRightInd w:val="0"/>
        <w:snapToGrid w:val="0"/>
        <w:spacing w:before="0" w:beforeAutospacing="0" w:after="0" w:afterAutospacing="0"/>
        <w:jc w:val="center"/>
        <w:outlineLvl w:val="0"/>
        <w:rPr>
          <w:rFonts w:ascii="Times New Roman" w:hAnsi="Times New Roman"/>
          <w:snapToGrid w:val="0"/>
          <w:sz w:val="30"/>
          <w:szCs w:val="30"/>
        </w:rPr>
      </w:pPr>
      <w:bookmarkStart w:id="20" w:name="_Toc10651"/>
      <w:r>
        <w:rPr>
          <w:rFonts w:ascii="Times New Roman" w:hAnsi="Times New Roman"/>
          <w:b/>
          <w:bCs/>
          <w:snapToGrid w:val="0"/>
          <w:sz w:val="30"/>
          <w:szCs w:val="30"/>
        </w:rPr>
        <w:t>六、生态环境保护措施监督检查清单</w:t>
      </w:r>
      <w:bookmarkEnd w:id="20"/>
    </w:p>
    <w:tbl>
      <w:tblPr>
        <w:tblStyle w:val="24"/>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126"/>
        <w:gridCol w:w="1599"/>
        <w:gridCol w:w="1599"/>
        <w:gridCol w:w="1599"/>
        <w:gridCol w:w="159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247" w:type="pct"/>
            <w:vMerge w:val="restart"/>
            <w:tcBorders>
              <w:tl2br w:val="nil"/>
              <w:tr2bl w:val="nil"/>
            </w:tcBorders>
          </w:tcPr>
          <w:p>
            <w:pPr>
              <w:pStyle w:val="22"/>
              <w:adjustRightInd w:val="0"/>
              <w:snapToGrid w:val="0"/>
              <w:spacing w:before="0" w:beforeAutospacing="0" w:after="0" w:afterAutospacing="0" w:line="14" w:lineRule="auto"/>
              <w:rPr>
                <w:rFonts w:ascii="Times New Roman" w:hAnsi="Times New Roman"/>
                <w:kern w:val="2"/>
              </w:rPr>
            </w:pPr>
          </w:p>
          <w:p>
            <w:pPr>
              <w:pStyle w:val="22"/>
              <w:adjustRightInd w:val="0"/>
              <w:snapToGrid w:val="0"/>
              <w:spacing w:before="0" w:beforeAutospacing="0" w:after="0" w:afterAutospacing="0"/>
              <w:rPr>
                <w:rFonts w:ascii="Times New Roman" w:hAnsi="Times New Roman"/>
                <w:kern w:val="2"/>
              </w:rPr>
            </w:pPr>
          </w:p>
          <w:p>
            <w:pPr>
              <w:pStyle w:val="22"/>
              <w:adjustRightInd w:val="0"/>
              <w:snapToGrid w:val="0"/>
              <w:spacing w:before="0" w:beforeAutospacing="0" w:after="0" w:afterAutospacing="0"/>
              <w:rPr>
                <w:rFonts w:ascii="Times New Roman" w:hAnsi="Times New Roman"/>
                <w:kern w:val="2"/>
              </w:rPr>
            </w:pPr>
          </w:p>
          <w:p>
            <w:pPr>
              <w:pStyle w:val="22"/>
              <w:adjustRightInd w:val="0"/>
              <w:snapToGrid w:val="0"/>
              <w:spacing w:before="0" w:beforeAutospacing="0" w:after="0" w:afterAutospacing="0"/>
              <w:jc w:val="center"/>
              <w:outlineLvl w:val="0"/>
              <w:rPr>
                <w:rFonts w:ascii="Times New Roman" w:hAnsi="Times New Roman"/>
                <w:kern w:val="2"/>
              </w:rPr>
            </w:pPr>
            <w:bookmarkStart w:id="21" w:name="_Toc29820"/>
            <w:r>
              <w:rPr>
                <w:rFonts w:hint="eastAsia" w:ascii="Times New Roman" w:hAnsi="Times New Roman"/>
                <w:kern w:val="2"/>
              </w:rPr>
              <w:t>要</w:t>
            </w:r>
            <w:r>
              <w:rPr>
                <w:rFonts w:ascii="Times New Roman" w:hAnsi="Times New Roman"/>
                <w:kern w:val="2"/>
              </w:rPr>
              <w:t>素</w:t>
            </w:r>
            <w:bookmarkEnd w:id="21"/>
          </w:p>
          <w:p>
            <w:pPr>
              <w:pStyle w:val="22"/>
              <w:adjustRightInd w:val="0"/>
              <w:snapToGrid w:val="0"/>
              <w:spacing w:before="0" w:beforeAutospacing="0" w:after="0" w:afterAutospacing="0"/>
              <w:rPr>
                <w:rFonts w:ascii="Times New Roman" w:hAnsi="Times New Roman"/>
                <w:kern w:val="2"/>
              </w:rPr>
            </w:pPr>
          </w:p>
          <w:p>
            <w:pPr>
              <w:pStyle w:val="22"/>
              <w:adjustRightInd w:val="0"/>
              <w:snapToGrid w:val="0"/>
              <w:spacing w:before="0" w:beforeAutospacing="0" w:after="0" w:afterAutospacing="0"/>
              <w:jc w:val="center"/>
              <w:outlineLvl w:val="0"/>
              <w:rPr>
                <w:rFonts w:ascii="Times New Roman" w:hAnsi="Times New Roman"/>
                <w:kern w:val="2"/>
              </w:rPr>
            </w:pPr>
            <w:bookmarkStart w:id="22" w:name="_Toc16879"/>
            <w:r>
              <w:rPr>
                <w:rFonts w:ascii="Times New Roman" w:hAnsi="Times New Roman"/>
                <w:kern w:val="2"/>
              </w:rPr>
              <w:t>内容</w:t>
            </w:r>
            <w:bookmarkEnd w:id="22"/>
          </w:p>
        </w:tc>
        <w:tc>
          <w:tcPr>
            <w:tcW w:w="1876" w:type="pct"/>
            <w:gridSpan w:val="2"/>
            <w:tcBorders>
              <w:tl2br w:val="nil"/>
              <w:tr2bl w:val="nil"/>
            </w:tcBorders>
            <w:vAlign w:val="center"/>
          </w:tcPr>
          <w:p>
            <w:pPr>
              <w:pStyle w:val="22"/>
              <w:adjustRightInd w:val="0"/>
              <w:snapToGrid w:val="0"/>
              <w:spacing w:before="0" w:beforeAutospacing="0" w:after="0" w:afterAutospacing="0"/>
              <w:jc w:val="center"/>
              <w:outlineLvl w:val="0"/>
              <w:rPr>
                <w:rFonts w:ascii="Times New Roman" w:hAnsi="Times New Roman"/>
                <w:kern w:val="2"/>
              </w:rPr>
            </w:pPr>
            <w:bookmarkStart w:id="23" w:name="_Toc26760"/>
            <w:r>
              <w:rPr>
                <w:rFonts w:ascii="Times New Roman" w:hAnsi="Times New Roman"/>
                <w:kern w:val="2"/>
              </w:rPr>
              <w:t>施工期</w:t>
            </w:r>
            <w:bookmarkEnd w:id="23"/>
          </w:p>
        </w:tc>
        <w:tc>
          <w:tcPr>
            <w:tcW w:w="1876" w:type="pct"/>
            <w:gridSpan w:val="2"/>
            <w:tcBorders>
              <w:tl2br w:val="nil"/>
              <w:tr2bl w:val="nil"/>
            </w:tcBorders>
            <w:vAlign w:val="center"/>
          </w:tcPr>
          <w:p>
            <w:pPr>
              <w:pStyle w:val="22"/>
              <w:adjustRightInd w:val="0"/>
              <w:snapToGrid w:val="0"/>
              <w:spacing w:before="0" w:beforeAutospacing="0" w:after="0" w:afterAutospacing="0"/>
              <w:jc w:val="center"/>
              <w:outlineLvl w:val="0"/>
              <w:rPr>
                <w:rFonts w:ascii="Times New Roman" w:hAnsi="Times New Roman"/>
                <w:kern w:val="2"/>
              </w:rPr>
            </w:pPr>
            <w:bookmarkStart w:id="24" w:name="_Toc15445"/>
            <w:r>
              <w:rPr>
                <w:rFonts w:ascii="Times New Roman" w:hAnsi="Times New Roman"/>
                <w:kern w:val="2"/>
              </w:rPr>
              <w:t>运营期</w:t>
            </w:r>
            <w:bookmarkEnd w:id="24"/>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247" w:type="pct"/>
            <w:vMerge w:val="continue"/>
            <w:tcBorders>
              <w:tl2br w:val="nil"/>
              <w:tr2bl w:val="nil"/>
            </w:tcBorders>
          </w:tcPr>
          <w:p>
            <w:pPr>
              <w:pStyle w:val="22"/>
              <w:adjustRightInd w:val="0"/>
              <w:snapToGrid w:val="0"/>
              <w:spacing w:before="0" w:beforeAutospacing="0" w:after="0" w:afterAutospacing="0"/>
              <w:ind w:firstLine="840"/>
              <w:jc w:val="center"/>
              <w:rPr>
                <w:rFonts w:ascii="Times New Roman" w:hAnsi="Times New Roman"/>
                <w:kern w:val="2"/>
              </w:rPr>
            </w:pPr>
          </w:p>
        </w:tc>
        <w:tc>
          <w:tcPr>
            <w:tcW w:w="938" w:type="pct"/>
            <w:tcBorders>
              <w:tl2br w:val="nil"/>
              <w:tr2bl w:val="nil"/>
            </w:tcBorders>
            <w:vAlign w:val="center"/>
          </w:tcPr>
          <w:p>
            <w:pPr>
              <w:pStyle w:val="22"/>
              <w:adjustRightInd w:val="0"/>
              <w:snapToGrid w:val="0"/>
              <w:spacing w:before="0" w:beforeAutospacing="0" w:after="0" w:afterAutospacing="0"/>
              <w:jc w:val="center"/>
              <w:outlineLvl w:val="0"/>
              <w:rPr>
                <w:rFonts w:ascii="Times New Roman" w:hAnsi="Times New Roman"/>
                <w:kern w:val="2"/>
              </w:rPr>
            </w:pPr>
            <w:bookmarkStart w:id="25" w:name="_Toc19667"/>
            <w:r>
              <w:rPr>
                <w:rFonts w:ascii="Times New Roman" w:hAnsi="Times New Roman"/>
                <w:kern w:val="2"/>
              </w:rPr>
              <w:t>环境保护措施</w:t>
            </w:r>
            <w:bookmarkEnd w:id="25"/>
          </w:p>
        </w:tc>
        <w:tc>
          <w:tcPr>
            <w:tcW w:w="938" w:type="pct"/>
            <w:tcBorders>
              <w:tl2br w:val="nil"/>
              <w:tr2bl w:val="nil"/>
            </w:tcBorders>
            <w:vAlign w:val="center"/>
          </w:tcPr>
          <w:p>
            <w:pPr>
              <w:pStyle w:val="22"/>
              <w:adjustRightInd w:val="0"/>
              <w:snapToGrid w:val="0"/>
              <w:spacing w:before="0" w:beforeAutospacing="0" w:after="0" w:afterAutospacing="0"/>
              <w:jc w:val="center"/>
              <w:outlineLvl w:val="0"/>
              <w:rPr>
                <w:rFonts w:ascii="Times New Roman" w:hAnsi="Times New Roman"/>
                <w:kern w:val="2"/>
              </w:rPr>
            </w:pPr>
            <w:bookmarkStart w:id="26" w:name="_Toc3992"/>
            <w:r>
              <w:rPr>
                <w:rFonts w:ascii="Times New Roman" w:hAnsi="Times New Roman"/>
                <w:kern w:val="2"/>
              </w:rPr>
              <w:t>验收要求</w:t>
            </w:r>
            <w:bookmarkEnd w:id="26"/>
          </w:p>
        </w:tc>
        <w:tc>
          <w:tcPr>
            <w:tcW w:w="938" w:type="pct"/>
            <w:tcBorders>
              <w:tl2br w:val="nil"/>
              <w:tr2bl w:val="nil"/>
            </w:tcBorders>
            <w:vAlign w:val="center"/>
          </w:tcPr>
          <w:p>
            <w:pPr>
              <w:pStyle w:val="22"/>
              <w:adjustRightInd w:val="0"/>
              <w:snapToGrid w:val="0"/>
              <w:spacing w:before="0" w:beforeAutospacing="0" w:after="0" w:afterAutospacing="0"/>
              <w:jc w:val="center"/>
              <w:outlineLvl w:val="0"/>
              <w:rPr>
                <w:rFonts w:ascii="Times New Roman" w:hAnsi="Times New Roman"/>
                <w:kern w:val="2"/>
              </w:rPr>
            </w:pPr>
            <w:bookmarkStart w:id="27" w:name="_Toc25274"/>
            <w:r>
              <w:rPr>
                <w:rFonts w:ascii="Times New Roman" w:hAnsi="Times New Roman"/>
                <w:kern w:val="2"/>
              </w:rPr>
              <w:t>环境保护措施</w:t>
            </w:r>
            <w:bookmarkEnd w:id="27"/>
          </w:p>
        </w:tc>
        <w:tc>
          <w:tcPr>
            <w:tcW w:w="938" w:type="pct"/>
            <w:tcBorders>
              <w:tl2br w:val="nil"/>
              <w:tr2bl w:val="nil"/>
            </w:tcBorders>
            <w:vAlign w:val="center"/>
          </w:tcPr>
          <w:p>
            <w:pPr>
              <w:pStyle w:val="22"/>
              <w:adjustRightInd w:val="0"/>
              <w:snapToGrid w:val="0"/>
              <w:spacing w:before="0" w:beforeAutospacing="0" w:after="0" w:afterAutospacing="0"/>
              <w:jc w:val="center"/>
              <w:outlineLvl w:val="0"/>
              <w:rPr>
                <w:rFonts w:ascii="Times New Roman" w:hAnsi="Times New Roman"/>
                <w:kern w:val="2"/>
              </w:rPr>
            </w:pPr>
            <w:bookmarkStart w:id="28" w:name="_Toc28279"/>
            <w:r>
              <w:rPr>
                <w:rFonts w:ascii="Times New Roman" w:hAnsi="Times New Roman"/>
                <w:kern w:val="2"/>
              </w:rPr>
              <w:t>验收要求</w:t>
            </w:r>
            <w:bookmarkEnd w:id="28"/>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247" w:type="pct"/>
            <w:tcBorders>
              <w:tl2br w:val="nil"/>
              <w:tr2bl w:val="nil"/>
            </w:tcBorders>
            <w:vAlign w:val="center"/>
          </w:tcPr>
          <w:p>
            <w:pPr>
              <w:adjustRightInd w:val="0"/>
              <w:snapToGrid w:val="0"/>
              <w:jc w:val="center"/>
              <w:rPr>
                <w:sz w:val="24"/>
              </w:rPr>
            </w:pPr>
            <w:r>
              <w:rPr>
                <w:sz w:val="24"/>
              </w:rPr>
              <w:t>陆生生态</w:t>
            </w:r>
          </w:p>
        </w:tc>
        <w:tc>
          <w:tcPr>
            <w:tcW w:w="938" w:type="pct"/>
            <w:tcBorders>
              <w:tl2br w:val="nil"/>
              <w:tr2bl w:val="nil"/>
            </w:tcBorders>
            <w:vAlign w:val="center"/>
          </w:tcPr>
          <w:p>
            <w:pPr>
              <w:adjustRightInd w:val="0"/>
              <w:snapToGrid w:val="0"/>
              <w:jc w:val="center"/>
              <w:rPr>
                <w:sz w:val="24"/>
              </w:rPr>
            </w:pPr>
            <w:r>
              <w:rPr>
                <w:rFonts w:hint="eastAsia"/>
                <w:sz w:val="24"/>
              </w:rPr>
              <w:t>/</w:t>
            </w:r>
          </w:p>
        </w:tc>
        <w:tc>
          <w:tcPr>
            <w:tcW w:w="938" w:type="pct"/>
            <w:tcBorders>
              <w:tl2br w:val="nil"/>
              <w:tr2bl w:val="nil"/>
            </w:tcBorders>
            <w:vAlign w:val="center"/>
          </w:tcPr>
          <w:p>
            <w:pPr>
              <w:adjustRightInd w:val="0"/>
              <w:snapToGrid w:val="0"/>
              <w:jc w:val="center"/>
              <w:rPr>
                <w:sz w:val="24"/>
              </w:rPr>
            </w:pPr>
            <w:r>
              <w:rPr>
                <w:rFonts w:hint="eastAsia"/>
                <w:sz w:val="24"/>
              </w:rPr>
              <w:t>/</w:t>
            </w:r>
          </w:p>
        </w:tc>
        <w:tc>
          <w:tcPr>
            <w:tcW w:w="938" w:type="pct"/>
            <w:tcBorders>
              <w:tl2br w:val="nil"/>
              <w:tr2bl w:val="nil"/>
            </w:tcBorders>
            <w:vAlign w:val="center"/>
          </w:tcPr>
          <w:p>
            <w:pPr>
              <w:adjustRightInd w:val="0"/>
              <w:snapToGrid w:val="0"/>
              <w:jc w:val="center"/>
              <w:rPr>
                <w:sz w:val="24"/>
              </w:rPr>
            </w:pPr>
            <w:r>
              <w:rPr>
                <w:rFonts w:hint="eastAsia"/>
                <w:sz w:val="24"/>
              </w:rPr>
              <w:t>/</w:t>
            </w:r>
          </w:p>
        </w:tc>
        <w:tc>
          <w:tcPr>
            <w:tcW w:w="938" w:type="pct"/>
            <w:tcBorders>
              <w:tl2br w:val="nil"/>
              <w:tr2bl w:val="nil"/>
            </w:tcBorders>
            <w:vAlign w:val="center"/>
          </w:tcPr>
          <w:p>
            <w:pPr>
              <w:adjustRightInd w:val="0"/>
              <w:snapToGrid w:val="0"/>
              <w:jc w:val="center"/>
              <w:rPr>
                <w:sz w:val="24"/>
              </w:rPr>
            </w:pPr>
            <w:r>
              <w:rPr>
                <w:rFonts w:hint="eastAsia"/>
                <w:sz w:val="24"/>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247" w:type="pct"/>
            <w:tcBorders>
              <w:tl2br w:val="nil"/>
              <w:tr2bl w:val="nil"/>
            </w:tcBorders>
            <w:vAlign w:val="center"/>
          </w:tcPr>
          <w:p>
            <w:pPr>
              <w:adjustRightInd w:val="0"/>
              <w:snapToGrid w:val="0"/>
              <w:jc w:val="center"/>
              <w:rPr>
                <w:sz w:val="24"/>
              </w:rPr>
            </w:pPr>
            <w:r>
              <w:rPr>
                <w:sz w:val="24"/>
              </w:rPr>
              <w:t>水生生态</w:t>
            </w:r>
          </w:p>
        </w:tc>
        <w:tc>
          <w:tcPr>
            <w:tcW w:w="938" w:type="pct"/>
            <w:tcBorders>
              <w:tl2br w:val="nil"/>
              <w:tr2bl w:val="nil"/>
            </w:tcBorders>
            <w:vAlign w:val="center"/>
          </w:tcPr>
          <w:p>
            <w:pPr>
              <w:adjustRightInd w:val="0"/>
              <w:snapToGrid w:val="0"/>
              <w:jc w:val="center"/>
              <w:rPr>
                <w:sz w:val="24"/>
              </w:rPr>
            </w:pPr>
            <w:r>
              <w:rPr>
                <w:rFonts w:hint="eastAsia"/>
                <w:sz w:val="24"/>
              </w:rPr>
              <w:t>/</w:t>
            </w:r>
          </w:p>
        </w:tc>
        <w:tc>
          <w:tcPr>
            <w:tcW w:w="938" w:type="pct"/>
            <w:tcBorders>
              <w:tl2br w:val="nil"/>
              <w:tr2bl w:val="nil"/>
            </w:tcBorders>
            <w:vAlign w:val="center"/>
          </w:tcPr>
          <w:p>
            <w:pPr>
              <w:adjustRightInd w:val="0"/>
              <w:snapToGrid w:val="0"/>
              <w:jc w:val="center"/>
              <w:rPr>
                <w:sz w:val="24"/>
              </w:rPr>
            </w:pPr>
            <w:r>
              <w:rPr>
                <w:rFonts w:hint="eastAsia"/>
                <w:sz w:val="24"/>
              </w:rPr>
              <w:t>/</w:t>
            </w:r>
          </w:p>
        </w:tc>
        <w:tc>
          <w:tcPr>
            <w:tcW w:w="938" w:type="pct"/>
            <w:tcBorders>
              <w:tl2br w:val="nil"/>
              <w:tr2bl w:val="nil"/>
            </w:tcBorders>
            <w:vAlign w:val="center"/>
          </w:tcPr>
          <w:p>
            <w:pPr>
              <w:adjustRightInd w:val="0"/>
              <w:snapToGrid w:val="0"/>
              <w:jc w:val="center"/>
              <w:rPr>
                <w:sz w:val="24"/>
              </w:rPr>
            </w:pPr>
            <w:r>
              <w:rPr>
                <w:rFonts w:hint="eastAsia"/>
                <w:sz w:val="24"/>
              </w:rPr>
              <w:t>/</w:t>
            </w:r>
          </w:p>
        </w:tc>
        <w:tc>
          <w:tcPr>
            <w:tcW w:w="938" w:type="pct"/>
            <w:tcBorders>
              <w:tl2br w:val="nil"/>
              <w:tr2bl w:val="nil"/>
            </w:tcBorders>
            <w:vAlign w:val="center"/>
          </w:tcPr>
          <w:p>
            <w:pPr>
              <w:adjustRightInd w:val="0"/>
              <w:snapToGrid w:val="0"/>
              <w:jc w:val="center"/>
              <w:rPr>
                <w:sz w:val="24"/>
              </w:rPr>
            </w:pPr>
            <w:r>
              <w:rPr>
                <w:rFonts w:hint="eastAsia"/>
                <w:sz w:val="24"/>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247" w:type="pct"/>
            <w:tcBorders>
              <w:tl2br w:val="nil"/>
              <w:tr2bl w:val="nil"/>
            </w:tcBorders>
            <w:vAlign w:val="center"/>
          </w:tcPr>
          <w:p>
            <w:pPr>
              <w:adjustRightInd w:val="0"/>
              <w:snapToGrid w:val="0"/>
              <w:jc w:val="center"/>
              <w:rPr>
                <w:sz w:val="24"/>
              </w:rPr>
            </w:pPr>
            <w:r>
              <w:rPr>
                <w:sz w:val="24"/>
              </w:rPr>
              <w:t>地表水环境</w:t>
            </w:r>
          </w:p>
        </w:tc>
        <w:tc>
          <w:tcPr>
            <w:tcW w:w="938" w:type="pct"/>
            <w:tcBorders>
              <w:tl2br w:val="nil"/>
              <w:tr2bl w:val="nil"/>
            </w:tcBorders>
            <w:vAlign w:val="center"/>
          </w:tcPr>
          <w:p>
            <w:pPr>
              <w:adjustRightInd w:val="0"/>
              <w:snapToGrid w:val="0"/>
              <w:jc w:val="center"/>
              <w:rPr>
                <w:sz w:val="24"/>
              </w:rPr>
            </w:pPr>
            <w:r>
              <w:rPr>
                <w:sz w:val="24"/>
              </w:rPr>
              <w:t>拟建设沉淀池，施工生产废水经沉淀后回用于场地洒水降尘</w:t>
            </w:r>
            <w:r>
              <w:rPr>
                <w:rFonts w:hint="eastAsia"/>
                <w:sz w:val="24"/>
              </w:rPr>
              <w:t>；生活污水通过化粪池处理后用作农肥</w:t>
            </w:r>
          </w:p>
        </w:tc>
        <w:tc>
          <w:tcPr>
            <w:tcW w:w="938" w:type="pct"/>
            <w:tcBorders>
              <w:tl2br w:val="nil"/>
              <w:tr2bl w:val="nil"/>
            </w:tcBorders>
            <w:vAlign w:val="center"/>
          </w:tcPr>
          <w:p>
            <w:pPr>
              <w:adjustRightInd w:val="0"/>
              <w:snapToGrid w:val="0"/>
              <w:jc w:val="center"/>
              <w:rPr>
                <w:sz w:val="24"/>
              </w:rPr>
            </w:pPr>
            <w:r>
              <w:rPr>
                <w:sz w:val="24"/>
              </w:rPr>
              <w:t>影响降低到最小</w:t>
            </w:r>
          </w:p>
        </w:tc>
        <w:tc>
          <w:tcPr>
            <w:tcW w:w="938" w:type="pct"/>
            <w:tcBorders>
              <w:tl2br w:val="nil"/>
              <w:tr2bl w:val="nil"/>
            </w:tcBorders>
            <w:vAlign w:val="center"/>
          </w:tcPr>
          <w:p>
            <w:pPr>
              <w:adjustRightInd w:val="0"/>
              <w:snapToGrid w:val="0"/>
              <w:jc w:val="center"/>
              <w:rPr>
                <w:sz w:val="24"/>
              </w:rPr>
            </w:pPr>
            <w:r>
              <w:rPr>
                <w:rFonts w:hint="eastAsia"/>
                <w:sz w:val="24"/>
              </w:rPr>
              <w:t>生活污水经三格化粪池处理后用于周边农田施肥；养殖废水经污水处理设备处理达标后外排至日东河</w:t>
            </w:r>
            <w:r>
              <w:rPr>
                <w:rFonts w:hint="eastAsia"/>
                <w:color w:val="FF0000"/>
                <w:sz w:val="24"/>
              </w:rPr>
              <w:t>，并在入河排污口处设置标识标牌</w:t>
            </w:r>
          </w:p>
        </w:tc>
        <w:tc>
          <w:tcPr>
            <w:tcW w:w="938" w:type="pct"/>
            <w:tcBorders>
              <w:tl2br w:val="nil"/>
              <w:tr2bl w:val="nil"/>
            </w:tcBorders>
            <w:vAlign w:val="center"/>
          </w:tcPr>
          <w:p>
            <w:pPr>
              <w:adjustRightInd w:val="0"/>
              <w:snapToGrid w:val="0"/>
              <w:jc w:val="center"/>
              <w:rPr>
                <w:sz w:val="24"/>
              </w:rPr>
            </w:pPr>
            <w:r>
              <w:rPr>
                <w:rFonts w:hint="eastAsia"/>
                <w:sz w:val="24"/>
              </w:rPr>
              <w:t>《水产养殖尾水污染物排放标准》（DB43/1752-2020）表1中的一级标准、《淡水池塘养殖水排放要求》（SC/T9101-2007）表1中的二级标准；《农田灌溉水质标准》（GB5084-2021）旱作类标准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247" w:type="pct"/>
            <w:tcBorders>
              <w:tl2br w:val="nil"/>
              <w:tr2bl w:val="nil"/>
            </w:tcBorders>
            <w:vAlign w:val="center"/>
          </w:tcPr>
          <w:p>
            <w:pPr>
              <w:adjustRightInd w:val="0"/>
              <w:snapToGrid w:val="0"/>
              <w:jc w:val="center"/>
              <w:rPr>
                <w:sz w:val="24"/>
              </w:rPr>
            </w:pPr>
            <w:r>
              <w:rPr>
                <w:sz w:val="24"/>
              </w:rPr>
              <w:t>地下水及土壤环境</w:t>
            </w:r>
          </w:p>
        </w:tc>
        <w:tc>
          <w:tcPr>
            <w:tcW w:w="938" w:type="pct"/>
            <w:tcBorders>
              <w:tl2br w:val="nil"/>
              <w:tr2bl w:val="nil"/>
            </w:tcBorders>
            <w:vAlign w:val="center"/>
          </w:tcPr>
          <w:p>
            <w:pPr>
              <w:adjustRightInd w:val="0"/>
              <w:snapToGrid w:val="0"/>
              <w:jc w:val="center"/>
              <w:rPr>
                <w:sz w:val="24"/>
              </w:rPr>
            </w:pPr>
            <w:r>
              <w:rPr>
                <w:rFonts w:hint="eastAsia"/>
                <w:sz w:val="24"/>
              </w:rPr>
              <w:t>/</w:t>
            </w:r>
          </w:p>
        </w:tc>
        <w:tc>
          <w:tcPr>
            <w:tcW w:w="938" w:type="pct"/>
            <w:tcBorders>
              <w:tl2br w:val="nil"/>
              <w:tr2bl w:val="nil"/>
            </w:tcBorders>
            <w:vAlign w:val="center"/>
          </w:tcPr>
          <w:p>
            <w:pPr>
              <w:adjustRightInd w:val="0"/>
              <w:snapToGrid w:val="0"/>
              <w:jc w:val="center"/>
              <w:rPr>
                <w:sz w:val="24"/>
              </w:rPr>
            </w:pPr>
            <w:r>
              <w:rPr>
                <w:rFonts w:hint="eastAsia"/>
                <w:sz w:val="24"/>
              </w:rPr>
              <w:t>/</w:t>
            </w:r>
          </w:p>
        </w:tc>
        <w:tc>
          <w:tcPr>
            <w:tcW w:w="938" w:type="pct"/>
            <w:tcBorders>
              <w:tl2br w:val="nil"/>
              <w:tr2bl w:val="nil"/>
            </w:tcBorders>
            <w:vAlign w:val="center"/>
          </w:tcPr>
          <w:p>
            <w:pPr>
              <w:adjustRightInd w:val="0"/>
              <w:snapToGrid w:val="0"/>
              <w:jc w:val="center"/>
              <w:rPr>
                <w:sz w:val="24"/>
              </w:rPr>
            </w:pPr>
            <w:r>
              <w:rPr>
                <w:rFonts w:hint="eastAsia"/>
                <w:sz w:val="24"/>
              </w:rPr>
              <w:t>/</w:t>
            </w:r>
          </w:p>
        </w:tc>
        <w:tc>
          <w:tcPr>
            <w:tcW w:w="938" w:type="pct"/>
            <w:tcBorders>
              <w:tl2br w:val="nil"/>
              <w:tr2bl w:val="nil"/>
            </w:tcBorders>
            <w:vAlign w:val="center"/>
          </w:tcPr>
          <w:p>
            <w:pPr>
              <w:adjustRightInd w:val="0"/>
              <w:snapToGrid w:val="0"/>
              <w:jc w:val="center"/>
              <w:rPr>
                <w:sz w:val="24"/>
              </w:rPr>
            </w:pPr>
            <w:r>
              <w:rPr>
                <w:rFonts w:hint="eastAsia"/>
                <w:sz w:val="24"/>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247" w:type="pct"/>
            <w:tcBorders>
              <w:tl2br w:val="nil"/>
              <w:tr2bl w:val="nil"/>
            </w:tcBorders>
            <w:vAlign w:val="center"/>
          </w:tcPr>
          <w:p>
            <w:pPr>
              <w:adjustRightInd w:val="0"/>
              <w:snapToGrid w:val="0"/>
              <w:jc w:val="center"/>
              <w:rPr>
                <w:sz w:val="24"/>
              </w:rPr>
            </w:pPr>
            <w:r>
              <w:rPr>
                <w:sz w:val="24"/>
              </w:rPr>
              <w:t>声环境</w:t>
            </w:r>
          </w:p>
        </w:tc>
        <w:tc>
          <w:tcPr>
            <w:tcW w:w="938" w:type="pct"/>
            <w:tcBorders>
              <w:tl2br w:val="nil"/>
              <w:tr2bl w:val="nil"/>
            </w:tcBorders>
            <w:vAlign w:val="center"/>
          </w:tcPr>
          <w:p>
            <w:pPr>
              <w:adjustRightInd w:val="0"/>
              <w:snapToGrid w:val="0"/>
              <w:jc w:val="center"/>
              <w:rPr>
                <w:sz w:val="24"/>
              </w:rPr>
            </w:pPr>
            <w:r>
              <w:rPr>
                <w:sz w:val="24"/>
              </w:rPr>
              <w:t>采用噪声较低的生产设备，并加强维修保养，禁止夜间高噪声机械施工等</w:t>
            </w:r>
          </w:p>
        </w:tc>
        <w:tc>
          <w:tcPr>
            <w:tcW w:w="938" w:type="pct"/>
            <w:tcBorders>
              <w:tl2br w:val="nil"/>
              <w:tr2bl w:val="nil"/>
            </w:tcBorders>
            <w:vAlign w:val="center"/>
          </w:tcPr>
          <w:p>
            <w:pPr>
              <w:adjustRightInd w:val="0"/>
              <w:snapToGrid w:val="0"/>
              <w:jc w:val="center"/>
              <w:rPr>
                <w:sz w:val="24"/>
              </w:rPr>
            </w:pPr>
            <w:r>
              <w:rPr>
                <w:sz w:val="24"/>
              </w:rPr>
              <w:t>执行《建筑施工场界环境噪声排放标准》（GB12523-2011）标准限值</w:t>
            </w:r>
          </w:p>
        </w:tc>
        <w:tc>
          <w:tcPr>
            <w:tcW w:w="938" w:type="pct"/>
            <w:tcBorders>
              <w:tl2br w:val="nil"/>
              <w:tr2bl w:val="nil"/>
            </w:tcBorders>
            <w:vAlign w:val="center"/>
          </w:tcPr>
          <w:p>
            <w:pPr>
              <w:adjustRightInd w:val="0"/>
              <w:snapToGrid w:val="0"/>
              <w:jc w:val="center"/>
              <w:rPr>
                <w:sz w:val="24"/>
              </w:rPr>
            </w:pPr>
            <w:r>
              <w:rPr>
                <w:sz w:val="24"/>
              </w:rPr>
              <w:t>采取基础减振等措施</w:t>
            </w:r>
            <w:r>
              <w:rPr>
                <w:rFonts w:hint="eastAsia"/>
                <w:sz w:val="24"/>
              </w:rPr>
              <w:t>；在靠近居民一侧厂界种植绿化及加装围墙等降噪措施</w:t>
            </w:r>
          </w:p>
        </w:tc>
        <w:tc>
          <w:tcPr>
            <w:tcW w:w="938" w:type="pct"/>
            <w:tcBorders>
              <w:tl2br w:val="nil"/>
              <w:tr2bl w:val="nil"/>
            </w:tcBorders>
            <w:vAlign w:val="center"/>
          </w:tcPr>
          <w:p>
            <w:pPr>
              <w:adjustRightInd w:val="0"/>
              <w:snapToGrid w:val="0"/>
              <w:jc w:val="center"/>
              <w:rPr>
                <w:sz w:val="24"/>
              </w:rPr>
            </w:pPr>
            <w:r>
              <w:rPr>
                <w:rFonts w:hint="eastAsia"/>
                <w:sz w:val="24"/>
              </w:rPr>
              <w:t>执行</w:t>
            </w:r>
            <w:r>
              <w:rPr>
                <w:sz w:val="24"/>
              </w:rPr>
              <w:t>《工业企业厂界环境噪声排放标准》（GB12348-2008）2类标准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247" w:type="pct"/>
            <w:tcBorders>
              <w:tl2br w:val="nil"/>
              <w:tr2bl w:val="nil"/>
            </w:tcBorders>
            <w:vAlign w:val="center"/>
          </w:tcPr>
          <w:p>
            <w:pPr>
              <w:adjustRightInd w:val="0"/>
              <w:snapToGrid w:val="0"/>
              <w:jc w:val="center"/>
              <w:rPr>
                <w:sz w:val="24"/>
              </w:rPr>
            </w:pPr>
            <w:r>
              <w:rPr>
                <w:sz w:val="24"/>
              </w:rPr>
              <w:t>振动</w:t>
            </w:r>
          </w:p>
        </w:tc>
        <w:tc>
          <w:tcPr>
            <w:tcW w:w="938" w:type="pct"/>
            <w:tcBorders>
              <w:tl2br w:val="nil"/>
              <w:tr2bl w:val="nil"/>
            </w:tcBorders>
            <w:vAlign w:val="center"/>
          </w:tcPr>
          <w:p>
            <w:pPr>
              <w:adjustRightInd w:val="0"/>
              <w:snapToGrid w:val="0"/>
              <w:jc w:val="center"/>
              <w:rPr>
                <w:sz w:val="24"/>
              </w:rPr>
            </w:pPr>
            <w:r>
              <w:rPr>
                <w:rFonts w:hint="eastAsia"/>
                <w:sz w:val="24"/>
              </w:rPr>
              <w:t>/</w:t>
            </w:r>
          </w:p>
        </w:tc>
        <w:tc>
          <w:tcPr>
            <w:tcW w:w="938" w:type="pct"/>
            <w:tcBorders>
              <w:tl2br w:val="nil"/>
              <w:tr2bl w:val="nil"/>
            </w:tcBorders>
            <w:vAlign w:val="center"/>
          </w:tcPr>
          <w:p>
            <w:pPr>
              <w:adjustRightInd w:val="0"/>
              <w:snapToGrid w:val="0"/>
              <w:jc w:val="center"/>
              <w:rPr>
                <w:sz w:val="24"/>
              </w:rPr>
            </w:pPr>
            <w:r>
              <w:rPr>
                <w:rFonts w:hint="eastAsia"/>
                <w:sz w:val="24"/>
              </w:rPr>
              <w:t>/</w:t>
            </w:r>
          </w:p>
        </w:tc>
        <w:tc>
          <w:tcPr>
            <w:tcW w:w="938" w:type="pct"/>
            <w:tcBorders>
              <w:tl2br w:val="nil"/>
              <w:tr2bl w:val="nil"/>
            </w:tcBorders>
            <w:vAlign w:val="center"/>
          </w:tcPr>
          <w:p>
            <w:pPr>
              <w:adjustRightInd w:val="0"/>
              <w:snapToGrid w:val="0"/>
              <w:jc w:val="center"/>
              <w:rPr>
                <w:sz w:val="24"/>
              </w:rPr>
            </w:pPr>
            <w:r>
              <w:rPr>
                <w:rFonts w:hint="eastAsia"/>
                <w:sz w:val="24"/>
              </w:rPr>
              <w:t>/</w:t>
            </w:r>
          </w:p>
        </w:tc>
        <w:tc>
          <w:tcPr>
            <w:tcW w:w="938" w:type="pct"/>
            <w:tcBorders>
              <w:tl2br w:val="nil"/>
              <w:tr2bl w:val="nil"/>
            </w:tcBorders>
            <w:vAlign w:val="center"/>
          </w:tcPr>
          <w:p>
            <w:pPr>
              <w:adjustRightInd w:val="0"/>
              <w:snapToGrid w:val="0"/>
              <w:jc w:val="center"/>
              <w:rPr>
                <w:sz w:val="24"/>
              </w:rPr>
            </w:pPr>
            <w:r>
              <w:rPr>
                <w:rFonts w:hint="eastAsia"/>
                <w:sz w:val="24"/>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247" w:type="pct"/>
            <w:tcBorders>
              <w:tl2br w:val="nil"/>
              <w:tr2bl w:val="nil"/>
            </w:tcBorders>
            <w:vAlign w:val="center"/>
          </w:tcPr>
          <w:p>
            <w:pPr>
              <w:adjustRightInd w:val="0"/>
              <w:snapToGrid w:val="0"/>
              <w:jc w:val="center"/>
              <w:rPr>
                <w:sz w:val="24"/>
              </w:rPr>
            </w:pPr>
            <w:r>
              <w:rPr>
                <w:sz w:val="24"/>
              </w:rPr>
              <w:t>大气环境</w:t>
            </w:r>
          </w:p>
        </w:tc>
        <w:tc>
          <w:tcPr>
            <w:tcW w:w="938" w:type="pct"/>
            <w:tcBorders>
              <w:tl2br w:val="nil"/>
              <w:tr2bl w:val="nil"/>
            </w:tcBorders>
            <w:vAlign w:val="center"/>
          </w:tcPr>
          <w:p>
            <w:pPr>
              <w:adjustRightInd w:val="0"/>
              <w:snapToGrid w:val="0"/>
              <w:jc w:val="center"/>
              <w:rPr>
                <w:sz w:val="24"/>
              </w:rPr>
            </w:pPr>
            <w:r>
              <w:rPr>
                <w:sz w:val="24"/>
              </w:rPr>
              <w:t>避开大风天气施工</w:t>
            </w:r>
            <w:r>
              <w:rPr>
                <w:rFonts w:hint="eastAsia"/>
                <w:sz w:val="24"/>
              </w:rPr>
              <w:t>；</w:t>
            </w:r>
            <w:r>
              <w:rPr>
                <w:sz w:val="24"/>
              </w:rPr>
              <w:t>采取洒水降尘等措施</w:t>
            </w:r>
            <w:r>
              <w:rPr>
                <w:rFonts w:hint="eastAsia"/>
                <w:sz w:val="24"/>
              </w:rPr>
              <w:t>；加强运输车辆管理</w:t>
            </w:r>
          </w:p>
        </w:tc>
        <w:tc>
          <w:tcPr>
            <w:tcW w:w="938" w:type="pct"/>
            <w:tcBorders>
              <w:tl2br w:val="nil"/>
              <w:tr2bl w:val="nil"/>
            </w:tcBorders>
            <w:vAlign w:val="center"/>
          </w:tcPr>
          <w:p>
            <w:pPr>
              <w:adjustRightInd w:val="0"/>
              <w:snapToGrid w:val="0"/>
              <w:jc w:val="center"/>
              <w:rPr>
                <w:sz w:val="24"/>
              </w:rPr>
            </w:pPr>
            <w:r>
              <w:rPr>
                <w:sz w:val="24"/>
              </w:rPr>
              <w:t>影响降低到最小</w:t>
            </w:r>
          </w:p>
        </w:tc>
        <w:tc>
          <w:tcPr>
            <w:tcW w:w="938" w:type="pct"/>
            <w:tcBorders>
              <w:tl2br w:val="nil"/>
              <w:tr2bl w:val="nil"/>
            </w:tcBorders>
            <w:vAlign w:val="center"/>
          </w:tcPr>
          <w:p>
            <w:pPr>
              <w:adjustRightInd w:val="0"/>
              <w:snapToGrid w:val="0"/>
              <w:jc w:val="center"/>
              <w:rPr>
                <w:sz w:val="24"/>
              </w:rPr>
            </w:pPr>
            <w:r>
              <w:rPr>
                <w:sz w:val="24"/>
              </w:rPr>
              <w:t>在厂区内定期喷洒除臭剂</w:t>
            </w:r>
          </w:p>
        </w:tc>
        <w:tc>
          <w:tcPr>
            <w:tcW w:w="938" w:type="pct"/>
            <w:tcBorders>
              <w:tl2br w:val="nil"/>
              <w:tr2bl w:val="nil"/>
            </w:tcBorders>
            <w:vAlign w:val="center"/>
          </w:tcPr>
          <w:p>
            <w:pPr>
              <w:adjustRightInd w:val="0"/>
              <w:snapToGrid w:val="0"/>
              <w:jc w:val="center"/>
              <w:rPr>
                <w:sz w:val="24"/>
              </w:rPr>
            </w:pPr>
            <w:r>
              <w:rPr>
                <w:rFonts w:hint="eastAsia"/>
                <w:sz w:val="24"/>
              </w:rPr>
              <w:t>执行《恶臭污染物排放标准》（GB14554-93）恶臭污染物厂界标准值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247" w:type="pct"/>
            <w:tcBorders>
              <w:tl2br w:val="nil"/>
              <w:tr2bl w:val="nil"/>
            </w:tcBorders>
            <w:vAlign w:val="center"/>
          </w:tcPr>
          <w:p>
            <w:pPr>
              <w:adjustRightInd w:val="0"/>
              <w:snapToGrid w:val="0"/>
              <w:jc w:val="center"/>
              <w:rPr>
                <w:sz w:val="24"/>
              </w:rPr>
            </w:pPr>
            <w:r>
              <w:rPr>
                <w:sz w:val="24"/>
              </w:rPr>
              <w:t>固体废物</w:t>
            </w:r>
          </w:p>
        </w:tc>
        <w:tc>
          <w:tcPr>
            <w:tcW w:w="938" w:type="pct"/>
            <w:tcBorders>
              <w:tl2br w:val="nil"/>
              <w:tr2bl w:val="nil"/>
            </w:tcBorders>
            <w:vAlign w:val="center"/>
          </w:tcPr>
          <w:p>
            <w:pPr>
              <w:adjustRightInd w:val="0"/>
              <w:snapToGrid w:val="0"/>
              <w:jc w:val="center"/>
              <w:rPr>
                <w:sz w:val="24"/>
              </w:rPr>
            </w:pPr>
            <w:r>
              <w:rPr>
                <w:sz w:val="24"/>
              </w:rPr>
              <w:t>及时清运到城建部门指定的建筑垃圾堆放点堆放</w:t>
            </w:r>
            <w:r>
              <w:rPr>
                <w:rFonts w:hint="eastAsia"/>
                <w:sz w:val="24"/>
              </w:rPr>
              <w:t>；收集的生活垃圾交环卫部门处置</w:t>
            </w:r>
          </w:p>
        </w:tc>
        <w:tc>
          <w:tcPr>
            <w:tcW w:w="938" w:type="pct"/>
            <w:tcBorders>
              <w:tl2br w:val="nil"/>
              <w:tr2bl w:val="nil"/>
            </w:tcBorders>
            <w:vAlign w:val="center"/>
          </w:tcPr>
          <w:p>
            <w:pPr>
              <w:adjustRightInd w:val="0"/>
              <w:snapToGrid w:val="0"/>
              <w:jc w:val="center"/>
              <w:rPr>
                <w:sz w:val="24"/>
              </w:rPr>
            </w:pPr>
            <w:r>
              <w:rPr>
                <w:sz w:val="24"/>
              </w:rPr>
              <w:t>影响降低到最小</w:t>
            </w:r>
          </w:p>
        </w:tc>
        <w:tc>
          <w:tcPr>
            <w:tcW w:w="938" w:type="pct"/>
            <w:tcBorders>
              <w:tl2br w:val="nil"/>
              <w:tr2bl w:val="nil"/>
            </w:tcBorders>
            <w:vAlign w:val="center"/>
          </w:tcPr>
          <w:p>
            <w:pPr>
              <w:adjustRightInd w:val="0"/>
              <w:snapToGrid w:val="0"/>
              <w:jc w:val="center"/>
              <w:rPr>
                <w:sz w:val="24"/>
              </w:rPr>
            </w:pPr>
            <w:r>
              <w:rPr>
                <w:sz w:val="24"/>
              </w:rPr>
              <w:t>废饲料包装袋：收集后作为回收废品外卖</w:t>
            </w:r>
            <w:r>
              <w:rPr>
                <w:rFonts w:hint="eastAsia"/>
                <w:sz w:val="24"/>
              </w:rPr>
              <w:t>；病死蛙：少量用于喂鱼，其余的使用安全填埋井进行填埋；废弃网：收集后作为回收废品外卖；沉淀池淤泥：自然干化后由当地农民清运至果林种树；生活垃圾：由环卫部门运往城市生活垃圾填埋场进行集中处理</w:t>
            </w:r>
          </w:p>
        </w:tc>
        <w:tc>
          <w:tcPr>
            <w:tcW w:w="938" w:type="pct"/>
            <w:tcBorders>
              <w:tl2br w:val="nil"/>
              <w:tr2bl w:val="nil"/>
            </w:tcBorders>
            <w:vAlign w:val="center"/>
          </w:tcPr>
          <w:p>
            <w:pPr>
              <w:adjustRightInd w:val="0"/>
              <w:snapToGrid w:val="0"/>
              <w:jc w:val="center"/>
              <w:rPr>
                <w:sz w:val="24"/>
              </w:rPr>
            </w:pPr>
            <w:r>
              <w:rPr>
                <w:sz w:val="24"/>
              </w:rPr>
              <w:t>一般固体废物执行《一般工业废物储存、处置场污染控制标准》（GB18599-2020）；生活垃圾执行《生活垃圾填埋场污染控制标准》（GB16889-2008）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247" w:type="pct"/>
            <w:tcBorders>
              <w:tl2br w:val="nil"/>
              <w:tr2bl w:val="nil"/>
            </w:tcBorders>
            <w:vAlign w:val="center"/>
          </w:tcPr>
          <w:p>
            <w:pPr>
              <w:adjustRightInd w:val="0"/>
              <w:snapToGrid w:val="0"/>
              <w:jc w:val="center"/>
              <w:rPr>
                <w:sz w:val="24"/>
              </w:rPr>
            </w:pPr>
            <w:r>
              <w:rPr>
                <w:sz w:val="24"/>
              </w:rPr>
              <w:t>电磁环境</w:t>
            </w:r>
          </w:p>
        </w:tc>
        <w:tc>
          <w:tcPr>
            <w:tcW w:w="938" w:type="pct"/>
            <w:tcBorders>
              <w:tl2br w:val="nil"/>
              <w:tr2bl w:val="nil"/>
            </w:tcBorders>
            <w:vAlign w:val="center"/>
          </w:tcPr>
          <w:p>
            <w:pPr>
              <w:adjustRightInd w:val="0"/>
              <w:snapToGrid w:val="0"/>
              <w:jc w:val="center"/>
              <w:rPr>
                <w:sz w:val="24"/>
              </w:rPr>
            </w:pPr>
            <w:r>
              <w:rPr>
                <w:rFonts w:hint="eastAsia"/>
                <w:sz w:val="24"/>
              </w:rPr>
              <w:t>/</w:t>
            </w:r>
          </w:p>
        </w:tc>
        <w:tc>
          <w:tcPr>
            <w:tcW w:w="938" w:type="pct"/>
            <w:tcBorders>
              <w:tl2br w:val="nil"/>
              <w:tr2bl w:val="nil"/>
            </w:tcBorders>
            <w:vAlign w:val="center"/>
          </w:tcPr>
          <w:p>
            <w:pPr>
              <w:adjustRightInd w:val="0"/>
              <w:snapToGrid w:val="0"/>
              <w:jc w:val="center"/>
              <w:rPr>
                <w:sz w:val="24"/>
              </w:rPr>
            </w:pPr>
            <w:r>
              <w:rPr>
                <w:rFonts w:hint="eastAsia"/>
                <w:sz w:val="24"/>
              </w:rPr>
              <w:t>/</w:t>
            </w:r>
          </w:p>
        </w:tc>
        <w:tc>
          <w:tcPr>
            <w:tcW w:w="938" w:type="pct"/>
            <w:tcBorders>
              <w:tl2br w:val="nil"/>
              <w:tr2bl w:val="nil"/>
            </w:tcBorders>
            <w:vAlign w:val="center"/>
          </w:tcPr>
          <w:p>
            <w:pPr>
              <w:adjustRightInd w:val="0"/>
              <w:snapToGrid w:val="0"/>
              <w:jc w:val="center"/>
              <w:rPr>
                <w:sz w:val="24"/>
              </w:rPr>
            </w:pPr>
            <w:r>
              <w:rPr>
                <w:rFonts w:hint="eastAsia"/>
                <w:sz w:val="24"/>
              </w:rPr>
              <w:t>/</w:t>
            </w:r>
          </w:p>
        </w:tc>
        <w:tc>
          <w:tcPr>
            <w:tcW w:w="938" w:type="pct"/>
            <w:tcBorders>
              <w:tl2br w:val="nil"/>
              <w:tr2bl w:val="nil"/>
            </w:tcBorders>
            <w:vAlign w:val="center"/>
          </w:tcPr>
          <w:p>
            <w:pPr>
              <w:adjustRightInd w:val="0"/>
              <w:snapToGrid w:val="0"/>
              <w:jc w:val="center"/>
              <w:rPr>
                <w:sz w:val="24"/>
              </w:rPr>
            </w:pPr>
            <w:r>
              <w:rPr>
                <w:rFonts w:hint="eastAsia"/>
                <w:sz w:val="24"/>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247" w:type="pct"/>
            <w:tcBorders>
              <w:tl2br w:val="nil"/>
              <w:tr2bl w:val="nil"/>
            </w:tcBorders>
            <w:vAlign w:val="center"/>
          </w:tcPr>
          <w:p>
            <w:pPr>
              <w:adjustRightInd w:val="0"/>
              <w:snapToGrid w:val="0"/>
              <w:jc w:val="center"/>
              <w:rPr>
                <w:sz w:val="24"/>
              </w:rPr>
            </w:pPr>
            <w:r>
              <w:rPr>
                <w:sz w:val="24"/>
              </w:rPr>
              <w:t>环境风险</w:t>
            </w:r>
          </w:p>
        </w:tc>
        <w:tc>
          <w:tcPr>
            <w:tcW w:w="938" w:type="pct"/>
            <w:tcBorders>
              <w:tl2br w:val="nil"/>
              <w:tr2bl w:val="nil"/>
            </w:tcBorders>
            <w:vAlign w:val="center"/>
          </w:tcPr>
          <w:p>
            <w:pPr>
              <w:adjustRightInd w:val="0"/>
              <w:snapToGrid w:val="0"/>
              <w:jc w:val="center"/>
              <w:rPr>
                <w:sz w:val="24"/>
              </w:rPr>
            </w:pPr>
            <w:r>
              <w:rPr>
                <w:rFonts w:hint="eastAsia"/>
                <w:sz w:val="24"/>
              </w:rPr>
              <w:t>/</w:t>
            </w:r>
          </w:p>
        </w:tc>
        <w:tc>
          <w:tcPr>
            <w:tcW w:w="938" w:type="pct"/>
            <w:tcBorders>
              <w:tl2br w:val="nil"/>
              <w:tr2bl w:val="nil"/>
            </w:tcBorders>
            <w:vAlign w:val="center"/>
          </w:tcPr>
          <w:p>
            <w:pPr>
              <w:adjustRightInd w:val="0"/>
              <w:snapToGrid w:val="0"/>
              <w:jc w:val="center"/>
              <w:rPr>
                <w:sz w:val="24"/>
              </w:rPr>
            </w:pPr>
            <w:r>
              <w:rPr>
                <w:rFonts w:hint="eastAsia"/>
                <w:sz w:val="24"/>
              </w:rPr>
              <w:t>/</w:t>
            </w:r>
          </w:p>
        </w:tc>
        <w:tc>
          <w:tcPr>
            <w:tcW w:w="938" w:type="pct"/>
            <w:tcBorders>
              <w:tl2br w:val="nil"/>
              <w:tr2bl w:val="nil"/>
            </w:tcBorders>
            <w:vAlign w:val="center"/>
          </w:tcPr>
          <w:p>
            <w:pPr>
              <w:adjustRightInd w:val="0"/>
              <w:snapToGrid w:val="0"/>
              <w:jc w:val="center"/>
              <w:rPr>
                <w:sz w:val="24"/>
              </w:rPr>
            </w:pPr>
            <w:r>
              <w:rPr>
                <w:rFonts w:hint="eastAsia"/>
                <w:sz w:val="24"/>
              </w:rPr>
              <w:t>/</w:t>
            </w:r>
          </w:p>
        </w:tc>
        <w:tc>
          <w:tcPr>
            <w:tcW w:w="938" w:type="pct"/>
            <w:tcBorders>
              <w:tl2br w:val="nil"/>
              <w:tr2bl w:val="nil"/>
            </w:tcBorders>
            <w:vAlign w:val="center"/>
          </w:tcPr>
          <w:p>
            <w:pPr>
              <w:adjustRightInd w:val="0"/>
              <w:snapToGrid w:val="0"/>
              <w:jc w:val="center"/>
              <w:rPr>
                <w:sz w:val="24"/>
              </w:rPr>
            </w:pPr>
            <w:r>
              <w:rPr>
                <w:rFonts w:hint="eastAsia"/>
                <w:sz w:val="24"/>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247" w:type="pct"/>
            <w:tcBorders>
              <w:tl2br w:val="nil"/>
              <w:tr2bl w:val="nil"/>
            </w:tcBorders>
            <w:vAlign w:val="center"/>
          </w:tcPr>
          <w:p>
            <w:pPr>
              <w:adjustRightInd w:val="0"/>
              <w:snapToGrid w:val="0"/>
              <w:jc w:val="center"/>
              <w:rPr>
                <w:sz w:val="24"/>
              </w:rPr>
            </w:pPr>
            <w:r>
              <w:rPr>
                <w:sz w:val="24"/>
              </w:rPr>
              <w:t>环境监测</w:t>
            </w:r>
          </w:p>
        </w:tc>
        <w:tc>
          <w:tcPr>
            <w:tcW w:w="938" w:type="pct"/>
            <w:tcBorders>
              <w:tl2br w:val="nil"/>
              <w:tr2bl w:val="nil"/>
            </w:tcBorders>
            <w:vAlign w:val="center"/>
          </w:tcPr>
          <w:p>
            <w:pPr>
              <w:adjustRightInd w:val="0"/>
              <w:snapToGrid w:val="0"/>
              <w:jc w:val="center"/>
              <w:rPr>
                <w:sz w:val="24"/>
              </w:rPr>
            </w:pPr>
            <w:r>
              <w:rPr>
                <w:rFonts w:hint="eastAsia"/>
                <w:sz w:val="24"/>
              </w:rPr>
              <w:t>/</w:t>
            </w:r>
          </w:p>
        </w:tc>
        <w:tc>
          <w:tcPr>
            <w:tcW w:w="938" w:type="pct"/>
            <w:tcBorders>
              <w:tl2br w:val="nil"/>
              <w:tr2bl w:val="nil"/>
            </w:tcBorders>
            <w:vAlign w:val="center"/>
          </w:tcPr>
          <w:p>
            <w:pPr>
              <w:adjustRightInd w:val="0"/>
              <w:snapToGrid w:val="0"/>
              <w:jc w:val="center"/>
              <w:rPr>
                <w:sz w:val="24"/>
              </w:rPr>
            </w:pPr>
            <w:r>
              <w:rPr>
                <w:rFonts w:hint="eastAsia"/>
                <w:sz w:val="24"/>
              </w:rPr>
              <w:t>/</w:t>
            </w:r>
          </w:p>
        </w:tc>
        <w:tc>
          <w:tcPr>
            <w:tcW w:w="938" w:type="pct"/>
            <w:tcBorders>
              <w:tl2br w:val="nil"/>
              <w:tr2bl w:val="nil"/>
            </w:tcBorders>
            <w:vAlign w:val="center"/>
          </w:tcPr>
          <w:p>
            <w:pPr>
              <w:adjustRightInd w:val="0"/>
              <w:snapToGrid w:val="0"/>
              <w:jc w:val="center"/>
              <w:rPr>
                <w:sz w:val="24"/>
              </w:rPr>
            </w:pPr>
            <w:r>
              <w:rPr>
                <w:rFonts w:hint="eastAsia"/>
                <w:sz w:val="24"/>
              </w:rPr>
              <w:t>/</w:t>
            </w:r>
          </w:p>
        </w:tc>
        <w:tc>
          <w:tcPr>
            <w:tcW w:w="938" w:type="pct"/>
            <w:tcBorders>
              <w:tl2br w:val="nil"/>
              <w:tr2bl w:val="nil"/>
            </w:tcBorders>
            <w:vAlign w:val="center"/>
          </w:tcPr>
          <w:p>
            <w:pPr>
              <w:adjustRightInd w:val="0"/>
              <w:snapToGrid w:val="0"/>
              <w:jc w:val="center"/>
              <w:rPr>
                <w:sz w:val="24"/>
              </w:rPr>
            </w:pPr>
            <w:r>
              <w:rPr>
                <w:rFonts w:hint="eastAsia"/>
                <w:sz w:val="24"/>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247" w:type="pct"/>
            <w:tcBorders>
              <w:tl2br w:val="nil"/>
              <w:tr2bl w:val="nil"/>
            </w:tcBorders>
            <w:vAlign w:val="center"/>
          </w:tcPr>
          <w:p>
            <w:pPr>
              <w:adjustRightInd w:val="0"/>
              <w:snapToGrid w:val="0"/>
              <w:jc w:val="center"/>
              <w:rPr>
                <w:sz w:val="24"/>
              </w:rPr>
            </w:pPr>
            <w:r>
              <w:rPr>
                <w:sz w:val="24"/>
              </w:rPr>
              <w:t>其他</w:t>
            </w:r>
          </w:p>
        </w:tc>
        <w:tc>
          <w:tcPr>
            <w:tcW w:w="938" w:type="pct"/>
            <w:tcBorders>
              <w:tl2br w:val="nil"/>
              <w:tr2bl w:val="nil"/>
            </w:tcBorders>
            <w:vAlign w:val="center"/>
          </w:tcPr>
          <w:p>
            <w:pPr>
              <w:adjustRightInd w:val="0"/>
              <w:snapToGrid w:val="0"/>
              <w:jc w:val="center"/>
              <w:rPr>
                <w:sz w:val="24"/>
              </w:rPr>
            </w:pPr>
            <w:r>
              <w:rPr>
                <w:rFonts w:hint="eastAsia"/>
                <w:sz w:val="24"/>
              </w:rPr>
              <w:t>/</w:t>
            </w:r>
          </w:p>
        </w:tc>
        <w:tc>
          <w:tcPr>
            <w:tcW w:w="938" w:type="pct"/>
            <w:tcBorders>
              <w:tl2br w:val="nil"/>
              <w:tr2bl w:val="nil"/>
            </w:tcBorders>
            <w:vAlign w:val="center"/>
          </w:tcPr>
          <w:p>
            <w:pPr>
              <w:adjustRightInd w:val="0"/>
              <w:snapToGrid w:val="0"/>
              <w:jc w:val="center"/>
              <w:rPr>
                <w:sz w:val="24"/>
              </w:rPr>
            </w:pPr>
            <w:r>
              <w:rPr>
                <w:rFonts w:hint="eastAsia"/>
                <w:sz w:val="24"/>
              </w:rPr>
              <w:t>/</w:t>
            </w:r>
          </w:p>
        </w:tc>
        <w:tc>
          <w:tcPr>
            <w:tcW w:w="938" w:type="pct"/>
            <w:tcBorders>
              <w:tl2br w:val="nil"/>
              <w:tr2bl w:val="nil"/>
            </w:tcBorders>
            <w:vAlign w:val="center"/>
          </w:tcPr>
          <w:p>
            <w:pPr>
              <w:adjustRightInd w:val="0"/>
              <w:snapToGrid w:val="0"/>
              <w:jc w:val="center"/>
              <w:rPr>
                <w:sz w:val="24"/>
              </w:rPr>
            </w:pPr>
            <w:r>
              <w:rPr>
                <w:rFonts w:hint="eastAsia"/>
                <w:sz w:val="24"/>
              </w:rPr>
              <w:t>/</w:t>
            </w:r>
          </w:p>
        </w:tc>
        <w:tc>
          <w:tcPr>
            <w:tcW w:w="938" w:type="pct"/>
            <w:tcBorders>
              <w:tl2br w:val="nil"/>
              <w:tr2bl w:val="nil"/>
            </w:tcBorders>
            <w:vAlign w:val="center"/>
          </w:tcPr>
          <w:p>
            <w:pPr>
              <w:adjustRightInd w:val="0"/>
              <w:snapToGrid w:val="0"/>
              <w:jc w:val="center"/>
              <w:rPr>
                <w:sz w:val="24"/>
              </w:rPr>
            </w:pPr>
            <w:r>
              <w:rPr>
                <w:rFonts w:hint="eastAsia"/>
                <w:sz w:val="24"/>
              </w:rPr>
              <w:t>/</w:t>
            </w:r>
          </w:p>
        </w:tc>
      </w:tr>
    </w:tbl>
    <w:p>
      <w:pPr>
        <w:pStyle w:val="22"/>
        <w:jc w:val="center"/>
        <w:rPr>
          <w:rFonts w:ascii="Times New Roman" w:hAnsi="Times New Roman"/>
          <w:snapToGrid w:val="0"/>
          <w:sz w:val="30"/>
          <w:szCs w:val="30"/>
        </w:rPr>
      </w:pPr>
    </w:p>
    <w:p>
      <w:pPr>
        <w:pStyle w:val="22"/>
        <w:adjustRightInd w:val="0"/>
        <w:snapToGrid w:val="0"/>
        <w:spacing w:before="0" w:beforeAutospacing="0" w:after="0" w:afterAutospacing="0"/>
        <w:jc w:val="center"/>
        <w:outlineLvl w:val="0"/>
        <w:rPr>
          <w:rFonts w:ascii="Times New Roman" w:hAnsi="Times New Roman"/>
          <w:snapToGrid w:val="0"/>
          <w:sz w:val="30"/>
          <w:szCs w:val="30"/>
        </w:rPr>
      </w:pPr>
      <w:r>
        <w:rPr>
          <w:rFonts w:ascii="Times New Roman" w:hAnsi="Times New Roman"/>
          <w:snapToGrid w:val="0"/>
          <w:sz w:val="30"/>
          <w:szCs w:val="30"/>
        </w:rPr>
        <w:br w:type="page"/>
      </w:r>
      <w:bookmarkStart w:id="29" w:name="_Toc30086"/>
      <w:r>
        <w:rPr>
          <w:rFonts w:ascii="Times New Roman" w:hAnsi="Times New Roman"/>
          <w:b/>
          <w:bCs/>
          <w:snapToGrid w:val="0"/>
          <w:sz w:val="30"/>
          <w:szCs w:val="30"/>
        </w:rPr>
        <w:t>七、结论</w:t>
      </w:r>
      <w:bookmarkEnd w:id="29"/>
    </w:p>
    <w:tbl>
      <w:tblPr>
        <w:tblStyle w:val="24"/>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12349" w:hRule="atLeast"/>
          <w:jc w:val="center"/>
        </w:trPr>
        <w:tc>
          <w:tcPr>
            <w:tcW w:w="5000" w:type="pct"/>
            <w:tcBorders>
              <w:tl2br w:val="nil"/>
              <w:tr2bl w:val="nil"/>
            </w:tcBorders>
          </w:tcPr>
          <w:p>
            <w:pPr>
              <w:adjustRightInd w:val="0"/>
              <w:snapToGrid w:val="0"/>
              <w:spacing w:line="360" w:lineRule="auto"/>
              <w:ind w:firstLine="480" w:firstLineChars="200"/>
              <w:rPr>
                <w:szCs w:val="21"/>
              </w:rPr>
            </w:pPr>
            <w:r>
              <w:rPr>
                <w:sz w:val="24"/>
                <w:szCs w:val="22"/>
              </w:rPr>
              <w:t>综上所述，本项目符合国家产业政策，选址合理，无明显制约因素,拟采取的环保措施可行，废水、废气、噪声可达标排放，固废可妥善处置，环境风险可控，并将产生较好的社会效益和经济效益。因此，从环境保护角度而言，该项目的建设可行。</w:t>
            </w:r>
          </w:p>
        </w:tc>
      </w:tr>
    </w:tbl>
    <w:p/>
    <w:p>
      <w:pPr>
        <w:adjustRightInd w:val="0"/>
        <w:snapToGrid w:val="0"/>
        <w:spacing w:before="192" w:beforeLines="80"/>
      </w:pPr>
    </w:p>
    <w:sectPr>
      <w:pgSz w:w="11906" w:h="16838"/>
      <w:pgMar w:top="1440" w:right="1800" w:bottom="1440" w:left="1800" w:header="851" w:footer="1077"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urier New">
    <w:panose1 w:val="02070309020205020404"/>
    <w:charset w:val="00"/>
    <w:family w:val="modern"/>
    <w:pitch w:val="default"/>
    <w:sig w:usb0="E0002AFF" w:usb1="C0007843" w:usb2="00000009" w:usb3="00000000" w:csb0="400001FF" w:csb1="FFFF0000"/>
  </w:font>
  <w:font w:name="仿宋_GB2312">
    <w:altName w:val="仿宋"/>
    <w:panose1 w:val="00000000000000000000"/>
    <w:charset w:val="86"/>
    <w:family w:val="swiss"/>
    <w:pitch w:val="default"/>
    <w:sig w:usb0="00000000" w:usb1="00000000" w:usb2="0000000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framePr w:wrap="around" w:vAnchor="text" w:hAnchor="margin" w:xAlign="outside" w:y="1"/>
      <w:rPr>
        <w:rStyle w:val="28"/>
      </w:rPr>
    </w:pPr>
    <w:r>
      <w:rPr>
        <w:rStyle w:val="28"/>
      </w:rPr>
      <w:fldChar w:fldCharType="begin"/>
    </w:r>
    <w:r>
      <w:rPr>
        <w:rStyle w:val="28"/>
      </w:rPr>
      <w:instrText xml:space="preserve">PAGE  </w:instrText>
    </w:r>
    <w:r>
      <w:rPr>
        <w:rStyle w:val="28"/>
      </w:rPr>
      <w:fldChar w:fldCharType="end"/>
    </w:r>
  </w:p>
  <w:p>
    <w:pPr>
      <w:pStyle w:val="18"/>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8"/>
                          </w:pPr>
                          <w:r>
                            <w:fldChar w:fldCharType="begin"/>
                          </w:r>
                          <w:r>
                            <w:instrText xml:space="preserve"> PAGE  \* MERGEFORMAT </w:instrText>
                          </w:r>
                          <w:r>
                            <w:fldChar w:fldCharType="separate"/>
                          </w:r>
                          <w:r>
                            <w:t>19</w:t>
                          </w:r>
                          <w:r>
                            <w:fldChar w:fldCharType="end"/>
                          </w:r>
                        </w:p>
                      </w:txbxContent>
                    </wps:txbx>
                    <wps:bodyPr vert="horz" wrap="none" lIns="0" tIns="0" rIns="0" bIns="0" anchor="t" anchorCtr="0">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3MFtxtYBAACyAwAADgAAAAAAAAABACAAAAAe&#10;AQAAZHJzL2Uyb0RvYy54bWxQSwUGAAAAAAYABgBZAQAAZgUAAAAA&#10;">
              <v:fill on="f" focussize="0,0"/>
              <v:stroke on="f"/>
              <v:imagedata o:title=""/>
              <o:lock v:ext="edit" aspectratio="f"/>
              <v:textbox inset="0mm,0mm,0mm,0mm" style="mso-fit-shape-to-text:t;">
                <w:txbxContent>
                  <w:p>
                    <w:pPr>
                      <w:pStyle w:val="18"/>
                    </w:pPr>
                    <w:r>
                      <w:fldChar w:fldCharType="begin"/>
                    </w:r>
                    <w:r>
                      <w:instrText xml:space="preserve"> PAGE  \* MERGEFORMAT </w:instrText>
                    </w:r>
                    <w:r>
                      <w:fldChar w:fldCharType="separate"/>
                    </w:r>
                    <w:r>
                      <w:t>19</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top w:val="none" w:color="auto" w:sz="0" w:space="1"/>
        <w:left w:val="none" w:color="auto" w:sz="0" w:space="4"/>
        <w:bottom w:val="none" w:color="auto" w:sz="0" w:space="1"/>
        <w:right w:val="none" w:color="auto" w:sz="0" w:space="4"/>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C5DBC0"/>
    <w:multiLevelType w:val="singleLevel"/>
    <w:tmpl w:val="ABC5DBC0"/>
    <w:lvl w:ilvl="0" w:tentative="0">
      <w:start w:val="1"/>
      <w:numFmt w:val="decimal"/>
      <w:suff w:val="nothing"/>
      <w:lvlText w:val="%1、"/>
      <w:lvlJc w:val="left"/>
    </w:lvl>
  </w:abstractNum>
  <w:abstractNum w:abstractNumId="1">
    <w:nsid w:val="ADA1230C"/>
    <w:multiLevelType w:val="singleLevel"/>
    <w:tmpl w:val="ADA1230C"/>
    <w:lvl w:ilvl="0" w:tentative="0">
      <w:start w:val="2"/>
      <w:numFmt w:val="decimal"/>
      <w:suff w:val="nothing"/>
      <w:lvlText w:val="（%1）"/>
      <w:lvlJc w:val="left"/>
    </w:lvl>
  </w:abstractNum>
  <w:abstractNum w:abstractNumId="2">
    <w:nsid w:val="B60FD82D"/>
    <w:multiLevelType w:val="singleLevel"/>
    <w:tmpl w:val="B60FD82D"/>
    <w:lvl w:ilvl="0" w:tentative="0">
      <w:start w:val="1"/>
      <w:numFmt w:val="decimal"/>
      <w:suff w:val="nothing"/>
      <w:lvlText w:val="（%1）"/>
      <w:lvlJc w:val="left"/>
      <w:pPr>
        <w:ind w:left="-564"/>
      </w:pPr>
    </w:lvl>
  </w:abstractNum>
  <w:abstractNum w:abstractNumId="3">
    <w:nsid w:val="BA012371"/>
    <w:multiLevelType w:val="singleLevel"/>
    <w:tmpl w:val="BA012371"/>
    <w:lvl w:ilvl="0" w:tentative="0">
      <w:start w:val="1"/>
      <w:numFmt w:val="decimal"/>
      <w:suff w:val="nothing"/>
      <w:lvlText w:val="（%1）"/>
      <w:lvlJc w:val="left"/>
    </w:lvl>
  </w:abstractNum>
  <w:abstractNum w:abstractNumId="4">
    <w:nsid w:val="E8384C41"/>
    <w:multiLevelType w:val="singleLevel"/>
    <w:tmpl w:val="E8384C41"/>
    <w:lvl w:ilvl="0" w:tentative="0">
      <w:start w:val="1"/>
      <w:numFmt w:val="decimal"/>
      <w:suff w:val="nothing"/>
      <w:lvlText w:val="（%1）"/>
      <w:lvlJc w:val="left"/>
    </w:lvl>
  </w:abstractNum>
  <w:abstractNum w:abstractNumId="5">
    <w:nsid w:val="0041DA27"/>
    <w:multiLevelType w:val="singleLevel"/>
    <w:tmpl w:val="0041DA27"/>
    <w:lvl w:ilvl="0" w:tentative="0">
      <w:start w:val="1"/>
      <w:numFmt w:val="lowerLetter"/>
      <w:suff w:val="nothing"/>
      <w:lvlText w:val="%1、"/>
      <w:lvlJc w:val="left"/>
    </w:lvl>
  </w:abstractNum>
  <w:abstractNum w:abstractNumId="6">
    <w:nsid w:val="19FDF3DD"/>
    <w:multiLevelType w:val="singleLevel"/>
    <w:tmpl w:val="19FDF3DD"/>
    <w:lvl w:ilvl="0" w:tentative="0">
      <w:start w:val="1"/>
      <w:numFmt w:val="bullet"/>
      <w:pStyle w:val="13"/>
      <w:lvlText w:val=""/>
      <w:lvlJc w:val="left"/>
      <w:pPr>
        <w:tabs>
          <w:tab w:val="left" w:pos="780"/>
        </w:tabs>
        <w:ind w:left="780" w:hanging="360"/>
      </w:pPr>
      <w:rPr>
        <w:rFonts w:hint="default" w:ascii="Wingdings" w:hAnsi="Wingdings"/>
      </w:rPr>
    </w:lvl>
  </w:abstractNum>
  <w:abstractNum w:abstractNumId="7">
    <w:nsid w:val="55DFF130"/>
    <w:multiLevelType w:val="singleLevel"/>
    <w:tmpl w:val="55DFF130"/>
    <w:lvl w:ilvl="0" w:tentative="0">
      <w:start w:val="1"/>
      <w:numFmt w:val="decimal"/>
      <w:suff w:val="nothing"/>
      <w:lvlText w:val="%1、"/>
      <w:lvlJc w:val="left"/>
    </w:lvl>
  </w:abstractNum>
  <w:num w:numId="1">
    <w:abstractNumId w:val="6"/>
  </w:num>
  <w:num w:numId="2">
    <w:abstractNumId w:val="0"/>
  </w:num>
  <w:num w:numId="3">
    <w:abstractNumId w:val="1"/>
  </w:num>
  <w:num w:numId="4">
    <w:abstractNumId w:val="3"/>
  </w:num>
  <w:num w:numId="5">
    <w:abstractNumId w:val="7"/>
  </w:num>
  <w:num w:numId="6">
    <w:abstractNumId w:val="4"/>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oNotHyphenateCaps/>
  <w:drawingGridHorizontalSpacing w:val="105"/>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0ZTZlNzg3ZTdlMzI2NjA4Yjk1ZTQ1MGViODEzZTEifQ=="/>
    <w:docVar w:name="KSO_WPS_MARK_KEY" w:val="168105e8-5e41-4dc3-9c65-a3d3afb6e56d"/>
  </w:docVars>
  <w:rsids>
    <w:rsidRoot w:val="00172A27"/>
    <w:rsid w:val="00001CED"/>
    <w:rsid w:val="00001E67"/>
    <w:rsid w:val="00003CD8"/>
    <w:rsid w:val="00014965"/>
    <w:rsid w:val="0001523A"/>
    <w:rsid w:val="00016ECB"/>
    <w:rsid w:val="000269F6"/>
    <w:rsid w:val="00031939"/>
    <w:rsid w:val="00032D25"/>
    <w:rsid w:val="0005219D"/>
    <w:rsid w:val="0005568F"/>
    <w:rsid w:val="0006153D"/>
    <w:rsid w:val="00061B1F"/>
    <w:rsid w:val="000664DB"/>
    <w:rsid w:val="0007127D"/>
    <w:rsid w:val="00071AE5"/>
    <w:rsid w:val="00074783"/>
    <w:rsid w:val="000801E0"/>
    <w:rsid w:val="00082A29"/>
    <w:rsid w:val="0008331D"/>
    <w:rsid w:val="00083C18"/>
    <w:rsid w:val="00092899"/>
    <w:rsid w:val="000A178E"/>
    <w:rsid w:val="000A557E"/>
    <w:rsid w:val="000B058F"/>
    <w:rsid w:val="000B693F"/>
    <w:rsid w:val="000C09AC"/>
    <w:rsid w:val="000C0A63"/>
    <w:rsid w:val="000C437E"/>
    <w:rsid w:val="000E5F16"/>
    <w:rsid w:val="000F4452"/>
    <w:rsid w:val="000F6DA1"/>
    <w:rsid w:val="000F701B"/>
    <w:rsid w:val="001056A0"/>
    <w:rsid w:val="00115279"/>
    <w:rsid w:val="00117459"/>
    <w:rsid w:val="0011749A"/>
    <w:rsid w:val="00127A68"/>
    <w:rsid w:val="00140B13"/>
    <w:rsid w:val="00141B68"/>
    <w:rsid w:val="001466DA"/>
    <w:rsid w:val="00154DE1"/>
    <w:rsid w:val="00155B40"/>
    <w:rsid w:val="00157435"/>
    <w:rsid w:val="00163EEA"/>
    <w:rsid w:val="00167A07"/>
    <w:rsid w:val="0017046A"/>
    <w:rsid w:val="001704A3"/>
    <w:rsid w:val="00172A27"/>
    <w:rsid w:val="0017504D"/>
    <w:rsid w:val="00177422"/>
    <w:rsid w:val="00184F10"/>
    <w:rsid w:val="00185546"/>
    <w:rsid w:val="0019146B"/>
    <w:rsid w:val="00194398"/>
    <w:rsid w:val="001A7D2A"/>
    <w:rsid w:val="001B574C"/>
    <w:rsid w:val="001C0AF9"/>
    <w:rsid w:val="001C155A"/>
    <w:rsid w:val="001C48C0"/>
    <w:rsid w:val="001D6726"/>
    <w:rsid w:val="001F3347"/>
    <w:rsid w:val="001F4440"/>
    <w:rsid w:val="001F69E4"/>
    <w:rsid w:val="00206A65"/>
    <w:rsid w:val="00212D31"/>
    <w:rsid w:val="002130C7"/>
    <w:rsid w:val="002218A8"/>
    <w:rsid w:val="0022306D"/>
    <w:rsid w:val="00226574"/>
    <w:rsid w:val="002278EC"/>
    <w:rsid w:val="002357C7"/>
    <w:rsid w:val="002367C4"/>
    <w:rsid w:val="0025679E"/>
    <w:rsid w:val="00260C68"/>
    <w:rsid w:val="002648B0"/>
    <w:rsid w:val="00275271"/>
    <w:rsid w:val="0027535E"/>
    <w:rsid w:val="00275AA6"/>
    <w:rsid w:val="002807D5"/>
    <w:rsid w:val="00282CCD"/>
    <w:rsid w:val="0028796A"/>
    <w:rsid w:val="002A168C"/>
    <w:rsid w:val="002A2C48"/>
    <w:rsid w:val="002A3EED"/>
    <w:rsid w:val="002A4A39"/>
    <w:rsid w:val="002A5A17"/>
    <w:rsid w:val="002A6425"/>
    <w:rsid w:val="002B49E2"/>
    <w:rsid w:val="002B7B00"/>
    <w:rsid w:val="002B7C44"/>
    <w:rsid w:val="002C1388"/>
    <w:rsid w:val="002C3C6A"/>
    <w:rsid w:val="002D42DB"/>
    <w:rsid w:val="002E1F3A"/>
    <w:rsid w:val="002E298A"/>
    <w:rsid w:val="002F02A4"/>
    <w:rsid w:val="002F272B"/>
    <w:rsid w:val="002F7C6D"/>
    <w:rsid w:val="003027E4"/>
    <w:rsid w:val="0030332C"/>
    <w:rsid w:val="00312296"/>
    <w:rsid w:val="0031340E"/>
    <w:rsid w:val="00316464"/>
    <w:rsid w:val="0032073A"/>
    <w:rsid w:val="00321D8E"/>
    <w:rsid w:val="00334996"/>
    <w:rsid w:val="00336969"/>
    <w:rsid w:val="00336C52"/>
    <w:rsid w:val="00341B3E"/>
    <w:rsid w:val="00341B42"/>
    <w:rsid w:val="00345154"/>
    <w:rsid w:val="0034560E"/>
    <w:rsid w:val="00350523"/>
    <w:rsid w:val="00352975"/>
    <w:rsid w:val="00356868"/>
    <w:rsid w:val="0036485B"/>
    <w:rsid w:val="00373B0D"/>
    <w:rsid w:val="00376988"/>
    <w:rsid w:val="00381A72"/>
    <w:rsid w:val="003A1948"/>
    <w:rsid w:val="003B152A"/>
    <w:rsid w:val="003B545B"/>
    <w:rsid w:val="003D3EE9"/>
    <w:rsid w:val="003E7681"/>
    <w:rsid w:val="003F0809"/>
    <w:rsid w:val="003F611C"/>
    <w:rsid w:val="003F755C"/>
    <w:rsid w:val="00406F01"/>
    <w:rsid w:val="00411B36"/>
    <w:rsid w:val="004121D7"/>
    <w:rsid w:val="00416D50"/>
    <w:rsid w:val="00417772"/>
    <w:rsid w:val="00420E6A"/>
    <w:rsid w:val="00433CA9"/>
    <w:rsid w:val="0043521D"/>
    <w:rsid w:val="00442024"/>
    <w:rsid w:val="0044254C"/>
    <w:rsid w:val="00443F6A"/>
    <w:rsid w:val="00450A17"/>
    <w:rsid w:val="00466321"/>
    <w:rsid w:val="004672AF"/>
    <w:rsid w:val="004727B0"/>
    <w:rsid w:val="00480247"/>
    <w:rsid w:val="0048081D"/>
    <w:rsid w:val="0048117E"/>
    <w:rsid w:val="004855F6"/>
    <w:rsid w:val="00486F0C"/>
    <w:rsid w:val="00494670"/>
    <w:rsid w:val="004A0EB4"/>
    <w:rsid w:val="004A3823"/>
    <w:rsid w:val="004A59BB"/>
    <w:rsid w:val="004B43A3"/>
    <w:rsid w:val="004B4C49"/>
    <w:rsid w:val="004B58A5"/>
    <w:rsid w:val="004B63D9"/>
    <w:rsid w:val="004C0882"/>
    <w:rsid w:val="004C55BE"/>
    <w:rsid w:val="004E5B30"/>
    <w:rsid w:val="004F0779"/>
    <w:rsid w:val="004F1230"/>
    <w:rsid w:val="004F173F"/>
    <w:rsid w:val="004F177C"/>
    <w:rsid w:val="004F2DCE"/>
    <w:rsid w:val="005039CB"/>
    <w:rsid w:val="0050558F"/>
    <w:rsid w:val="005057E0"/>
    <w:rsid w:val="00506286"/>
    <w:rsid w:val="00510813"/>
    <w:rsid w:val="00511DE0"/>
    <w:rsid w:val="00517F02"/>
    <w:rsid w:val="00524547"/>
    <w:rsid w:val="005258A2"/>
    <w:rsid w:val="00530F7C"/>
    <w:rsid w:val="00534567"/>
    <w:rsid w:val="00534F43"/>
    <w:rsid w:val="00535A84"/>
    <w:rsid w:val="00536889"/>
    <w:rsid w:val="00542E07"/>
    <w:rsid w:val="00554A7B"/>
    <w:rsid w:val="0055572C"/>
    <w:rsid w:val="0056064F"/>
    <w:rsid w:val="00561B84"/>
    <w:rsid w:val="00571D98"/>
    <w:rsid w:val="005720AE"/>
    <w:rsid w:val="0058030D"/>
    <w:rsid w:val="00582045"/>
    <w:rsid w:val="00590AE3"/>
    <w:rsid w:val="005918F1"/>
    <w:rsid w:val="005A06B7"/>
    <w:rsid w:val="005A1759"/>
    <w:rsid w:val="005D0369"/>
    <w:rsid w:val="005D53FE"/>
    <w:rsid w:val="005D7A0F"/>
    <w:rsid w:val="005E0438"/>
    <w:rsid w:val="005E1791"/>
    <w:rsid w:val="005E2CE6"/>
    <w:rsid w:val="005E6324"/>
    <w:rsid w:val="005F228B"/>
    <w:rsid w:val="005F29CD"/>
    <w:rsid w:val="005F4DFB"/>
    <w:rsid w:val="005F6CC0"/>
    <w:rsid w:val="00603E5B"/>
    <w:rsid w:val="00604BC8"/>
    <w:rsid w:val="00615B4C"/>
    <w:rsid w:val="00615B5D"/>
    <w:rsid w:val="0062146F"/>
    <w:rsid w:val="006343AF"/>
    <w:rsid w:val="0063634A"/>
    <w:rsid w:val="0064250D"/>
    <w:rsid w:val="006535EB"/>
    <w:rsid w:val="00663016"/>
    <w:rsid w:val="00674605"/>
    <w:rsid w:val="006748B8"/>
    <w:rsid w:val="0068535B"/>
    <w:rsid w:val="0068736E"/>
    <w:rsid w:val="0069290A"/>
    <w:rsid w:val="00697032"/>
    <w:rsid w:val="006975AC"/>
    <w:rsid w:val="006A15FB"/>
    <w:rsid w:val="006A72BF"/>
    <w:rsid w:val="006B332A"/>
    <w:rsid w:val="006B33BD"/>
    <w:rsid w:val="006C3F75"/>
    <w:rsid w:val="006D170E"/>
    <w:rsid w:val="006E06AF"/>
    <w:rsid w:val="006F1789"/>
    <w:rsid w:val="00706C5D"/>
    <w:rsid w:val="007118E6"/>
    <w:rsid w:val="007225C9"/>
    <w:rsid w:val="00735CD7"/>
    <w:rsid w:val="00754034"/>
    <w:rsid w:val="00754BF1"/>
    <w:rsid w:val="00755A30"/>
    <w:rsid w:val="00755E1C"/>
    <w:rsid w:val="00756556"/>
    <w:rsid w:val="0076132B"/>
    <w:rsid w:val="007623AE"/>
    <w:rsid w:val="00770B19"/>
    <w:rsid w:val="00774FA0"/>
    <w:rsid w:val="00776620"/>
    <w:rsid w:val="00777B6D"/>
    <w:rsid w:val="00784855"/>
    <w:rsid w:val="00784F39"/>
    <w:rsid w:val="0078545C"/>
    <w:rsid w:val="007906C4"/>
    <w:rsid w:val="007940EA"/>
    <w:rsid w:val="007967E8"/>
    <w:rsid w:val="007A63F2"/>
    <w:rsid w:val="007B68DE"/>
    <w:rsid w:val="007C1857"/>
    <w:rsid w:val="007C514F"/>
    <w:rsid w:val="007D0F95"/>
    <w:rsid w:val="007D7ECB"/>
    <w:rsid w:val="007E25A1"/>
    <w:rsid w:val="007E4BD2"/>
    <w:rsid w:val="007E7145"/>
    <w:rsid w:val="007F3916"/>
    <w:rsid w:val="00801179"/>
    <w:rsid w:val="00802479"/>
    <w:rsid w:val="00805372"/>
    <w:rsid w:val="00805B7B"/>
    <w:rsid w:val="0081293E"/>
    <w:rsid w:val="00814FFB"/>
    <w:rsid w:val="00820568"/>
    <w:rsid w:val="00820A49"/>
    <w:rsid w:val="00831A80"/>
    <w:rsid w:val="008332C8"/>
    <w:rsid w:val="00833743"/>
    <w:rsid w:val="008340A4"/>
    <w:rsid w:val="00836799"/>
    <w:rsid w:val="00837028"/>
    <w:rsid w:val="00837131"/>
    <w:rsid w:val="00845F57"/>
    <w:rsid w:val="008521E0"/>
    <w:rsid w:val="008525B0"/>
    <w:rsid w:val="00867CBC"/>
    <w:rsid w:val="00876C30"/>
    <w:rsid w:val="00877017"/>
    <w:rsid w:val="008773C0"/>
    <w:rsid w:val="00880364"/>
    <w:rsid w:val="00886C4C"/>
    <w:rsid w:val="0088711C"/>
    <w:rsid w:val="00892ECF"/>
    <w:rsid w:val="00892F06"/>
    <w:rsid w:val="00894285"/>
    <w:rsid w:val="008A0009"/>
    <w:rsid w:val="008A40AE"/>
    <w:rsid w:val="008A4E19"/>
    <w:rsid w:val="008A67C5"/>
    <w:rsid w:val="008B22E1"/>
    <w:rsid w:val="008B3C78"/>
    <w:rsid w:val="008B4AE9"/>
    <w:rsid w:val="008C30AD"/>
    <w:rsid w:val="008D068E"/>
    <w:rsid w:val="008D0F7A"/>
    <w:rsid w:val="008D63BE"/>
    <w:rsid w:val="008E0CFF"/>
    <w:rsid w:val="008E5D6B"/>
    <w:rsid w:val="008E689B"/>
    <w:rsid w:val="008E76F0"/>
    <w:rsid w:val="008F15FE"/>
    <w:rsid w:val="008F2A94"/>
    <w:rsid w:val="008F5187"/>
    <w:rsid w:val="008F709C"/>
    <w:rsid w:val="0090312B"/>
    <w:rsid w:val="00904961"/>
    <w:rsid w:val="0091736D"/>
    <w:rsid w:val="00931001"/>
    <w:rsid w:val="00931863"/>
    <w:rsid w:val="00933524"/>
    <w:rsid w:val="0094278D"/>
    <w:rsid w:val="0095308A"/>
    <w:rsid w:val="00955AEE"/>
    <w:rsid w:val="00956F14"/>
    <w:rsid w:val="009620FD"/>
    <w:rsid w:val="0096247A"/>
    <w:rsid w:val="00965F4B"/>
    <w:rsid w:val="00970F8A"/>
    <w:rsid w:val="00971FB5"/>
    <w:rsid w:val="00972D2A"/>
    <w:rsid w:val="00975CC5"/>
    <w:rsid w:val="00976328"/>
    <w:rsid w:val="00976B4E"/>
    <w:rsid w:val="0098333C"/>
    <w:rsid w:val="00984458"/>
    <w:rsid w:val="00985283"/>
    <w:rsid w:val="00987322"/>
    <w:rsid w:val="009A0F3B"/>
    <w:rsid w:val="009A72C7"/>
    <w:rsid w:val="009B0897"/>
    <w:rsid w:val="009D0852"/>
    <w:rsid w:val="009D1FBF"/>
    <w:rsid w:val="009E399C"/>
    <w:rsid w:val="009E43C1"/>
    <w:rsid w:val="009E7E95"/>
    <w:rsid w:val="009F116F"/>
    <w:rsid w:val="009F329E"/>
    <w:rsid w:val="009F7ED3"/>
    <w:rsid w:val="00A03607"/>
    <w:rsid w:val="00A047FF"/>
    <w:rsid w:val="00A04FEF"/>
    <w:rsid w:val="00A122CD"/>
    <w:rsid w:val="00A12A32"/>
    <w:rsid w:val="00A14248"/>
    <w:rsid w:val="00A14947"/>
    <w:rsid w:val="00A23DC5"/>
    <w:rsid w:val="00A34028"/>
    <w:rsid w:val="00A35568"/>
    <w:rsid w:val="00A37056"/>
    <w:rsid w:val="00A4358F"/>
    <w:rsid w:val="00A46F67"/>
    <w:rsid w:val="00A54AA1"/>
    <w:rsid w:val="00A568FF"/>
    <w:rsid w:val="00A61496"/>
    <w:rsid w:val="00A61833"/>
    <w:rsid w:val="00A624C6"/>
    <w:rsid w:val="00A63CEC"/>
    <w:rsid w:val="00A7031E"/>
    <w:rsid w:val="00A728B1"/>
    <w:rsid w:val="00A763DE"/>
    <w:rsid w:val="00A803D6"/>
    <w:rsid w:val="00A81282"/>
    <w:rsid w:val="00A8713F"/>
    <w:rsid w:val="00A91167"/>
    <w:rsid w:val="00A9171C"/>
    <w:rsid w:val="00A92FFD"/>
    <w:rsid w:val="00A95975"/>
    <w:rsid w:val="00A9708D"/>
    <w:rsid w:val="00AA2C17"/>
    <w:rsid w:val="00AA4172"/>
    <w:rsid w:val="00AB1914"/>
    <w:rsid w:val="00AB5330"/>
    <w:rsid w:val="00AB7747"/>
    <w:rsid w:val="00AC2532"/>
    <w:rsid w:val="00AD1507"/>
    <w:rsid w:val="00AD5A70"/>
    <w:rsid w:val="00AD738B"/>
    <w:rsid w:val="00AE1BF4"/>
    <w:rsid w:val="00AE5D97"/>
    <w:rsid w:val="00AE6794"/>
    <w:rsid w:val="00B01110"/>
    <w:rsid w:val="00B02262"/>
    <w:rsid w:val="00B03CEC"/>
    <w:rsid w:val="00B1209F"/>
    <w:rsid w:val="00B12AD0"/>
    <w:rsid w:val="00B24F30"/>
    <w:rsid w:val="00B31ABF"/>
    <w:rsid w:val="00B335AE"/>
    <w:rsid w:val="00B37CE1"/>
    <w:rsid w:val="00B40ACF"/>
    <w:rsid w:val="00B46BAA"/>
    <w:rsid w:val="00B50B5F"/>
    <w:rsid w:val="00B54128"/>
    <w:rsid w:val="00B55826"/>
    <w:rsid w:val="00B60426"/>
    <w:rsid w:val="00B622DD"/>
    <w:rsid w:val="00B63522"/>
    <w:rsid w:val="00B76F1D"/>
    <w:rsid w:val="00B92A19"/>
    <w:rsid w:val="00B9544C"/>
    <w:rsid w:val="00BA29E9"/>
    <w:rsid w:val="00BB3618"/>
    <w:rsid w:val="00BC0C9E"/>
    <w:rsid w:val="00BC32DC"/>
    <w:rsid w:val="00BD1B51"/>
    <w:rsid w:val="00BD47F6"/>
    <w:rsid w:val="00BD5517"/>
    <w:rsid w:val="00BE312D"/>
    <w:rsid w:val="00BE3FCA"/>
    <w:rsid w:val="00C05719"/>
    <w:rsid w:val="00C10578"/>
    <w:rsid w:val="00C17D62"/>
    <w:rsid w:val="00C21FDC"/>
    <w:rsid w:val="00C24EE7"/>
    <w:rsid w:val="00C2596A"/>
    <w:rsid w:val="00C271BE"/>
    <w:rsid w:val="00C27425"/>
    <w:rsid w:val="00C328FE"/>
    <w:rsid w:val="00C33A05"/>
    <w:rsid w:val="00C42500"/>
    <w:rsid w:val="00C4409D"/>
    <w:rsid w:val="00C455BE"/>
    <w:rsid w:val="00C51E5F"/>
    <w:rsid w:val="00C61E4B"/>
    <w:rsid w:val="00C62E3A"/>
    <w:rsid w:val="00C64503"/>
    <w:rsid w:val="00C64A1F"/>
    <w:rsid w:val="00C64BFF"/>
    <w:rsid w:val="00C763C9"/>
    <w:rsid w:val="00C80057"/>
    <w:rsid w:val="00C82C79"/>
    <w:rsid w:val="00C84753"/>
    <w:rsid w:val="00C91611"/>
    <w:rsid w:val="00CA3585"/>
    <w:rsid w:val="00CA3D5A"/>
    <w:rsid w:val="00CA4C7C"/>
    <w:rsid w:val="00CB0183"/>
    <w:rsid w:val="00CB1EA3"/>
    <w:rsid w:val="00CB552C"/>
    <w:rsid w:val="00CB6A9E"/>
    <w:rsid w:val="00CC6181"/>
    <w:rsid w:val="00CD2BCD"/>
    <w:rsid w:val="00CD36AA"/>
    <w:rsid w:val="00CD3791"/>
    <w:rsid w:val="00CD65B0"/>
    <w:rsid w:val="00CE02CD"/>
    <w:rsid w:val="00CE10E9"/>
    <w:rsid w:val="00D0072E"/>
    <w:rsid w:val="00D15727"/>
    <w:rsid w:val="00D16332"/>
    <w:rsid w:val="00D24972"/>
    <w:rsid w:val="00D2515E"/>
    <w:rsid w:val="00D308ED"/>
    <w:rsid w:val="00D56178"/>
    <w:rsid w:val="00D56CF0"/>
    <w:rsid w:val="00D56F5C"/>
    <w:rsid w:val="00D704B1"/>
    <w:rsid w:val="00D70B63"/>
    <w:rsid w:val="00D72B92"/>
    <w:rsid w:val="00D72ED4"/>
    <w:rsid w:val="00D73F61"/>
    <w:rsid w:val="00D754C0"/>
    <w:rsid w:val="00D776A2"/>
    <w:rsid w:val="00D801C4"/>
    <w:rsid w:val="00D90836"/>
    <w:rsid w:val="00D95896"/>
    <w:rsid w:val="00D95CC6"/>
    <w:rsid w:val="00DA2DA3"/>
    <w:rsid w:val="00DA6615"/>
    <w:rsid w:val="00DA76AE"/>
    <w:rsid w:val="00DB181E"/>
    <w:rsid w:val="00DB1C7A"/>
    <w:rsid w:val="00DB2983"/>
    <w:rsid w:val="00DB343D"/>
    <w:rsid w:val="00DB5579"/>
    <w:rsid w:val="00DB5CFE"/>
    <w:rsid w:val="00DC72A6"/>
    <w:rsid w:val="00DD2113"/>
    <w:rsid w:val="00DD265E"/>
    <w:rsid w:val="00DF1930"/>
    <w:rsid w:val="00DF514A"/>
    <w:rsid w:val="00E0358D"/>
    <w:rsid w:val="00E06327"/>
    <w:rsid w:val="00E2064B"/>
    <w:rsid w:val="00E25239"/>
    <w:rsid w:val="00E265B1"/>
    <w:rsid w:val="00E275B0"/>
    <w:rsid w:val="00E412D0"/>
    <w:rsid w:val="00E47CDB"/>
    <w:rsid w:val="00E566BC"/>
    <w:rsid w:val="00E60982"/>
    <w:rsid w:val="00E60C8D"/>
    <w:rsid w:val="00E6162F"/>
    <w:rsid w:val="00E6311B"/>
    <w:rsid w:val="00E65D97"/>
    <w:rsid w:val="00E67EFD"/>
    <w:rsid w:val="00E702DC"/>
    <w:rsid w:val="00E71FFB"/>
    <w:rsid w:val="00E76D1D"/>
    <w:rsid w:val="00E806F8"/>
    <w:rsid w:val="00E87752"/>
    <w:rsid w:val="00E8793B"/>
    <w:rsid w:val="00E90F81"/>
    <w:rsid w:val="00E91A6D"/>
    <w:rsid w:val="00E9242D"/>
    <w:rsid w:val="00EB041C"/>
    <w:rsid w:val="00EC5874"/>
    <w:rsid w:val="00ED192D"/>
    <w:rsid w:val="00ED30B4"/>
    <w:rsid w:val="00ED31F5"/>
    <w:rsid w:val="00EF2759"/>
    <w:rsid w:val="00EF45EB"/>
    <w:rsid w:val="00EF5099"/>
    <w:rsid w:val="00EF5E33"/>
    <w:rsid w:val="00F00075"/>
    <w:rsid w:val="00F07822"/>
    <w:rsid w:val="00F15C95"/>
    <w:rsid w:val="00F22985"/>
    <w:rsid w:val="00F241AB"/>
    <w:rsid w:val="00F31382"/>
    <w:rsid w:val="00F35829"/>
    <w:rsid w:val="00F42868"/>
    <w:rsid w:val="00F465A7"/>
    <w:rsid w:val="00F50B7C"/>
    <w:rsid w:val="00F5202D"/>
    <w:rsid w:val="00F52CF6"/>
    <w:rsid w:val="00F54496"/>
    <w:rsid w:val="00F61097"/>
    <w:rsid w:val="00F74345"/>
    <w:rsid w:val="00F74441"/>
    <w:rsid w:val="00F77F30"/>
    <w:rsid w:val="00F82589"/>
    <w:rsid w:val="00F82B19"/>
    <w:rsid w:val="00F90AA7"/>
    <w:rsid w:val="00F9212D"/>
    <w:rsid w:val="00FA301A"/>
    <w:rsid w:val="00FA406A"/>
    <w:rsid w:val="00FA5CB6"/>
    <w:rsid w:val="00FC66AC"/>
    <w:rsid w:val="00FD18F4"/>
    <w:rsid w:val="00FD74B4"/>
    <w:rsid w:val="00FF6FCE"/>
    <w:rsid w:val="00FF7518"/>
    <w:rsid w:val="00FF7FD8"/>
    <w:rsid w:val="03062B9C"/>
    <w:rsid w:val="05742AC8"/>
    <w:rsid w:val="05F6197E"/>
    <w:rsid w:val="06352F05"/>
    <w:rsid w:val="063E7D85"/>
    <w:rsid w:val="070875E0"/>
    <w:rsid w:val="07293586"/>
    <w:rsid w:val="07295285"/>
    <w:rsid w:val="07770C56"/>
    <w:rsid w:val="089829CF"/>
    <w:rsid w:val="092217DD"/>
    <w:rsid w:val="093A7294"/>
    <w:rsid w:val="0AA84C9A"/>
    <w:rsid w:val="0BD27BF6"/>
    <w:rsid w:val="0D127ED3"/>
    <w:rsid w:val="0D1A5D55"/>
    <w:rsid w:val="0E110D06"/>
    <w:rsid w:val="0F1130D3"/>
    <w:rsid w:val="0F13775A"/>
    <w:rsid w:val="0F9A112B"/>
    <w:rsid w:val="0FF83088"/>
    <w:rsid w:val="10594BA3"/>
    <w:rsid w:val="106D2F64"/>
    <w:rsid w:val="10B63710"/>
    <w:rsid w:val="111C2F7A"/>
    <w:rsid w:val="113013DE"/>
    <w:rsid w:val="122B06C2"/>
    <w:rsid w:val="13951726"/>
    <w:rsid w:val="14396509"/>
    <w:rsid w:val="1447165C"/>
    <w:rsid w:val="155F2339"/>
    <w:rsid w:val="157141C7"/>
    <w:rsid w:val="16085849"/>
    <w:rsid w:val="1662251B"/>
    <w:rsid w:val="17735226"/>
    <w:rsid w:val="18726EA7"/>
    <w:rsid w:val="189D5A8C"/>
    <w:rsid w:val="19CE219A"/>
    <w:rsid w:val="1A1C66C0"/>
    <w:rsid w:val="1A342ACE"/>
    <w:rsid w:val="1A3B555D"/>
    <w:rsid w:val="1A42393B"/>
    <w:rsid w:val="1AE850E2"/>
    <w:rsid w:val="1B046F80"/>
    <w:rsid w:val="1B2E007E"/>
    <w:rsid w:val="1B3267B5"/>
    <w:rsid w:val="1B6A2428"/>
    <w:rsid w:val="1BC25DC8"/>
    <w:rsid w:val="1BD9502D"/>
    <w:rsid w:val="1C5E7925"/>
    <w:rsid w:val="1C887FC8"/>
    <w:rsid w:val="1D1C16BA"/>
    <w:rsid w:val="1D5F6196"/>
    <w:rsid w:val="1D6132A5"/>
    <w:rsid w:val="1D8E56D5"/>
    <w:rsid w:val="1E7209A9"/>
    <w:rsid w:val="1E7A43DA"/>
    <w:rsid w:val="1EB277FE"/>
    <w:rsid w:val="1EF957A0"/>
    <w:rsid w:val="1FE7539E"/>
    <w:rsid w:val="20963CB8"/>
    <w:rsid w:val="20B07FB6"/>
    <w:rsid w:val="211B687F"/>
    <w:rsid w:val="213B74B1"/>
    <w:rsid w:val="215A2310"/>
    <w:rsid w:val="21D8786F"/>
    <w:rsid w:val="21DE318A"/>
    <w:rsid w:val="21EF5B80"/>
    <w:rsid w:val="22576990"/>
    <w:rsid w:val="229C4EAB"/>
    <w:rsid w:val="22D261A7"/>
    <w:rsid w:val="252D53FE"/>
    <w:rsid w:val="257A33DD"/>
    <w:rsid w:val="25EC2D81"/>
    <w:rsid w:val="264528BD"/>
    <w:rsid w:val="26A776DC"/>
    <w:rsid w:val="27D15DD1"/>
    <w:rsid w:val="28A76295"/>
    <w:rsid w:val="29206EB8"/>
    <w:rsid w:val="29E325E0"/>
    <w:rsid w:val="2A452503"/>
    <w:rsid w:val="2B487ADA"/>
    <w:rsid w:val="2BA936A8"/>
    <w:rsid w:val="2BD73190"/>
    <w:rsid w:val="2C315A5A"/>
    <w:rsid w:val="2CA55C33"/>
    <w:rsid w:val="2D281E7D"/>
    <w:rsid w:val="2D31114B"/>
    <w:rsid w:val="2D9E56F5"/>
    <w:rsid w:val="2E206C3A"/>
    <w:rsid w:val="2E667F96"/>
    <w:rsid w:val="2E8226AB"/>
    <w:rsid w:val="2F832C79"/>
    <w:rsid w:val="2FEF2D58"/>
    <w:rsid w:val="30580BC9"/>
    <w:rsid w:val="311E2ED7"/>
    <w:rsid w:val="315C449C"/>
    <w:rsid w:val="31B82709"/>
    <w:rsid w:val="32400B34"/>
    <w:rsid w:val="329E6876"/>
    <w:rsid w:val="33C2001A"/>
    <w:rsid w:val="33D934D4"/>
    <w:rsid w:val="33FE167D"/>
    <w:rsid w:val="33FE2F6A"/>
    <w:rsid w:val="34411FA8"/>
    <w:rsid w:val="34FE78B8"/>
    <w:rsid w:val="36074A7F"/>
    <w:rsid w:val="368B5F04"/>
    <w:rsid w:val="36923549"/>
    <w:rsid w:val="36B75FBF"/>
    <w:rsid w:val="36FB4891"/>
    <w:rsid w:val="38282B7E"/>
    <w:rsid w:val="38F12CD3"/>
    <w:rsid w:val="38F94775"/>
    <w:rsid w:val="392971ED"/>
    <w:rsid w:val="39387BAF"/>
    <w:rsid w:val="3B1B018F"/>
    <w:rsid w:val="3B3763D1"/>
    <w:rsid w:val="3B3C787B"/>
    <w:rsid w:val="3C926B09"/>
    <w:rsid w:val="3CDA245A"/>
    <w:rsid w:val="3CEE0A37"/>
    <w:rsid w:val="3D3F4BE3"/>
    <w:rsid w:val="3E034936"/>
    <w:rsid w:val="3EB92F87"/>
    <w:rsid w:val="3F612E4D"/>
    <w:rsid w:val="3F660E74"/>
    <w:rsid w:val="407A6407"/>
    <w:rsid w:val="423A3BCC"/>
    <w:rsid w:val="433A6FE6"/>
    <w:rsid w:val="4350713C"/>
    <w:rsid w:val="436653E0"/>
    <w:rsid w:val="43CB706C"/>
    <w:rsid w:val="44CD14E0"/>
    <w:rsid w:val="458946E9"/>
    <w:rsid w:val="46632892"/>
    <w:rsid w:val="46B93D23"/>
    <w:rsid w:val="46D955A7"/>
    <w:rsid w:val="47133957"/>
    <w:rsid w:val="47571674"/>
    <w:rsid w:val="4779329E"/>
    <w:rsid w:val="47A07E0C"/>
    <w:rsid w:val="482C2CBD"/>
    <w:rsid w:val="48470676"/>
    <w:rsid w:val="48660286"/>
    <w:rsid w:val="4870272E"/>
    <w:rsid w:val="49DC7715"/>
    <w:rsid w:val="4A023139"/>
    <w:rsid w:val="4A7B576F"/>
    <w:rsid w:val="4C171CDE"/>
    <w:rsid w:val="4C4A0649"/>
    <w:rsid w:val="4CE470D3"/>
    <w:rsid w:val="4D7243FA"/>
    <w:rsid w:val="4DEC4FB0"/>
    <w:rsid w:val="4DFE25BA"/>
    <w:rsid w:val="4E075D8A"/>
    <w:rsid w:val="4E946AED"/>
    <w:rsid w:val="4FC62A8C"/>
    <w:rsid w:val="4FE20F0D"/>
    <w:rsid w:val="50504C4B"/>
    <w:rsid w:val="509C6E7C"/>
    <w:rsid w:val="5162104E"/>
    <w:rsid w:val="51B044C1"/>
    <w:rsid w:val="52B53C45"/>
    <w:rsid w:val="52FE50B2"/>
    <w:rsid w:val="53A039CC"/>
    <w:rsid w:val="53A1505A"/>
    <w:rsid w:val="54063E08"/>
    <w:rsid w:val="543437E8"/>
    <w:rsid w:val="559B174B"/>
    <w:rsid w:val="55CE0CF4"/>
    <w:rsid w:val="56B22A9C"/>
    <w:rsid w:val="56D82456"/>
    <w:rsid w:val="572F1959"/>
    <w:rsid w:val="57B72A76"/>
    <w:rsid w:val="5A3C747D"/>
    <w:rsid w:val="5ABE2233"/>
    <w:rsid w:val="5AE2328C"/>
    <w:rsid w:val="5B276D18"/>
    <w:rsid w:val="5BDF5D95"/>
    <w:rsid w:val="5D566A45"/>
    <w:rsid w:val="5DF142FC"/>
    <w:rsid w:val="5DF87A0F"/>
    <w:rsid w:val="5EF01E83"/>
    <w:rsid w:val="5F0D3E24"/>
    <w:rsid w:val="5F1A2B43"/>
    <w:rsid w:val="5FB837BB"/>
    <w:rsid w:val="60381F95"/>
    <w:rsid w:val="60AC064F"/>
    <w:rsid w:val="60FB291D"/>
    <w:rsid w:val="62364782"/>
    <w:rsid w:val="62D96E3A"/>
    <w:rsid w:val="63D40BE9"/>
    <w:rsid w:val="63E0211F"/>
    <w:rsid w:val="646A5DEF"/>
    <w:rsid w:val="65373578"/>
    <w:rsid w:val="654A45BB"/>
    <w:rsid w:val="666A1C0A"/>
    <w:rsid w:val="673F2C7A"/>
    <w:rsid w:val="681F6961"/>
    <w:rsid w:val="68610A2F"/>
    <w:rsid w:val="68805514"/>
    <w:rsid w:val="693F456D"/>
    <w:rsid w:val="694E2071"/>
    <w:rsid w:val="697A3B33"/>
    <w:rsid w:val="699E2456"/>
    <w:rsid w:val="6A2A2DC6"/>
    <w:rsid w:val="6B322639"/>
    <w:rsid w:val="6BE44633"/>
    <w:rsid w:val="6C636C38"/>
    <w:rsid w:val="6D340060"/>
    <w:rsid w:val="6DB34098"/>
    <w:rsid w:val="6DB545B6"/>
    <w:rsid w:val="6E2F57BE"/>
    <w:rsid w:val="6E3672D1"/>
    <w:rsid w:val="6E4375A0"/>
    <w:rsid w:val="6E514CED"/>
    <w:rsid w:val="6E79491A"/>
    <w:rsid w:val="6EB563D5"/>
    <w:rsid w:val="6F225983"/>
    <w:rsid w:val="6F7C7651"/>
    <w:rsid w:val="6FFC5590"/>
    <w:rsid w:val="700006A2"/>
    <w:rsid w:val="70301DA3"/>
    <w:rsid w:val="706D1DD0"/>
    <w:rsid w:val="70856B87"/>
    <w:rsid w:val="70D527EE"/>
    <w:rsid w:val="715B5300"/>
    <w:rsid w:val="715F4BD7"/>
    <w:rsid w:val="71D27F8A"/>
    <w:rsid w:val="71F744C6"/>
    <w:rsid w:val="71F960CF"/>
    <w:rsid w:val="72F67015"/>
    <w:rsid w:val="731F5D5E"/>
    <w:rsid w:val="741E793C"/>
    <w:rsid w:val="756D3EB7"/>
    <w:rsid w:val="758D75E2"/>
    <w:rsid w:val="759758ED"/>
    <w:rsid w:val="77762421"/>
    <w:rsid w:val="780F09F4"/>
    <w:rsid w:val="789C4F47"/>
    <w:rsid w:val="78A90480"/>
    <w:rsid w:val="79811327"/>
    <w:rsid w:val="79C629E2"/>
    <w:rsid w:val="7A364017"/>
    <w:rsid w:val="7A8265E1"/>
    <w:rsid w:val="7AE33940"/>
    <w:rsid w:val="7B686D42"/>
    <w:rsid w:val="7B841746"/>
    <w:rsid w:val="7C895292"/>
    <w:rsid w:val="7C9C1A03"/>
    <w:rsid w:val="7D0239FF"/>
    <w:rsid w:val="7D3354C1"/>
    <w:rsid w:val="7D5E40CD"/>
    <w:rsid w:val="7D693BED"/>
    <w:rsid w:val="7DAD3272"/>
    <w:rsid w:val="7F0C13C6"/>
    <w:rsid w:val="7F3C1FA5"/>
    <w:rsid w:val="7FA034F6"/>
    <w:rsid w:val="7FD36AE7"/>
    <w:rsid w:val="7FE47E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ocked="1"/>
    <w:lsdException w:qFormat="1" w:unhideWhenUsed="0" w:uiPriority="0" w:semiHidden="0" w:name="heading 3" w:locked="1"/>
    <w:lsdException w:qFormat="1" w:unhideWhenUsed="0" w:uiPriority="0" w:semiHidden="0" w:name="heading 4" w:locked="1"/>
    <w:lsdException w:unhideWhenUsed="0" w:uiPriority="0" w:semiHidden="0" w:name="heading 5" w:locked="1"/>
    <w:lsdException w:unhideWhenUsed="0" w:uiPriority="0" w:semiHidden="0" w:name="heading 6" w:locked="1"/>
    <w:lsdException w:unhideWhenUsed="0" w:uiPriority="0" w:semiHidden="0" w:name="heading 7" w:locked="1"/>
    <w:lsdException w:unhideWhenUsed="0" w:uiPriority="0" w:semiHidden="0" w:name="heading 8" w:locked="1"/>
    <w:lsdException w:unhideWhenUsed="0" w:uiPriority="0" w:semiHidden="0" w:name="heading 9" w:locked="1"/>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ocked="1"/>
    <w:lsdException w:qFormat="1"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ocked="1"/>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qFormat="1"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ocked="1"/>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ocked="1"/>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ocked="1"/>
    <w:lsdException w:unhideWhenUsed="0" w:uiPriority="0" w:semiHidden="0" w:name="Emphasis" w:locked="1"/>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keepNext/>
      <w:overflowPunct w:val="0"/>
      <w:snapToGrid w:val="0"/>
      <w:spacing w:before="120" w:after="160" w:line="259" w:lineRule="auto"/>
      <w:ind w:left="432" w:hanging="432"/>
      <w:outlineLvl w:val="0"/>
    </w:pPr>
    <w:rPr>
      <w:rFonts w:eastAsia="黑体"/>
      <w:b/>
      <w:bCs/>
      <w:color w:val="000000"/>
      <w:kern w:val="44"/>
      <w:sz w:val="30"/>
      <w:szCs w:val="30"/>
    </w:rPr>
  </w:style>
  <w:style w:type="paragraph" w:styleId="5">
    <w:name w:val="heading 2"/>
    <w:next w:val="1"/>
    <w:qFormat/>
    <w:locked/>
    <w:uiPriority w:val="0"/>
    <w:pPr>
      <w:keepNext/>
      <w:widowControl w:val="0"/>
      <w:adjustRightInd w:val="0"/>
      <w:spacing w:line="480" w:lineRule="auto"/>
      <w:jc w:val="both"/>
      <w:textAlignment w:val="baseline"/>
      <w:outlineLvl w:val="1"/>
    </w:pPr>
    <w:rPr>
      <w:rFonts w:ascii="Times New Roman" w:hAnsi="Times New Roman" w:eastAsia="宋体" w:cs="Times New Roman"/>
      <w:kern w:val="2"/>
      <w:sz w:val="30"/>
      <w:lang w:val="en-US" w:eastAsia="zh-CN" w:bidi="ar-SA"/>
    </w:rPr>
  </w:style>
  <w:style w:type="paragraph" w:styleId="6">
    <w:name w:val="heading 3"/>
    <w:basedOn w:val="1"/>
    <w:next w:val="1"/>
    <w:qFormat/>
    <w:locked/>
    <w:uiPriority w:val="0"/>
    <w:pPr>
      <w:keepNext/>
      <w:keepLines/>
      <w:adjustRightInd w:val="0"/>
      <w:snapToGrid w:val="0"/>
      <w:spacing w:line="360" w:lineRule="auto"/>
      <w:outlineLvl w:val="2"/>
    </w:pPr>
    <w:rPr>
      <w:b/>
      <w:bCs/>
      <w:kern w:val="0"/>
      <w:sz w:val="28"/>
      <w:szCs w:val="28"/>
    </w:rPr>
  </w:style>
  <w:style w:type="paragraph" w:styleId="7">
    <w:name w:val="heading 4"/>
    <w:basedOn w:val="1"/>
    <w:next w:val="1"/>
    <w:qFormat/>
    <w:locked/>
    <w:uiPriority w:val="0"/>
    <w:pPr>
      <w:keepNext/>
      <w:keepLines/>
      <w:spacing w:before="280" w:after="290" w:line="376" w:lineRule="auto"/>
      <w:outlineLvl w:val="3"/>
    </w:pPr>
    <w:rPr>
      <w:rFonts w:ascii="Arial" w:hAnsi="Arial" w:eastAsia="黑体"/>
      <w:b/>
      <w:bCs/>
      <w:sz w:val="28"/>
      <w:szCs w:val="28"/>
    </w:rPr>
  </w:style>
  <w:style w:type="character" w:default="1" w:styleId="26">
    <w:name w:val="Default Paragraph Font"/>
    <w:semiHidden/>
    <w:unhideWhenUsed/>
    <w:uiPriority w:val="1"/>
  </w:style>
  <w:style w:type="table" w:default="1" w:styleId="24">
    <w:name w:val="Normal Table"/>
    <w:semiHidden/>
    <w:unhideWhenUsed/>
    <w:uiPriority w:val="99"/>
    <w:tblPr>
      <w:tblCellMar>
        <w:top w:w="0" w:type="dxa"/>
        <w:left w:w="108" w:type="dxa"/>
        <w:bottom w:w="0" w:type="dxa"/>
        <w:right w:w="108" w:type="dxa"/>
      </w:tblCellMar>
    </w:tblPr>
  </w:style>
  <w:style w:type="paragraph" w:styleId="2">
    <w:name w:val="Body Text"/>
    <w:basedOn w:val="1"/>
    <w:next w:val="3"/>
    <w:link w:val="32"/>
    <w:qFormat/>
    <w:uiPriority w:val="0"/>
    <w:pPr>
      <w:widowControl/>
      <w:snapToGrid w:val="0"/>
      <w:spacing w:before="60" w:after="160" w:line="259" w:lineRule="auto"/>
      <w:ind w:right="113"/>
    </w:pPr>
    <w:rPr>
      <w:kern w:val="0"/>
      <w:sz w:val="18"/>
      <w:szCs w:val="18"/>
    </w:rPr>
  </w:style>
  <w:style w:type="paragraph" w:customStyle="1" w:styleId="3">
    <w:name w:val="xl27"/>
    <w:basedOn w:val="1"/>
    <w:qFormat/>
    <w:uiPriority w:val="0"/>
    <w:pPr>
      <w:widowControl/>
      <w:pBdr>
        <w:bottom w:val="single" w:color="auto" w:sz="4" w:space="0"/>
        <w:right w:val="single" w:color="auto" w:sz="4" w:space="0"/>
      </w:pBdr>
      <w:spacing w:before="100" w:beforeAutospacing="1" w:after="100" w:afterAutospacing="1"/>
      <w:jc w:val="center"/>
    </w:pPr>
    <w:rPr>
      <w:rFonts w:eastAsia="Arial Unicode MS"/>
      <w:kern w:val="0"/>
      <w:szCs w:val="21"/>
    </w:rPr>
  </w:style>
  <w:style w:type="paragraph" w:styleId="8">
    <w:name w:val="Normal Indent"/>
    <w:basedOn w:val="1"/>
    <w:next w:val="9"/>
    <w:qFormat/>
    <w:uiPriority w:val="0"/>
    <w:pPr>
      <w:ind w:firstLine="200" w:firstLineChars="200"/>
    </w:pPr>
    <w:rPr>
      <w:sz w:val="28"/>
      <w:szCs w:val="20"/>
    </w:rPr>
  </w:style>
  <w:style w:type="paragraph" w:styleId="9">
    <w:name w:val="Body Text First Indent 2"/>
    <w:basedOn w:val="10"/>
    <w:next w:val="11"/>
    <w:qFormat/>
    <w:uiPriority w:val="0"/>
    <w:pPr>
      <w:tabs>
        <w:tab w:val="left" w:pos="540"/>
      </w:tabs>
      <w:ind w:firstLine="420" w:firstLineChars="200"/>
    </w:pPr>
  </w:style>
  <w:style w:type="paragraph" w:styleId="10">
    <w:name w:val="Body Text Indent"/>
    <w:basedOn w:val="1"/>
    <w:link w:val="34"/>
    <w:semiHidden/>
    <w:qFormat/>
    <w:uiPriority w:val="0"/>
    <w:pPr>
      <w:spacing w:after="120"/>
      <w:ind w:left="420" w:leftChars="200"/>
    </w:pPr>
  </w:style>
  <w:style w:type="paragraph" w:styleId="11">
    <w:name w:val="Body Text First Indent"/>
    <w:basedOn w:val="1"/>
    <w:next w:val="9"/>
    <w:qFormat/>
    <w:uiPriority w:val="0"/>
    <w:pPr>
      <w:adjustRightInd w:val="0"/>
      <w:snapToGrid w:val="0"/>
      <w:spacing w:after="120" w:line="360" w:lineRule="auto"/>
      <w:ind w:firstLine="420" w:firstLineChars="100"/>
    </w:pPr>
    <w:rPr>
      <w:sz w:val="24"/>
      <w:lang w:val="zh-CN"/>
    </w:rPr>
  </w:style>
  <w:style w:type="paragraph" w:styleId="12">
    <w:name w:val="annotation text"/>
    <w:basedOn w:val="1"/>
    <w:link w:val="33"/>
    <w:semiHidden/>
    <w:qFormat/>
    <w:uiPriority w:val="0"/>
    <w:pPr>
      <w:jc w:val="left"/>
    </w:pPr>
    <w:rPr>
      <w:kern w:val="0"/>
      <w:sz w:val="20"/>
    </w:rPr>
  </w:style>
  <w:style w:type="paragraph" w:styleId="13">
    <w:name w:val="List Bullet 2"/>
    <w:basedOn w:val="1"/>
    <w:qFormat/>
    <w:uiPriority w:val="0"/>
    <w:pPr>
      <w:numPr>
        <w:ilvl w:val="0"/>
        <w:numId w:val="1"/>
      </w:numPr>
    </w:pPr>
  </w:style>
  <w:style w:type="paragraph" w:styleId="14">
    <w:name w:val="Plain Text"/>
    <w:basedOn w:val="1"/>
    <w:next w:val="1"/>
    <w:qFormat/>
    <w:uiPriority w:val="0"/>
    <w:rPr>
      <w:rFonts w:ascii="宋体" w:hAnsi="Courier New"/>
    </w:rPr>
  </w:style>
  <w:style w:type="paragraph" w:styleId="15">
    <w:name w:val="Date"/>
    <w:basedOn w:val="1"/>
    <w:next w:val="1"/>
    <w:link w:val="35"/>
    <w:qFormat/>
    <w:uiPriority w:val="0"/>
    <w:pPr>
      <w:ind w:left="100" w:leftChars="2500"/>
    </w:pPr>
    <w:rPr>
      <w:kern w:val="0"/>
      <w:sz w:val="20"/>
    </w:rPr>
  </w:style>
  <w:style w:type="paragraph" w:styleId="16">
    <w:name w:val="Body Text Indent 2"/>
    <w:basedOn w:val="1"/>
    <w:qFormat/>
    <w:uiPriority w:val="0"/>
    <w:pPr>
      <w:spacing w:after="120" w:line="480" w:lineRule="auto"/>
      <w:ind w:left="420" w:leftChars="200"/>
    </w:pPr>
  </w:style>
  <w:style w:type="paragraph" w:styleId="17">
    <w:name w:val="Balloon Text"/>
    <w:basedOn w:val="1"/>
    <w:link w:val="36"/>
    <w:semiHidden/>
    <w:qFormat/>
    <w:uiPriority w:val="0"/>
    <w:rPr>
      <w:sz w:val="18"/>
      <w:szCs w:val="18"/>
    </w:rPr>
  </w:style>
  <w:style w:type="paragraph" w:styleId="18">
    <w:name w:val="footer"/>
    <w:basedOn w:val="1"/>
    <w:link w:val="37"/>
    <w:qFormat/>
    <w:uiPriority w:val="0"/>
    <w:pPr>
      <w:tabs>
        <w:tab w:val="center" w:pos="4153"/>
        <w:tab w:val="right" w:pos="8306"/>
      </w:tabs>
      <w:snapToGrid w:val="0"/>
      <w:jc w:val="left"/>
    </w:pPr>
    <w:rPr>
      <w:sz w:val="18"/>
      <w:szCs w:val="18"/>
    </w:rPr>
  </w:style>
  <w:style w:type="paragraph" w:styleId="19">
    <w:name w:val="header"/>
    <w:basedOn w:val="1"/>
    <w:link w:val="38"/>
    <w:qFormat/>
    <w:uiPriority w:val="0"/>
    <w:pPr>
      <w:pBdr>
        <w:bottom w:val="single" w:color="auto" w:sz="6" w:space="1"/>
      </w:pBdr>
      <w:tabs>
        <w:tab w:val="center" w:pos="4153"/>
        <w:tab w:val="right" w:pos="8306"/>
      </w:tabs>
      <w:snapToGrid w:val="0"/>
      <w:jc w:val="center"/>
    </w:pPr>
    <w:rPr>
      <w:sz w:val="18"/>
      <w:szCs w:val="18"/>
    </w:rPr>
  </w:style>
  <w:style w:type="paragraph" w:styleId="20">
    <w:name w:val="List"/>
    <w:basedOn w:val="1"/>
    <w:next w:val="13"/>
    <w:qFormat/>
    <w:uiPriority w:val="0"/>
    <w:pPr>
      <w:ind w:left="200" w:hanging="200" w:hangingChars="200"/>
      <w:contextualSpacing/>
    </w:pPr>
  </w:style>
  <w:style w:type="paragraph" w:styleId="21">
    <w:name w:val="toc 2"/>
    <w:basedOn w:val="1"/>
    <w:next w:val="1"/>
    <w:qFormat/>
    <w:locked/>
    <w:uiPriority w:val="0"/>
    <w:pPr>
      <w:ind w:left="420" w:leftChars="200"/>
    </w:pPr>
    <w:rPr>
      <w:rFonts w:ascii="Calibri" w:hAnsi="Calibri"/>
      <w:szCs w:val="21"/>
    </w:rPr>
  </w:style>
  <w:style w:type="paragraph" w:styleId="22">
    <w:name w:val="Normal (Web)"/>
    <w:basedOn w:val="1"/>
    <w:link w:val="39"/>
    <w:qFormat/>
    <w:uiPriority w:val="0"/>
    <w:pPr>
      <w:widowControl/>
      <w:spacing w:before="100" w:beforeAutospacing="1" w:after="100" w:afterAutospacing="1"/>
      <w:jc w:val="left"/>
    </w:pPr>
    <w:rPr>
      <w:rFonts w:ascii="宋体" w:hAnsi="宋体"/>
      <w:kern w:val="0"/>
      <w:sz w:val="24"/>
    </w:rPr>
  </w:style>
  <w:style w:type="paragraph" w:styleId="23">
    <w:name w:val="annotation subject"/>
    <w:basedOn w:val="12"/>
    <w:next w:val="12"/>
    <w:link w:val="40"/>
    <w:semiHidden/>
    <w:qFormat/>
    <w:uiPriority w:val="0"/>
    <w:rPr>
      <w:b/>
      <w:bCs/>
    </w:rPr>
  </w:style>
  <w:style w:type="table" w:styleId="25">
    <w:name w:val="Table Grid"/>
    <w:basedOn w:val="2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7">
    <w:name w:val="Strong"/>
    <w:basedOn w:val="26"/>
    <w:qFormat/>
    <w:locked/>
    <w:uiPriority w:val="0"/>
    <w:rPr>
      <w:b/>
    </w:rPr>
  </w:style>
  <w:style w:type="character" w:styleId="28">
    <w:name w:val="page number"/>
    <w:basedOn w:val="26"/>
    <w:qFormat/>
    <w:uiPriority w:val="0"/>
  </w:style>
  <w:style w:type="character" w:styleId="29">
    <w:name w:val="annotation reference"/>
    <w:basedOn w:val="26"/>
    <w:semiHidden/>
    <w:qFormat/>
    <w:uiPriority w:val="0"/>
    <w:rPr>
      <w:sz w:val="21"/>
    </w:rPr>
  </w:style>
  <w:style w:type="paragraph" w:customStyle="1" w:styleId="30">
    <w:name w:val="Default"/>
    <w:basedOn w:val="31"/>
    <w:next w:val="20"/>
    <w:qFormat/>
    <w:uiPriority w:val="99"/>
    <w:pPr>
      <w:autoSpaceDE w:val="0"/>
      <w:autoSpaceDN w:val="0"/>
      <w:adjustRightInd w:val="0"/>
    </w:pPr>
    <w:rPr>
      <w:rFonts w:hAnsi="Times New Roman"/>
      <w:color w:val="000000"/>
      <w:sz w:val="24"/>
    </w:rPr>
  </w:style>
  <w:style w:type="paragraph" w:customStyle="1" w:styleId="31">
    <w:name w:val="纯文本1"/>
    <w:basedOn w:val="1"/>
    <w:qFormat/>
    <w:uiPriority w:val="0"/>
    <w:rPr>
      <w:rFonts w:hint="eastAsia" w:ascii="宋体" w:hAnsi="Courier New"/>
    </w:rPr>
  </w:style>
  <w:style w:type="character" w:customStyle="1" w:styleId="32">
    <w:name w:val="正文文本 Char"/>
    <w:link w:val="2"/>
    <w:qFormat/>
    <w:locked/>
    <w:uiPriority w:val="0"/>
    <w:rPr>
      <w:sz w:val="18"/>
    </w:rPr>
  </w:style>
  <w:style w:type="character" w:customStyle="1" w:styleId="33">
    <w:name w:val="批注文字 Char"/>
    <w:link w:val="12"/>
    <w:qFormat/>
    <w:locked/>
    <w:uiPriority w:val="0"/>
    <w:rPr>
      <w:rFonts w:ascii="Times New Roman" w:hAnsi="Times New Roman" w:eastAsia="宋体"/>
      <w:sz w:val="24"/>
    </w:rPr>
  </w:style>
  <w:style w:type="character" w:customStyle="1" w:styleId="34">
    <w:name w:val="正文文本缩进 Char"/>
    <w:basedOn w:val="26"/>
    <w:link w:val="10"/>
    <w:semiHidden/>
    <w:qFormat/>
    <w:locked/>
    <w:uiPriority w:val="0"/>
    <w:rPr>
      <w:rFonts w:ascii="Times New Roman" w:hAnsi="Times New Roman" w:eastAsia="宋体" w:cs="Times New Roman"/>
      <w:sz w:val="24"/>
      <w:szCs w:val="24"/>
    </w:rPr>
  </w:style>
  <w:style w:type="character" w:customStyle="1" w:styleId="35">
    <w:name w:val="日期 Char"/>
    <w:link w:val="15"/>
    <w:qFormat/>
    <w:locked/>
    <w:uiPriority w:val="0"/>
    <w:rPr>
      <w:rFonts w:ascii="Times New Roman" w:hAnsi="Times New Roman" w:eastAsia="宋体"/>
      <w:sz w:val="24"/>
    </w:rPr>
  </w:style>
  <w:style w:type="character" w:customStyle="1" w:styleId="36">
    <w:name w:val="批注框文本 Char"/>
    <w:basedOn w:val="26"/>
    <w:link w:val="17"/>
    <w:semiHidden/>
    <w:qFormat/>
    <w:locked/>
    <w:uiPriority w:val="0"/>
    <w:rPr>
      <w:rFonts w:ascii="Times New Roman" w:hAnsi="Times New Roman" w:eastAsia="宋体" w:cs="Times New Roman"/>
      <w:sz w:val="18"/>
      <w:szCs w:val="18"/>
    </w:rPr>
  </w:style>
  <w:style w:type="character" w:customStyle="1" w:styleId="37">
    <w:name w:val="页脚 Char"/>
    <w:basedOn w:val="26"/>
    <w:link w:val="18"/>
    <w:qFormat/>
    <w:locked/>
    <w:uiPriority w:val="0"/>
    <w:rPr>
      <w:rFonts w:cs="Times New Roman"/>
      <w:sz w:val="18"/>
      <w:szCs w:val="18"/>
    </w:rPr>
  </w:style>
  <w:style w:type="character" w:customStyle="1" w:styleId="38">
    <w:name w:val="页眉 Char"/>
    <w:basedOn w:val="26"/>
    <w:link w:val="19"/>
    <w:qFormat/>
    <w:locked/>
    <w:uiPriority w:val="0"/>
    <w:rPr>
      <w:rFonts w:cs="Times New Roman"/>
      <w:sz w:val="18"/>
      <w:szCs w:val="18"/>
    </w:rPr>
  </w:style>
  <w:style w:type="character" w:customStyle="1" w:styleId="39">
    <w:name w:val="普通(网站) Char1"/>
    <w:link w:val="22"/>
    <w:qFormat/>
    <w:locked/>
    <w:uiPriority w:val="0"/>
    <w:rPr>
      <w:rFonts w:ascii="宋体" w:hAnsi="宋体" w:eastAsia="宋体"/>
      <w:sz w:val="24"/>
    </w:rPr>
  </w:style>
  <w:style w:type="character" w:customStyle="1" w:styleId="40">
    <w:name w:val="批注主题 Char"/>
    <w:basedOn w:val="33"/>
    <w:link w:val="23"/>
    <w:semiHidden/>
    <w:qFormat/>
    <w:locked/>
    <w:uiPriority w:val="0"/>
    <w:rPr>
      <w:rFonts w:ascii="Times New Roman" w:hAnsi="Times New Roman" w:eastAsia="宋体" w:cs="Times New Roman"/>
      <w:b/>
      <w:bCs/>
      <w:kern w:val="2"/>
      <w:sz w:val="24"/>
      <w:szCs w:val="24"/>
    </w:rPr>
  </w:style>
  <w:style w:type="character" w:customStyle="1" w:styleId="41">
    <w:name w:val="日期 字符"/>
    <w:basedOn w:val="26"/>
    <w:semiHidden/>
    <w:qFormat/>
    <w:uiPriority w:val="0"/>
    <w:rPr>
      <w:rFonts w:ascii="Times New Roman" w:hAnsi="Times New Roman" w:eastAsia="宋体" w:cs="Times New Roman"/>
      <w:sz w:val="24"/>
      <w:szCs w:val="24"/>
    </w:rPr>
  </w:style>
  <w:style w:type="character" w:customStyle="1" w:styleId="42">
    <w:name w:val="正文文本 字符1"/>
    <w:basedOn w:val="26"/>
    <w:semiHidden/>
    <w:qFormat/>
    <w:uiPriority w:val="0"/>
    <w:rPr>
      <w:rFonts w:ascii="Times New Roman" w:hAnsi="Times New Roman" w:eastAsia="宋体" w:cs="Times New Roman"/>
      <w:sz w:val="24"/>
      <w:szCs w:val="24"/>
    </w:rPr>
  </w:style>
  <w:style w:type="paragraph" w:customStyle="1" w:styleId="43">
    <w:name w:val="普通(网站)2"/>
    <w:basedOn w:val="1"/>
    <w:qFormat/>
    <w:uiPriority w:val="0"/>
    <w:pPr>
      <w:widowControl/>
      <w:spacing w:before="100" w:beforeAutospacing="1" w:after="100" w:afterAutospacing="1"/>
      <w:jc w:val="left"/>
    </w:pPr>
    <w:rPr>
      <w:rFonts w:ascii="宋体" w:hAnsi="宋体"/>
      <w:sz w:val="24"/>
      <w:szCs w:val="20"/>
    </w:rPr>
  </w:style>
  <w:style w:type="character" w:customStyle="1" w:styleId="44">
    <w:name w:val="表格 Char"/>
    <w:link w:val="45"/>
    <w:qFormat/>
    <w:locked/>
    <w:uiPriority w:val="0"/>
    <w:rPr>
      <w:rFonts w:ascii="Times New Roman" w:hAnsi="Times New Roman" w:eastAsia="宋体"/>
      <w:sz w:val="21"/>
    </w:rPr>
  </w:style>
  <w:style w:type="paragraph" w:customStyle="1" w:styleId="45">
    <w:name w:val="表格"/>
    <w:basedOn w:val="1"/>
    <w:next w:val="1"/>
    <w:link w:val="44"/>
    <w:qFormat/>
    <w:uiPriority w:val="0"/>
    <w:pPr>
      <w:adjustRightInd w:val="0"/>
      <w:snapToGrid w:val="0"/>
      <w:jc w:val="center"/>
    </w:pPr>
    <w:rPr>
      <w:kern w:val="0"/>
      <w:szCs w:val="21"/>
    </w:rPr>
  </w:style>
  <w:style w:type="character" w:customStyle="1" w:styleId="46">
    <w:name w:val="批注文字 字符1"/>
    <w:basedOn w:val="26"/>
    <w:semiHidden/>
    <w:qFormat/>
    <w:uiPriority w:val="0"/>
    <w:rPr>
      <w:rFonts w:ascii="Times New Roman" w:hAnsi="Times New Roman" w:eastAsia="宋体" w:cs="Times New Roman"/>
      <w:sz w:val="24"/>
      <w:szCs w:val="24"/>
    </w:rPr>
  </w:style>
  <w:style w:type="character" w:customStyle="1" w:styleId="47">
    <w:name w:val="普通(网站) Char"/>
    <w:qFormat/>
    <w:locked/>
    <w:uiPriority w:val="0"/>
    <w:rPr>
      <w:rFonts w:ascii="宋体" w:hAnsi="宋体" w:eastAsia="宋体"/>
      <w:sz w:val="24"/>
    </w:rPr>
  </w:style>
  <w:style w:type="paragraph" w:customStyle="1" w:styleId="48">
    <w:name w:val="WPSOffice手动目录 1"/>
    <w:qFormat/>
    <w:uiPriority w:val="0"/>
    <w:rPr>
      <w:rFonts w:ascii="Times New Roman" w:hAnsi="Times New Roman" w:eastAsia="宋体" w:cs="Times New Roman"/>
      <w:lang w:val="en-US" w:eastAsia="zh-CN" w:bidi="ar-SA"/>
    </w:rPr>
  </w:style>
  <w:style w:type="character" w:customStyle="1" w:styleId="49">
    <w:name w:val="content1"/>
    <w:qFormat/>
    <w:uiPriority w:val="0"/>
    <w:rPr>
      <w:color w:val="000000"/>
      <w:sz w:val="20"/>
      <w:szCs w:val="20"/>
    </w:rPr>
  </w:style>
  <w:style w:type="paragraph" w:customStyle="1" w:styleId="50">
    <w:name w:val="样式 首行缩进:  2 字符 行距: 固定值 26 磅"/>
    <w:basedOn w:val="1"/>
    <w:qFormat/>
    <w:uiPriority w:val="0"/>
    <w:pPr>
      <w:spacing w:line="520" w:lineRule="exact"/>
      <w:ind w:firstLine="480"/>
    </w:pPr>
    <w:rPr>
      <w:rFonts w:cs="宋体"/>
    </w:rPr>
  </w:style>
  <w:style w:type="paragraph" w:customStyle="1" w:styleId="51">
    <w:name w:val="样式 正文缩进表正文正文非缩进段1Body Text(ch)缩进ALT+Z特点四号正文不缩进标题4正文2..."/>
    <w:basedOn w:val="8"/>
    <w:qFormat/>
    <w:uiPriority w:val="0"/>
    <w:pPr>
      <w:spacing w:line="480" w:lineRule="exact"/>
      <w:ind w:firstLine="480"/>
    </w:pPr>
    <w:rPr>
      <w:rFonts w:cs="宋体"/>
      <w:b/>
      <w:bCs/>
      <w:snapToGrid w:val="0"/>
      <w:kern w:val="28"/>
      <w:sz w:val="24"/>
      <w:szCs w:val="24"/>
    </w:rPr>
  </w:style>
  <w:style w:type="paragraph" w:customStyle="1" w:styleId="52">
    <w:name w:val="表内-文字"/>
    <w:basedOn w:val="1"/>
    <w:qFormat/>
    <w:uiPriority w:val="99"/>
    <w:pPr>
      <w:jc w:val="center"/>
    </w:pPr>
    <w:rPr>
      <w:rFonts w:cs="宋体"/>
      <w:bCs/>
      <w:color w:val="000000"/>
      <w:szCs w:val="21"/>
    </w:rPr>
  </w:style>
  <w:style w:type="paragraph" w:customStyle="1" w:styleId="53">
    <w:name w:val="表格文字"/>
    <w:basedOn w:val="1"/>
    <w:qFormat/>
    <w:uiPriority w:val="0"/>
    <w:pPr>
      <w:jc w:val="center"/>
    </w:pPr>
  </w:style>
  <w:style w:type="paragraph" w:customStyle="1" w:styleId="54">
    <w:name w:val="表格内文字"/>
    <w:next w:val="1"/>
    <w:qFormat/>
    <w:uiPriority w:val="0"/>
    <w:pPr>
      <w:widowControl w:val="0"/>
      <w:tabs>
        <w:tab w:val="left" w:pos="0"/>
      </w:tabs>
      <w:adjustRightInd w:val="0"/>
      <w:snapToGrid w:val="0"/>
      <w:jc w:val="center"/>
    </w:pPr>
    <w:rPr>
      <w:rFonts w:ascii="仿宋_GB2312" w:hAnsi="Times New Roman" w:eastAsia="仿宋_GB2312" w:cs="Times New Roman"/>
      <w:kern w:val="2"/>
      <w:sz w:val="24"/>
      <w:szCs w:val="24"/>
      <w:lang w:val="en-US" w:eastAsia="zh-CN" w:bidi="ar-SA"/>
    </w:rPr>
  </w:style>
  <w:style w:type="paragraph" w:customStyle="1" w:styleId="55">
    <w:name w:val="0正文"/>
    <w:basedOn w:val="1"/>
    <w:qFormat/>
    <w:uiPriority w:val="0"/>
    <w:pPr>
      <w:adjustRightInd w:val="0"/>
      <w:snapToGrid w:val="0"/>
      <w:spacing w:line="360" w:lineRule="auto"/>
      <w:ind w:firstLine="480" w:firstLineChars="200"/>
    </w:pPr>
    <w:rPr>
      <w:sz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1.emf"/><Relationship Id="rId8" Type="http://schemas.openxmlformats.org/officeDocument/2006/relationships/oleObject" Target="embeddings/oleObject1.bin"/><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1" Type="http://schemas.openxmlformats.org/officeDocument/2006/relationships/fontTable" Target="fontTable.xml"/><Relationship Id="rId30" Type="http://schemas.openxmlformats.org/officeDocument/2006/relationships/numbering" Target="numbering.xml"/><Relationship Id="rId3" Type="http://schemas.openxmlformats.org/officeDocument/2006/relationships/header" Target="header1.xml"/><Relationship Id="rId29" Type="http://schemas.openxmlformats.org/officeDocument/2006/relationships/customXml" Target="../customXml/item1.xml"/><Relationship Id="rId28" Type="http://schemas.openxmlformats.org/officeDocument/2006/relationships/image" Target="media/image16.png"/><Relationship Id="rId27" Type="http://schemas.openxmlformats.org/officeDocument/2006/relationships/image" Target="media/image15.png"/><Relationship Id="rId26" Type="http://schemas.openxmlformats.org/officeDocument/2006/relationships/image" Target="media/image14.png"/><Relationship Id="rId25" Type="http://schemas.openxmlformats.org/officeDocument/2006/relationships/image" Target="media/image13.png"/><Relationship Id="rId24" Type="http://schemas.openxmlformats.org/officeDocument/2006/relationships/image" Target="media/image12.png"/><Relationship Id="rId23" Type="http://schemas.openxmlformats.org/officeDocument/2006/relationships/image" Target="media/image11.png"/><Relationship Id="rId22" Type="http://schemas.openxmlformats.org/officeDocument/2006/relationships/image" Target="media/image10.png"/><Relationship Id="rId21" Type="http://schemas.openxmlformats.org/officeDocument/2006/relationships/image" Target="media/image9.png"/><Relationship Id="rId20" Type="http://schemas.openxmlformats.org/officeDocument/2006/relationships/image" Target="media/image8.png"/><Relationship Id="rId2" Type="http://schemas.openxmlformats.org/officeDocument/2006/relationships/settings" Target="settings.xml"/><Relationship Id="rId19" Type="http://schemas.openxmlformats.org/officeDocument/2006/relationships/image" Target="media/image7.wmf"/><Relationship Id="rId18" Type="http://schemas.openxmlformats.org/officeDocument/2006/relationships/oleObject" Target="embeddings/oleObject5.bin"/><Relationship Id="rId17" Type="http://schemas.openxmlformats.org/officeDocument/2006/relationships/image" Target="media/image6.wmf"/><Relationship Id="rId16" Type="http://schemas.openxmlformats.org/officeDocument/2006/relationships/oleObject" Target="embeddings/oleObject4.bin"/><Relationship Id="rId15" Type="http://schemas.openxmlformats.org/officeDocument/2006/relationships/image" Target="media/image5.wmf"/><Relationship Id="rId14" Type="http://schemas.openxmlformats.org/officeDocument/2006/relationships/oleObject" Target="embeddings/oleObject3.bin"/><Relationship Id="rId13" Type="http://schemas.openxmlformats.org/officeDocument/2006/relationships/image" Target="media/image4.wmf"/><Relationship Id="rId12" Type="http://schemas.openxmlformats.org/officeDocument/2006/relationships/oleObject" Target="embeddings/oleObject2.bin"/><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extobjs>
    <extobj name="ECB019B1-382A-4266-B25C-5B523AA43C14-1">
      <extobjdata type="ECB019B1-382A-4266-B25C-5B523AA43C14" data="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"/>
    </extobj>
    <extobj name="ECB019B1-382A-4266-B25C-5B523AA43C14-2">
      <extobjdata type="ECB019B1-382A-4266-B25C-5B523AA43C14" data="ewoJIkZpbGVJZCIgOiAiMTYwMzM1NTI2NzAyIiwKCSJHcm91cElkIiA6ICI2ODYyMTI1MTQiLAoJIkltYWdlIiA6ICJpVkJPUncwS0dnb0FBQUFOU1VoRVVnQUFBc2tBQUFFL0NBWUFBQUMwRmw1MEFBQUFDWEJJV1hNQUFBc1RBQUFMRXdFQW1wd1lBQUFnQUVsRVFWUjRuT3pkZVhoVTFmMC84UGU5czA4bWszMlo3QXVFSkN3aGc0cTFVcWtvdHJTMkZoV3QyNWZpWHR4UWNhRmFwVnJSMXRiV3JWU3RpbldweFgwcEZrV3JSZTFQWUVJZ0NRa2taSStUalN5VHpENXpmMzhrTTA0bWs5V1FFUEorUFE4UGM4ODk1OTR6NFpCOGN1Wnp6d0d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qSVMvOFBZa21iTnVvVnlqMEFBQUFBU1VWT1JLNUNZSUk9IiwKCSJUaGVtZSIgOiAiIiwKCSJUeXBlIiA6ICJmbG93IiwKCSJWZXJzaW9uIiA6ICIiCn0K"/>
    </extobj>
  </extobj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52</Pages>
  <Words>28201</Words>
  <Characters>32487</Characters>
  <Lines>255</Lines>
  <Paragraphs>71</Paragraphs>
  <TotalTime>5</TotalTime>
  <ScaleCrop>false</ScaleCrop>
  <LinksUpToDate>false</LinksUpToDate>
  <CharactersWithSpaces>32850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2020-12-24T01:42:00Z</dcterms:created>
  <dc:creator>lhj</dc:creator>
  <cp:lastModifiedBy>Lemo.</cp:lastModifiedBy>
  <cp:lastPrinted>2020-12-24T01:50:00Z</cp:lastPrinted>
  <dcterms:modified xsi:type="dcterms:W3CDTF">2025-03-18T01:42:20Z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25C7EFF000E947CE83F4395D6C529B4C</vt:lpwstr>
  </property>
</Properties>
</file>