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outlineLvl w:val="0"/>
        <w:rPr>
          <w:rFonts w:hint="default" w:ascii="Times New Roman" w:hAnsi="Times New Roman" w:cs="Times New Roman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highlight w:val="none"/>
          <w:lang w:val="en-US" w:eastAsia="zh-CN"/>
        </w:rPr>
        <w:t>附件1：环评委托书</w:t>
      </w:r>
    </w:p>
    <w:p>
      <w:pPr>
        <w:jc w:val="center"/>
        <w:rPr>
          <w:rFonts w:hint="default" w:ascii="Times New Roman" w:hAnsi="Times New Roman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lang w:val="en-US" w:eastAsia="zh-CN"/>
        </w:rPr>
        <w:drawing>
          <wp:inline distT="0" distB="0" distL="114300" distR="114300">
            <wp:extent cx="6180455" cy="7999730"/>
            <wp:effectExtent l="0" t="0" r="10795" b="12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799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both"/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：营业执照</w:t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8276590" cy="4986020"/>
            <wp:effectExtent l="0" t="0" r="10160" b="5080"/>
            <wp:docPr id="11" name="图片 11" descr="49a0e26e64187d2b30886fd1ae26a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9a0e26e64187d2b30886fd1ae26a1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76590" cy="498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附件3：关于开展稻蛙共作生态养殖的请示</w:t>
      </w:r>
    </w:p>
    <w:p>
      <w:pPr>
        <w:outlineLvl w:val="9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7039610" cy="5279390"/>
            <wp:effectExtent l="0" t="0" r="16510" b="8890"/>
            <wp:docPr id="1" name="图片 1" descr="425875657608b6a7664525b48573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25875657608b6a7664525b485732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9610" cy="527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附件4：土地租赁合同</w:t>
      </w:r>
    </w:p>
    <w:p>
      <w:pPr>
        <w:pStyle w:val="10"/>
        <w:ind w:left="0" w:leftChars="0" w:firstLine="0" w:firstLineChars="0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55260" cy="7887970"/>
            <wp:effectExtent l="0" t="0" r="2540" b="17780"/>
            <wp:docPr id="12" name="图片 12" descr="ecbab131afc9a74952ea52fae0279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ecbab131afc9a74952ea52fae02796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788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3675" cy="8597265"/>
            <wp:effectExtent l="0" t="0" r="3175" b="13335"/>
            <wp:docPr id="13" name="图片 13" descr="2866de05fe652f7ae00a581a4fa1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866de05fe652f7ae00a581a4fa1f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59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3515" cy="8260715"/>
            <wp:effectExtent l="0" t="0" r="13335" b="6985"/>
            <wp:docPr id="14" name="图片 14" descr="dfa0a59909fe19a7baf9a78e2432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fa0a59909fe19a7baf9a78e2432341"/>
                    <pic:cNvPicPr>
                      <a:picLocks noChangeAspect="1"/>
                    </pic:cNvPicPr>
                  </pic:nvPicPr>
                  <pic:blipFill>
                    <a:blip r:embed="rId9"/>
                    <a:srcRect t="4313" b="31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26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检测报告</w:t>
      </w:r>
    </w:p>
    <w:p>
      <w:pPr>
        <w:jc w:val="center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960745" cy="8458200"/>
            <wp:effectExtent l="0" t="0" r="1905" b="0"/>
            <wp:docPr id="17" name="图片 17" descr="湖南省丰惠生态养殖有限公司环境影响评价现状监测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湖南省丰惠生态养殖有限公司环境影响评价现状监测_页面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0745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225540" cy="8833485"/>
            <wp:effectExtent l="0" t="0" r="3810" b="5715"/>
            <wp:docPr id="16" name="图片 16" descr="湖南省丰惠生态养殖有限公司环境影响评价现状监测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湖南省丰惠生态养殖有限公司环境影响评价现状监测_页面_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25540" cy="883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41720" cy="8714740"/>
            <wp:effectExtent l="0" t="0" r="11430" b="10160"/>
            <wp:docPr id="15" name="图片 15" descr="湖南省丰惠生态养殖有限公司环境影响评价现状监测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湖南省丰惠生态养殖有限公司环境影响评价现状监测_页面_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8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064885" cy="8605520"/>
            <wp:effectExtent l="0" t="0" r="12065" b="5080"/>
            <wp:docPr id="18" name="图片 18" descr="湖南省丰惠生态养殖有限公司环境影响评价现状监测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湖南省丰惠生态养殖有限公司环境影响评价现状监测_页面_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4885" cy="860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054725" cy="8590915"/>
            <wp:effectExtent l="0" t="0" r="3175" b="635"/>
            <wp:docPr id="19" name="图片 19" descr="质保单-湖南省丰惠生态养殖有限公司环境影响评价现状监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质保单-湖南省丰惠生态养殖有限公司环境影响评价现状监测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4725" cy="859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附件6：承诺书</w:t>
      </w:r>
      <w:bookmarkStart w:id="0" w:name="_GoBack"/>
      <w:bookmarkEnd w:id="0"/>
    </w:p>
    <w:p>
      <w:pPr>
        <w:jc w:val="center"/>
        <w:outlineLvl w:val="9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372100" cy="6743700"/>
            <wp:effectExtent l="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附件7：公众参与表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8550" cy="8134985"/>
            <wp:effectExtent l="0" t="0" r="12700" b="18415"/>
            <wp:docPr id="37" name="图片 37" descr="扫描全能王 2022-05-19 14.25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扫描全能王 2022-05-19 14.25_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813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973445" cy="8841740"/>
            <wp:effectExtent l="0" t="0" r="8255" b="16510"/>
            <wp:docPr id="38" name="图片 38" descr="扫描全能王 2022-05-19 14.25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扫描全能王 2022-05-19 14.25_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3445" cy="884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2200" cy="8778240"/>
            <wp:effectExtent l="0" t="0" r="0" b="3810"/>
            <wp:docPr id="39" name="图片 39" descr="扫描全能王 2022-05-19 14.25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扫描全能王 2022-05-19 14.25_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87440" cy="8693150"/>
            <wp:effectExtent l="0" t="0" r="3810" b="12700"/>
            <wp:docPr id="40" name="图片 40" descr="扫描全能王 2022-05-19 14.25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描全能王 2022-05-19 14.25_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869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40450" cy="8839835"/>
            <wp:effectExtent l="0" t="0" r="12700" b="18415"/>
            <wp:docPr id="41" name="图片 41" descr="扫描全能王 2022-05-19 14.25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扫描全能王 2022-05-19 14.25_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40450" cy="883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2200" cy="8561070"/>
            <wp:effectExtent l="0" t="0" r="0" b="11430"/>
            <wp:docPr id="42" name="图片 42" descr="扫描全能王 2022-05-19 14.25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扫描全能王 2022-05-19 14.25_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56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82995" cy="8401050"/>
            <wp:effectExtent l="0" t="0" r="8255" b="0"/>
            <wp:docPr id="43" name="图片 43" descr="扫描全能王 2022-05-19 14.25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扫描全能王 2022-05-19 14.25_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7280" cy="8650605"/>
            <wp:effectExtent l="0" t="0" r="13970" b="17145"/>
            <wp:docPr id="44" name="图片 44" descr="扫描全能王 2022-05-19 14.25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扫描全能王 2022-05-19 14.25_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65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88710" cy="8602980"/>
            <wp:effectExtent l="0" t="0" r="2540" b="7620"/>
            <wp:docPr id="45" name="图片 45" descr="扫描全能王 2022-05-19 14.25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扫描全能王 2022-05-19 14.25_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0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7280" cy="8489315"/>
            <wp:effectExtent l="0" t="0" r="13970" b="6985"/>
            <wp:docPr id="46" name="图片 46" descr="扫描全能王 2022-05-19 14.25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扫描全能王 2022-05-19 14.25_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48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67755" cy="8697595"/>
            <wp:effectExtent l="0" t="0" r="4445" b="8255"/>
            <wp:docPr id="47" name="图片 47" descr="扫描全能王 2022-05-19 14.25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扫描全能王 2022-05-19 14.25_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67755" cy="869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53785" cy="8844280"/>
            <wp:effectExtent l="0" t="0" r="18415" b="13970"/>
            <wp:docPr id="48" name="图片 48" descr="扫描全能王 2022-05-19 14.25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扫描全能王 2022-05-19 14.25_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3785" cy="884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805170" cy="8855710"/>
            <wp:effectExtent l="0" t="0" r="5080" b="2540"/>
            <wp:docPr id="49" name="图片 49" descr="扫描全能王 2022-05-19 14.25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扫描全能王 2022-05-19 14.25_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885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88075" cy="8610600"/>
            <wp:effectExtent l="0" t="0" r="3175" b="0"/>
            <wp:docPr id="50" name="图片 50" descr="扫描全能王 2022-05-19 14.25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扫描全能王 2022-05-19 14.25_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6645" cy="8214360"/>
            <wp:effectExtent l="0" t="0" r="14605" b="15240"/>
            <wp:docPr id="51" name="图片 51" descr="扫描全能王 2022-05-19 14.25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扫描全能王 2022-05-19 14.25_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76645" cy="821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5375" cy="8282305"/>
            <wp:effectExtent l="0" t="0" r="15875" b="4445"/>
            <wp:docPr id="52" name="图片 52" descr="扫描全能王 2022-05-19 14.25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扫描全能王 2022-05-19 14.25_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28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4105" cy="8189595"/>
            <wp:effectExtent l="0" t="0" r="17145" b="1905"/>
            <wp:docPr id="53" name="图片 53" descr="扫描全能王 2022-05-19 14.25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扫描全能王 2022-05-19 14.25_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18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8550" cy="8566150"/>
            <wp:effectExtent l="0" t="0" r="12700" b="6350"/>
            <wp:docPr id="54" name="图片 54" descr="扫描全能王 2022-05-19 14.25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扫描全能王 2022-05-19 14.25_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856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74105" cy="8350250"/>
            <wp:effectExtent l="0" t="0" r="17145" b="12700"/>
            <wp:docPr id="55" name="图片 55" descr="扫描全能王 2022-05-19 14.2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扫描全能王 2022-05-19 14.25_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35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181090" cy="8769985"/>
            <wp:effectExtent l="0" t="0" r="10160" b="12065"/>
            <wp:docPr id="56" name="图片 56" descr="扫描全能王 2022-05-19 14.25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扫描全能王 2022-05-19 14.25_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76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091555" cy="8860790"/>
            <wp:effectExtent l="0" t="0" r="4445" b="16510"/>
            <wp:docPr id="57" name="图片 57" descr="扫描全能王 2022-05-19 14.25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扫描全能王 2022-05-19 14.25_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155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附件8：专家意见、签到表及考核表</w:t>
      </w:r>
    </w:p>
    <w:p>
      <w:pPr>
        <w:adjustRightInd w:val="0"/>
        <w:snapToGrid w:val="0"/>
        <w:spacing w:after="100" w:afterAutospacing="1"/>
        <w:jc w:val="center"/>
        <w:rPr>
          <w:rFonts w:hint="default" w:ascii="Times New Roman" w:hAnsi="Times New Roman" w:eastAsia="宋体" w:cs="Times New Roman"/>
          <w:b/>
          <w:bCs/>
          <w:color w:val="000000"/>
          <w:sz w:val="24"/>
          <w:szCs w:val="24"/>
          <w:highlight w:val="none"/>
          <w:u w:val="none" w:color="auto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jc w:val="center"/>
        <w:textAlignment w:val="auto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sz w:val="24"/>
          <w:szCs w:val="24"/>
          <w:highlight w:val="none"/>
          <w:u w:val="none" w:color="auto"/>
          <w:lang w:val="en-US" w:eastAsia="zh-CN"/>
        </w:rPr>
        <w:t>湖南省丰惠生态养殖有限公司稻蛙共作生态养殖项目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环境影响</w:t>
      </w:r>
      <w:r>
        <w:rPr>
          <w:rFonts w:hint="default" w:ascii="Times New Roman" w:hAnsi="Times New Roman" w:eastAsia="宋体" w:cs="Times New Roman"/>
          <w:b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专家审查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jc w:val="center"/>
        <w:textAlignment w:val="auto"/>
        <w:rPr>
          <w:rFonts w:hint="default" w:ascii="Times New Roman" w:hAnsi="Times New Roman" w:eastAsia="宋体" w:cs="Times New Roman"/>
          <w:b/>
          <w:color w:val="000000"/>
          <w:w w:val="90"/>
          <w:kern w:val="11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意见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firstLine="480" w:firstLineChars="200"/>
        <w:jc w:val="left"/>
        <w:textAlignment w:val="auto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202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4"/>
          <w:szCs w:val="24"/>
        </w:rPr>
        <w:t>年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t>月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宋体" w:cs="Times New Roman"/>
          <w:sz w:val="24"/>
          <w:szCs w:val="24"/>
        </w:rPr>
        <w:t>日，邀请了3位专家（名单附后）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以函审形式对</w:t>
      </w:r>
      <w:r>
        <w:rPr>
          <w:rFonts w:hint="default" w:ascii="Times New Roman" w:hAnsi="Times New Roman" w:eastAsia="宋体" w:cs="Times New Roman"/>
          <w:sz w:val="24"/>
          <w:szCs w:val="24"/>
        </w:rPr>
        <w:t>《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湖南省丰惠生态养殖有限公司稻蛙共作生态养殖项目</w:t>
      </w:r>
      <w:r>
        <w:rPr>
          <w:rFonts w:hint="default" w:ascii="Times New Roman" w:hAnsi="Times New Roman" w:eastAsia="宋体" w:cs="Times New Roman"/>
          <w:b w:val="0"/>
          <w:bCs/>
          <w:sz w:val="24"/>
          <w:szCs w:val="24"/>
        </w:rPr>
        <w:t>环境影响</w:t>
      </w:r>
      <w:r>
        <w:rPr>
          <w:rFonts w:hint="default" w:ascii="Times New Roman" w:hAnsi="Times New Roman" w:eastAsia="宋体" w:cs="Times New Roman"/>
          <w:b w:val="0"/>
          <w:bCs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sz w:val="24"/>
          <w:szCs w:val="24"/>
        </w:rPr>
        <w:t>》（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简</w:t>
      </w:r>
      <w:r>
        <w:rPr>
          <w:rFonts w:hint="default" w:ascii="Times New Roman" w:hAnsi="Times New Roman" w:eastAsia="宋体" w:cs="Times New Roman"/>
          <w:sz w:val="24"/>
          <w:szCs w:val="24"/>
        </w:rPr>
        <w:t>称“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b w:val="0"/>
          <w:bCs/>
          <w:sz w:val="24"/>
          <w:szCs w:val="24"/>
        </w:rPr>
        <w:t>”）</w:t>
      </w:r>
      <w:r>
        <w:rPr>
          <w:rFonts w:hint="default" w:ascii="Times New Roman" w:hAnsi="Times New Roman" w:eastAsia="宋体" w:cs="Times New Roman"/>
          <w:b w:val="0"/>
          <w:bCs/>
          <w:sz w:val="24"/>
          <w:szCs w:val="24"/>
          <w:lang w:eastAsia="zh-CN"/>
        </w:rPr>
        <w:t>进行了</w:t>
      </w:r>
      <w:r>
        <w:rPr>
          <w:rFonts w:hint="default" w:ascii="Times New Roman" w:hAnsi="Times New Roman" w:eastAsia="宋体" w:cs="Times New Roman"/>
          <w:sz w:val="24"/>
          <w:szCs w:val="24"/>
        </w:rPr>
        <w:t>技术评审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4"/>
          <w:szCs w:val="24"/>
        </w:rPr>
        <w:t>经认真审查和讨论，形成意见如下：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firstLine="675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</w:rPr>
        <w:t>一、项目概况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（摘自报告表）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right="0" w:firstLine="470" w:firstLineChars="196"/>
        <w:textAlignment w:val="auto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项目名称：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湖南省丰惠生态养殖有限公司稻蛙共作生态养殖项目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right="0" w:firstLine="470" w:firstLineChars="196"/>
        <w:textAlignment w:val="auto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建设性质：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highlight w:val="none"/>
          <w:u w:val="none" w:color="auto"/>
          <w:lang w:val="en-US" w:eastAsia="zh-CN"/>
        </w:rPr>
        <w:t>新建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right="0" w:firstLine="480" w:firstLineChars="0"/>
        <w:textAlignment w:val="auto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建设单位：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湖南省丰惠生态养殖有限公司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right="0" w:firstLine="480" w:firstLineChars="0"/>
        <w:textAlignment w:val="auto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建设地点：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永州市新田县中山街道挂兰村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firstLine="480" w:firstLineChars="200"/>
        <w:textAlignment w:val="auto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投资总额：</w:t>
      </w:r>
      <w:r>
        <w:rPr>
          <w:rFonts w:hint="default" w:ascii="Times New Roman" w:hAnsi="Times New Roman" w:eastAsia="宋体" w:cs="Times New Roman"/>
          <w:i w:val="0"/>
          <w:iCs w:val="0"/>
          <w:color w:val="000000"/>
          <w:sz w:val="24"/>
          <w:szCs w:val="24"/>
          <w:highlight w:val="none"/>
          <w:u w:val="none" w:color="auto"/>
        </w:rPr>
        <w:t>总投资</w:t>
      </w:r>
      <w:r>
        <w:rPr>
          <w:rFonts w:hint="eastAsia" w:ascii="Times New Roman" w:hAnsi="Times New Roman" w:eastAsia="宋体" w:cs="Times New Roman"/>
          <w:i w:val="0"/>
          <w:iCs w:val="0"/>
          <w:color w:val="000000"/>
          <w:sz w:val="24"/>
          <w:szCs w:val="24"/>
          <w:highlight w:val="none"/>
          <w:u w:val="none" w:color="auto"/>
          <w:lang w:val="en-US" w:eastAsia="zh-CN"/>
        </w:rPr>
        <w:t>7000</w:t>
      </w:r>
      <w:r>
        <w:rPr>
          <w:rFonts w:hint="default" w:ascii="Times New Roman" w:hAnsi="Times New Roman" w:eastAsia="宋体" w:cs="Times New Roman"/>
          <w:i w:val="0"/>
          <w:iCs w:val="0"/>
          <w:color w:val="000000"/>
          <w:sz w:val="24"/>
          <w:szCs w:val="24"/>
          <w:highlight w:val="none"/>
          <w:u w:val="none" w:color="auto"/>
        </w:rPr>
        <w:t>万元，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其中环保投资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131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万元，占总投资的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1.87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Autospacing="0" w:line="360" w:lineRule="auto"/>
        <w:ind w:left="0" w:leftChars="0" w:firstLine="480" w:firstLineChars="20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b w:val="0"/>
          <w:bCs/>
          <w:color w:val="000000"/>
          <w:sz w:val="24"/>
          <w:szCs w:val="24"/>
          <w:highlight w:val="none"/>
          <w:u w:val="none" w:color="auto"/>
        </w:rPr>
        <w:t>工程内容及规模</w:t>
      </w:r>
      <w:r>
        <w:rPr>
          <w:rFonts w:hint="default" w:ascii="Times New Roman" w:hAnsi="Times New Roman" w:eastAsia="宋体" w:cs="Times New Roman"/>
          <w:b w:val="0"/>
          <w:bCs/>
          <w:color w:val="000000"/>
          <w:sz w:val="24"/>
          <w:szCs w:val="24"/>
          <w:highlight w:val="none"/>
          <w:u w:val="none" w:color="auto"/>
          <w:lang w:eastAsia="zh-CN"/>
        </w:rPr>
        <w:t>：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总占地面积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0亩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主要建设内容包括养殖区、污水处理设施及仓库、环保设施等。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项目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采取的养殖方式为稻蛙共作生态养殖，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eastAsia="zh-CN"/>
        </w:rPr>
        <w:t>主要养殖的品种是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</w:rPr>
        <w:t>2020年3月农业农村部公布推广蛙类中的牛蛙、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青蛙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eastAsia="zh-CN"/>
        </w:rPr>
        <w:t>等品种，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项目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</w:rPr>
        <w:t>主要建设内容见表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center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1"/>
          <w:szCs w:val="21"/>
          <w:highlight w:val="none"/>
          <w:u w:val="none" w:color="auto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1"/>
          <w:szCs w:val="21"/>
          <w:highlight w:val="none"/>
          <w:u w:val="none" w:color="auto"/>
        </w:rPr>
        <w:t>表</w:t>
      </w:r>
      <w:r>
        <w:rPr>
          <w:rFonts w:hint="eastAsia" w:ascii="Times New Roman" w:hAnsi="Times New Roman" w:eastAsia="宋体" w:cs="Times New Roman"/>
          <w:b/>
          <w:bCs/>
          <w:color w:val="auto"/>
          <w:sz w:val="21"/>
          <w:szCs w:val="21"/>
          <w:highlight w:val="none"/>
          <w:u w:val="none" w:color="auto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b/>
          <w:bCs/>
          <w:color w:val="auto"/>
          <w:sz w:val="21"/>
          <w:szCs w:val="21"/>
          <w:highlight w:val="none"/>
          <w:u w:val="none" w:color="auto"/>
        </w:rPr>
        <w:t xml:space="preserve"> 主要建设内容一览表</w:t>
      </w:r>
    </w:p>
    <w:tbl>
      <w:tblPr>
        <w:tblStyle w:val="11"/>
        <w:tblW w:w="499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1"/>
        <w:gridCol w:w="503"/>
        <w:gridCol w:w="1445"/>
        <w:gridCol w:w="5607"/>
        <w:gridCol w:w="1446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类别</w:t>
            </w: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名称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建设内容及规模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  <w:t>备注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  <w:jc w:val="center"/>
        </w:trPr>
        <w:tc>
          <w:tcPr>
            <w:tcW w:w="473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主体</w:t>
            </w:r>
          </w:p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工程</w:t>
            </w: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养殖区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主要分为蛙苗区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蛙池区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以及水稻种植区，占地面积约116亩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restart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  <w:t>辅助工程</w:t>
            </w:r>
          </w:p>
        </w:tc>
        <w:tc>
          <w:tcPr>
            <w:tcW w:w="979" w:type="pct"/>
            <w:gridSpan w:val="2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仓库</w:t>
            </w:r>
          </w:p>
        </w:tc>
        <w:tc>
          <w:tcPr>
            <w:tcW w:w="2819" w:type="pct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面积360m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vertAlign w:val="superscript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，用于饲料等的堆放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yellow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蓄水池</w:t>
            </w:r>
          </w:p>
        </w:tc>
        <w:tc>
          <w:tcPr>
            <w:tcW w:w="2819" w:type="pct"/>
            <w:tcBorders>
              <w:top w:val="single" w:color="000000" w:sz="6" w:space="0"/>
            </w:tcBorders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yellow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  <w:t>容积100m</w:t>
            </w: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vertAlign w:val="superscript"/>
                <w:lang w:val="en-US" w:eastAsia="zh-CN" w:bidi="ar-SA"/>
              </w:rPr>
              <w:t>3</w:t>
            </w: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vertAlign w:val="baseline"/>
                <w:lang w:val="en-US" w:eastAsia="zh-CN" w:bidi="ar-SA"/>
              </w:rPr>
              <w:t>，</w:t>
            </w:r>
            <w:r>
              <w:rPr>
                <w:rFonts w:hint="eastAsia" w:ascii="Times New Roman" w:hAnsi="Times New Roman" w:eastAsia="宋体" w:cs="Times New Roman"/>
                <w:bCs/>
                <w:i w:val="0"/>
                <w:iCs w:val="0"/>
                <w:color w:val="auto"/>
                <w:kern w:val="2"/>
                <w:sz w:val="21"/>
                <w:szCs w:val="21"/>
                <w:highlight w:val="none"/>
                <w:u w:val="none" w:color="auto"/>
                <w:vertAlign w:val="baseline"/>
                <w:lang w:val="en-US" w:eastAsia="zh-CN" w:bidi="ar-SA"/>
              </w:rPr>
              <w:t>用于储存清水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yellow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机耕道</w:t>
            </w:r>
          </w:p>
        </w:tc>
        <w:tc>
          <w:tcPr>
            <w:tcW w:w="2819" w:type="pct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宽4m，长500m，占地面积约2000m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vertAlign w:val="superscript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vertAlign w:val="baseline"/>
                <w:lang w:val="en-US" w:eastAsia="zh-CN"/>
              </w:rPr>
              <w:t>，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用于产品及原料运输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highlight w:val="none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污水处理系统</w:t>
            </w:r>
          </w:p>
        </w:tc>
        <w:tc>
          <w:tcPr>
            <w:tcW w:w="2819" w:type="pct"/>
            <w:tcBorders>
              <w:top w:val="single" w:color="000000" w:sz="6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污水处理设备工艺为格栅＋厌氧＋好氧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restar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  <w:t>公用</w:t>
            </w:r>
          </w:p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  <w:t>工程</w:t>
            </w: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给水系统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生活用水来自市政供水、养殖用水来自日东河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排水系统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生活污水经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三格化粪池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处理后，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用于周边农田施肥；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养殖废水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经污水处理设备处理达标后外排至日东河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供电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市政供电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restar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  <w:t>环保</w:t>
            </w:r>
          </w:p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  <w:t>工程</w:t>
            </w:r>
          </w:p>
        </w:tc>
        <w:tc>
          <w:tcPr>
            <w:tcW w:w="979" w:type="pct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废水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处理措施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生活污水经三格化粪池处理后，用于周边农田施肥；养殖废水经污水处理系统处理达标后外排至日东河</w:t>
            </w:r>
          </w:p>
        </w:tc>
        <w:tc>
          <w:tcPr>
            <w:tcW w:w="727" w:type="pct"/>
            <w:tcBorders>
              <w:bottom w:val="single" w:color="000000" w:sz="6" w:space="0"/>
            </w:tcBorders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tcBorders>
              <w:top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废气处理措施</w:t>
            </w:r>
          </w:p>
        </w:tc>
        <w:tc>
          <w:tcPr>
            <w:tcW w:w="2819" w:type="pct"/>
            <w:tcBorders>
              <w:top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蛙池养殖臭气使用喷洒除臭剂进行处理</w:t>
            </w:r>
          </w:p>
        </w:tc>
        <w:tc>
          <w:tcPr>
            <w:tcW w:w="727" w:type="pct"/>
            <w:tcBorders>
              <w:top w:val="single" w:color="auto" w:sz="4" w:space="0"/>
            </w:tcBorders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979" w:type="pct"/>
            <w:gridSpan w:val="2"/>
            <w:tcBorders>
              <w:top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噪声</w:t>
            </w: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防治措施</w:t>
            </w:r>
          </w:p>
        </w:tc>
        <w:tc>
          <w:tcPr>
            <w:tcW w:w="2819" w:type="pct"/>
            <w:tcBorders>
              <w:top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各设备采取基础减振、在靠近居民一侧厂界种植绿化及加装围墙等降噪措施</w:t>
            </w:r>
          </w:p>
        </w:tc>
        <w:tc>
          <w:tcPr>
            <w:tcW w:w="727" w:type="pct"/>
            <w:tcBorders>
              <w:top w:val="single" w:color="auto" w:sz="4" w:space="0"/>
            </w:tcBorders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252" w:type="pct"/>
            <w:vMerge w:val="restar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固废</w:t>
            </w:r>
          </w:p>
        </w:tc>
        <w:tc>
          <w:tcPr>
            <w:tcW w:w="726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生活垃圾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交由环卫部门处置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252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</w:p>
        </w:tc>
        <w:tc>
          <w:tcPr>
            <w:tcW w:w="726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废饲料包装袋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外售至废品收购站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252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</w:p>
        </w:tc>
        <w:tc>
          <w:tcPr>
            <w:tcW w:w="726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病死蛙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少量用于喂鱼，剩余部分进行安全填埋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252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</w:p>
        </w:tc>
        <w:tc>
          <w:tcPr>
            <w:tcW w:w="726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废弃网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外售至废品收购站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73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u w:val="none" w:color="auto"/>
                <w:lang w:val="en-US" w:eastAsia="zh-CN"/>
              </w:rPr>
            </w:pPr>
          </w:p>
        </w:tc>
        <w:tc>
          <w:tcPr>
            <w:tcW w:w="252" w:type="pct"/>
            <w:vMerge w:val="continue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yellow"/>
                <w:u w:val="none" w:color="auto"/>
                <w:lang w:val="en-US" w:eastAsia="zh-CN"/>
              </w:rPr>
            </w:pPr>
          </w:p>
        </w:tc>
        <w:tc>
          <w:tcPr>
            <w:tcW w:w="726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沉淀池淤泥</w:t>
            </w:r>
          </w:p>
        </w:tc>
        <w:tc>
          <w:tcPr>
            <w:tcW w:w="2819" w:type="pct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u w:val="none" w:color="auto"/>
                <w:lang w:val="en-US" w:eastAsia="zh-CN"/>
              </w:rPr>
              <w:t>自然干化后由当地农民清运至果林种树</w:t>
            </w:r>
          </w:p>
        </w:tc>
        <w:tc>
          <w:tcPr>
            <w:tcW w:w="727" w:type="pct"/>
            <w:noWrap w:val="0"/>
            <w:vAlign w:val="center"/>
          </w:tcPr>
          <w:p>
            <w:pPr>
              <w:widowControl w:val="0"/>
              <w:adjustRightInd w:val="0"/>
              <w:snapToGrid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1"/>
                <w:szCs w:val="21"/>
                <w:u w:val="none" w:color="auto"/>
                <w:lang w:val="en-US" w:eastAsia="zh-CN" w:bidi="ar-SA"/>
              </w:rPr>
              <w:t>新建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2" w:firstLineChars="200"/>
        <w:jc w:val="left"/>
        <w:textAlignment w:val="auto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二、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编制质量情况</w:t>
      </w:r>
    </w:p>
    <w:p>
      <w:pPr>
        <w:keepNext w:val="0"/>
        <w:keepLines w:val="0"/>
        <w:pageBreakBefore w:val="0"/>
        <w:widowControl w:val="0"/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720" w:firstLineChars="300"/>
        <w:textAlignment w:val="auto"/>
        <w:outlineLvl w:val="9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专家组认为，</w:t>
      </w:r>
      <w:r>
        <w:rPr>
          <w:rFonts w:hint="default" w:ascii="Times New Roman" w:hAnsi="Times New Roman" w:eastAsia="宋体" w:cs="Times New Roman"/>
          <w:b w:val="0"/>
          <w:bCs w:val="0"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sz w:val="24"/>
          <w:szCs w:val="24"/>
        </w:rPr>
        <w:t>格式规范，评价标准、评价范围基本合适，对项目主要污染物产生及预计排放情况分析结论基本合理，提出的拟采取的防治措施和减缓不良环境影响的对策措施原则可行，影响分析结论基本可信。</w:t>
      </w:r>
    </w:p>
    <w:p>
      <w:pPr>
        <w:keepNext w:val="0"/>
        <w:keepLines w:val="0"/>
        <w:pageBreakBefore w:val="0"/>
        <w:widowControl w:val="0"/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2" w:firstLineChars="200"/>
        <w:textAlignment w:val="auto"/>
        <w:outlineLvl w:val="9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三、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报告表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修改</w:t>
      </w:r>
      <w:r>
        <w:rPr>
          <w:rFonts w:hint="default" w:ascii="Times New Roman" w:hAnsi="Times New Roman" w:eastAsia="宋体" w:cs="Times New Roman"/>
          <w:b/>
          <w:sz w:val="24"/>
          <w:szCs w:val="24"/>
          <w:lang w:eastAsia="zh-CN"/>
        </w:rPr>
        <w:t>、完善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意见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1、进一步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调查、核实</w:t>
      </w:r>
      <w:r>
        <w:rPr>
          <w:rFonts w:hint="default" w:ascii="Times New Roman" w:hAnsi="Times New Roman" w:eastAsia="宋体" w:cs="Times New Roman"/>
          <w:sz w:val="24"/>
          <w:szCs w:val="24"/>
        </w:rPr>
        <w:t>项目内容，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特别要进一步</w:t>
      </w:r>
      <w:r>
        <w:rPr>
          <w:rFonts w:hint="default" w:ascii="Times New Roman" w:hAnsi="Times New Roman" w:eastAsia="宋体" w:cs="Times New Roman"/>
          <w:sz w:val="24"/>
          <w:szCs w:val="24"/>
        </w:rPr>
        <w:t>说明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租用的土地面积（进一步核实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养殖面积）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、所用饲料的主要成分及用量、所用药物的种类及用量、产量等内容；进一步论述项目特点，特别要说明如何实现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highlight w:val="none"/>
          <w:u w:val="none" w:color="auto"/>
          <w:lang w:val="en-US" w:eastAsia="zh-CN"/>
        </w:rPr>
        <w:t>稻蛙共作生态养殖方式。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2、强化工程分析、产排污分析，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特别要注意以下几个方面：强化水平衡分析，核实废水量及废水中主要污染物，介绍水污染特征；核实污泥、死蛙等废物产生量及污染特征；补充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噪声源强；调查项目气味的污染特征等。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both"/>
        <w:textAlignment w:val="auto"/>
        <w:outlineLvl w:val="9"/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  <w:t>3、强化项目区的环境现状的调查、监测，特别注意：详细调查租用土地的类别、水系及水功能区划、项目地的生态管控单位类别及管控要求、项目与敏感区域的位置关系等；进一调查、核实环保目标；要根据纳污水体的功能要求，核实污水的处理程度和所要求的标准；进一步论证项目选址的合理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both"/>
        <w:textAlignment w:val="auto"/>
        <w:outlineLvl w:val="9"/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  <w:t>4、强化环境影响评价，进一步强化水环境影响评价、生态环境影响评价、声环境影响评价、异味对环境的影响、固废对环境的影响等。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both"/>
        <w:textAlignment w:val="auto"/>
        <w:outlineLvl w:val="9"/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  <w:t>5细化、强化环保措施，建设高质量的环保设施，特别要重视污水的处理、污泥及死蛙的处理等。补充、完善环保投资及“三同时”验收内容。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both"/>
        <w:textAlignment w:val="auto"/>
        <w:outlineLvl w:val="9"/>
        <w:rPr>
          <w:rFonts w:hint="default" w:ascii="Times New Roman" w:hAnsi="Times New Roman" w:eastAsia="宋体" w:cs="Times New Roman"/>
          <w:b/>
          <w:kern w:val="2"/>
          <w:sz w:val="24"/>
          <w:szCs w:val="24"/>
          <w:u w:val="none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4"/>
          <w:szCs w:val="24"/>
          <w:u w:val="none"/>
          <w:lang w:val="en-US" w:eastAsia="zh-CN" w:bidi="ar-SA"/>
        </w:rPr>
        <w:t>6、补充、完善相关的附图、附件。</w:t>
      </w:r>
    </w:p>
    <w:p>
      <w:pPr>
        <w:keepNext w:val="0"/>
        <w:keepLines w:val="0"/>
        <w:pageBreakBefore w:val="0"/>
        <w:widowControl w:val="0"/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2" w:firstLineChars="200"/>
        <w:textAlignment w:val="auto"/>
        <w:outlineLvl w:val="9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四、总体结论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只要认真落实各项生态环境保护措施，项目运营所产生的环境影响可控制在环境功能区划的要求范围内，在项目选址符合相关要求的前提下，从环境保护技术角度考虑，本项目的建设是可行的。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/>
        <w:jc w:val="right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评审专家：蒋立新（组长）、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朱小峰</w:t>
      </w:r>
      <w:r>
        <w:rPr>
          <w:rFonts w:hint="default" w:ascii="Times New Roman" w:hAnsi="Times New Roman" w:eastAsia="宋体" w:cs="Times New Roman"/>
          <w:sz w:val="24"/>
          <w:szCs w:val="24"/>
        </w:rPr>
        <w:t>、蒋宏国（执笔）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20" w:leftChars="0" w:hanging="120" w:hangingChars="50"/>
        <w:jc w:val="right"/>
        <w:textAlignment w:val="auto"/>
        <w:rPr>
          <w:rFonts w:hint="default" w:ascii="Times New Roman" w:hAnsi="Times New Roman" w:eastAsia="宋体" w:cs="Times New Roman"/>
          <w:sz w:val="24"/>
          <w:szCs w:val="24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sz w:val="24"/>
          <w:szCs w:val="24"/>
        </w:rPr>
        <w:t>二〇二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二年四</w:t>
      </w:r>
      <w:r>
        <w:rPr>
          <w:rFonts w:hint="default" w:ascii="Times New Roman" w:hAnsi="Times New Roman" w:eastAsia="宋体" w:cs="Times New Roman"/>
          <w:sz w:val="24"/>
          <w:szCs w:val="24"/>
        </w:rPr>
        <w:t>月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九</w:t>
      </w:r>
      <w:r>
        <w:rPr>
          <w:rFonts w:hint="default" w:ascii="Times New Roman" w:hAnsi="Times New Roman" w:eastAsia="宋体" w:cs="Times New Roman"/>
          <w:sz w:val="24"/>
          <w:szCs w:val="24"/>
        </w:rPr>
        <w:t>日</w:t>
      </w:r>
    </w:p>
    <w:p>
      <w:pPr>
        <w:pStyle w:val="4"/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eastAsia="zh-CN"/>
        </w:rPr>
        <w:drawing>
          <wp:inline distT="0" distB="0" distL="114300" distR="114300">
            <wp:extent cx="8241665" cy="6181090"/>
            <wp:effectExtent l="0" t="0" r="6985" b="10160"/>
            <wp:docPr id="2" name="图片 2" descr="17fa5e0c33c2d62b9d2e0b40c16f6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fa5e0c33c2d62b9d2e0b40c16f6ca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241665" cy="618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default" w:eastAsiaTheme="minorEastAsia"/>
          <w:lang w:val="en-US"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6186805" cy="8266430"/>
            <wp:effectExtent l="0" t="0" r="4445" b="1270"/>
            <wp:docPr id="3" name="图片 3" descr="cc3e29ad772d562a51fe087c5d5b2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c3e29ad772d562a51fe087c5d5b20c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26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drawing>
          <wp:inline distT="0" distB="0" distL="114300" distR="114300">
            <wp:extent cx="6047740" cy="8837295"/>
            <wp:effectExtent l="0" t="0" r="10160" b="1905"/>
            <wp:docPr id="5" name="图片 5" descr="09f27069d97dc5b7e4d51d179761a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9f27069d97dc5b7e4d51d179761af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drawing>
          <wp:inline distT="0" distB="0" distL="114300" distR="114300">
            <wp:extent cx="5967730" cy="8845550"/>
            <wp:effectExtent l="0" t="0" r="13970" b="12700"/>
            <wp:docPr id="4" name="图片 4" descr="26995e87cba0497ea612cd8b08e1e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995e87cba0497ea612cd8b08e1ea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8B071DC"/>
    <w:multiLevelType w:val="singleLevel"/>
    <w:tmpl w:val="D8B071DC"/>
    <w:lvl w:ilvl="0" w:tentative="0">
      <w:start w:val="1"/>
      <w:numFmt w:val="bullet"/>
      <w:pStyle w:val="5"/>
      <w:lvlText w:val=""/>
      <w:lvlJc w:val="left"/>
      <w:pPr>
        <w:tabs>
          <w:tab w:val="left" w:pos="780"/>
        </w:tabs>
        <w:ind w:left="7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4YWI0MDVkNWVlNjM0YTY4OTU5MTBiODhjZWRmZGIifQ=="/>
  </w:docVars>
  <w:rsids>
    <w:rsidRoot w:val="00000000"/>
    <w:rsid w:val="05C03075"/>
    <w:rsid w:val="167F721E"/>
    <w:rsid w:val="19F86AF2"/>
    <w:rsid w:val="1F071A15"/>
    <w:rsid w:val="252A1C42"/>
    <w:rsid w:val="25356811"/>
    <w:rsid w:val="2629567C"/>
    <w:rsid w:val="2D703144"/>
    <w:rsid w:val="30BE0B23"/>
    <w:rsid w:val="34246BE6"/>
    <w:rsid w:val="34380E23"/>
    <w:rsid w:val="36F627CD"/>
    <w:rsid w:val="4F396AC3"/>
    <w:rsid w:val="5009298E"/>
    <w:rsid w:val="54E27F32"/>
    <w:rsid w:val="5B5D45AD"/>
    <w:rsid w:val="61002126"/>
    <w:rsid w:val="6B8F5E91"/>
    <w:rsid w:val="6DC07C48"/>
    <w:rsid w:val="76EA6E85"/>
    <w:rsid w:val="7AF60545"/>
    <w:rsid w:val="7C7A1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qFormat="1"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3">
    <w:name w:val="Normal Indent"/>
    <w:basedOn w:val="1"/>
    <w:unhideWhenUsed/>
    <w:qFormat/>
    <w:uiPriority w:val="0"/>
    <w:pPr>
      <w:spacing w:line="520" w:lineRule="exact"/>
      <w:ind w:firstLine="200" w:firstLineChars="200"/>
    </w:pPr>
    <w:rPr>
      <w:rFonts w:ascii="宋体" w:hAnsi="宋体"/>
      <w:sz w:val="28"/>
      <w:szCs w:val="20"/>
    </w:rPr>
  </w:style>
  <w:style w:type="paragraph" w:styleId="4">
    <w:name w:val="Body Text"/>
    <w:basedOn w:val="1"/>
    <w:semiHidden/>
    <w:qFormat/>
    <w:uiPriority w:val="0"/>
    <w:pPr>
      <w:spacing w:after="120"/>
    </w:pPr>
    <w:rPr>
      <w:rFonts w:ascii="宋体" w:hAnsi="宋体"/>
    </w:rPr>
  </w:style>
  <w:style w:type="paragraph" w:styleId="5">
    <w:name w:val="List Bullet 2"/>
    <w:basedOn w:val="1"/>
    <w:qFormat/>
    <w:uiPriority w:val="0"/>
    <w:pPr>
      <w:numPr>
        <w:ilvl w:val="0"/>
        <w:numId w:val="1"/>
      </w:numPr>
    </w:pPr>
  </w:style>
  <w:style w:type="paragraph" w:styleId="6">
    <w:name w:val="Plain Text"/>
    <w:basedOn w:val="1"/>
    <w:next w:val="1"/>
    <w:qFormat/>
    <w:uiPriority w:val="0"/>
    <w:rPr>
      <w:rFonts w:ascii="宋体" w:hAnsi="Courier New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rFonts w:ascii="Tahoma" w:hAnsi="Tahoma" w:eastAsia="Times New Roman"/>
      <w:kern w:val="0"/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rFonts w:ascii="Tahoma" w:hAnsi="Tahoma" w:eastAsia="Times New Roman"/>
      <w:kern w:val="0"/>
      <w:sz w:val="18"/>
      <w:szCs w:val="18"/>
    </w:rPr>
  </w:style>
  <w:style w:type="paragraph" w:styleId="9">
    <w:name w:val="List"/>
    <w:basedOn w:val="1"/>
    <w:next w:val="5"/>
    <w:qFormat/>
    <w:uiPriority w:val="0"/>
    <w:pPr>
      <w:ind w:left="200" w:hanging="200" w:hangingChars="200"/>
      <w:contextualSpacing/>
    </w:pPr>
  </w:style>
  <w:style w:type="paragraph" w:styleId="10">
    <w:name w:val="toc 2"/>
    <w:basedOn w:val="1"/>
    <w:next w:val="1"/>
    <w:qFormat/>
    <w:uiPriority w:val="0"/>
    <w:pPr>
      <w:widowControl w:val="0"/>
      <w:ind w:left="420" w:leftChars="200"/>
      <w:jc w:val="both"/>
    </w:pPr>
    <w:rPr>
      <w:rFonts w:ascii="Calibri" w:hAnsi="Calibri" w:eastAsia="宋体" w:cs="Times New Roman"/>
      <w:kern w:val="2"/>
      <w:sz w:val="21"/>
      <w:szCs w:val="21"/>
      <w:lang w:val="en-US" w:eastAsia="zh-CN" w:bidi="ar-SA"/>
    </w:rPr>
  </w:style>
  <w:style w:type="character" w:styleId="13">
    <w:name w:val="page number"/>
    <w:basedOn w:val="12"/>
    <w:qFormat/>
    <w:uiPriority w:val="0"/>
  </w:style>
  <w:style w:type="paragraph" w:customStyle="1" w:styleId="14">
    <w:name w:val="Default"/>
    <w:basedOn w:val="15"/>
    <w:next w:val="9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15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16">
    <w:name w:val="报告表头"/>
    <w:basedOn w:val="1"/>
    <w:qFormat/>
    <w:uiPriority w:val="0"/>
    <w:pPr>
      <w:jc w:val="center"/>
    </w:pPr>
    <w:rPr>
      <w:rFonts w:hAnsi="宋体" w:eastAsia="黑体"/>
      <w:sz w:val="24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39</Pages>
  <Words>1601</Words>
  <Characters>1637</Characters>
  <Lines>0</Lines>
  <Paragraphs>0</Paragraphs>
  <TotalTime>27</TotalTime>
  <ScaleCrop>false</ScaleCrop>
  <LinksUpToDate>false</LinksUpToDate>
  <CharactersWithSpaces>1638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2021-01-14T08:03:00Z</dcterms:created>
  <dc:creator>HP</dc:creator>
  <cp:lastModifiedBy>zey</cp:lastModifiedBy>
  <dcterms:modified xsi:type="dcterms:W3CDTF">2022-06-01T06:55:18Z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0B035A2ABF734F68BD0A418F16B3315F</vt:lpwstr>
  </property>
</Properties>
</file>