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3360" w:firstLineChars="700"/>
        <w:jc w:val="both"/>
        <w:rPr>
          <w:rFonts w:hint="eastAsia"/>
          <w:sz w:val="48"/>
          <w:szCs w:val="48"/>
          <w:lang w:eastAsia="zh-CN"/>
        </w:rPr>
      </w:pPr>
    </w:p>
    <w:p>
      <w:pPr>
        <w:pStyle w:val="11"/>
        <w:ind w:firstLine="3360" w:firstLineChars="700"/>
        <w:jc w:val="both"/>
        <w:rPr>
          <w:rFonts w:hint="eastAsia"/>
          <w:sz w:val="48"/>
          <w:szCs w:val="48"/>
          <w:lang w:eastAsia="zh-CN"/>
        </w:rPr>
      </w:pPr>
      <w:r>
        <w:rPr>
          <w:rFonts w:hint="eastAsia"/>
          <w:sz w:val="48"/>
          <w:szCs w:val="48"/>
          <w:lang w:eastAsia="zh-CN"/>
        </w:rPr>
        <w:t>新田县</w:t>
      </w:r>
      <w:r>
        <w:rPr>
          <w:rFonts w:hint="eastAsia"/>
          <w:sz w:val="48"/>
          <w:szCs w:val="48"/>
          <w:lang w:val="en-US" w:eastAsia="zh-CN"/>
        </w:rPr>
        <w:t>司法局2022</w:t>
      </w:r>
      <w:r>
        <w:rPr>
          <w:rFonts w:hint="eastAsia"/>
          <w:sz w:val="48"/>
          <w:szCs w:val="48"/>
          <w:lang w:eastAsia="zh-CN"/>
        </w:rPr>
        <w:t>年度部门决算公开</w:t>
      </w:r>
    </w:p>
    <w:p>
      <w:pPr>
        <w:pStyle w:val="11"/>
        <w:spacing w:line="540" w:lineRule="exact"/>
        <w:jc w:val="center"/>
        <w:rPr>
          <w:sz w:val="56"/>
          <w:szCs w:val="56"/>
        </w:rPr>
      </w:pPr>
    </w:p>
    <w:p>
      <w:pPr>
        <w:pStyle w:val="11"/>
        <w:spacing w:line="500" w:lineRule="exact"/>
        <w:ind w:firstLine="6144" w:firstLineChars="1700"/>
        <w:jc w:val="both"/>
        <w:rPr>
          <w:rFonts w:hint="eastAsia"/>
          <w:b/>
          <w:sz w:val="36"/>
          <w:szCs w:val="28"/>
        </w:rPr>
      </w:pPr>
    </w:p>
    <w:p>
      <w:pPr>
        <w:pStyle w:val="11"/>
        <w:spacing w:line="500" w:lineRule="exact"/>
        <w:ind w:firstLine="6626" w:firstLineChars="1500"/>
        <w:jc w:val="both"/>
        <w:rPr>
          <w:b/>
          <w:sz w:val="36"/>
          <w:szCs w:val="28"/>
        </w:rPr>
      </w:pPr>
      <w:r>
        <w:rPr>
          <w:rFonts w:hint="eastAsia"/>
          <w:b/>
          <w:sz w:val="44"/>
          <w:szCs w:val="44"/>
        </w:rPr>
        <w:t>目录</w:t>
      </w:r>
    </w:p>
    <w:p>
      <w:pPr>
        <w:pStyle w:val="11"/>
        <w:spacing w:line="500" w:lineRule="exact"/>
        <w:rPr>
          <w:rFonts w:hint="eastAsia" w:ascii="黑体" w:hAnsi="黑体" w:eastAsia="黑体" w:cs="黑体"/>
          <w:b w:val="0"/>
          <w:bCs/>
          <w:sz w:val="28"/>
          <w:szCs w:val="28"/>
        </w:rPr>
      </w:pPr>
    </w:p>
    <w:p>
      <w:pPr>
        <w:pStyle w:val="11"/>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第一部分</w:t>
      </w:r>
      <w:r>
        <w:rPr>
          <w:rFonts w:hint="eastAsia" w:ascii="黑体" w:hAnsi="黑体" w:eastAsia="黑体" w:cs="黑体"/>
          <w:b/>
          <w:bCs w:val="0"/>
          <w:sz w:val="28"/>
          <w:szCs w:val="28"/>
          <w:lang w:val="en-US" w:eastAsia="zh-CN"/>
        </w:rPr>
        <w:t xml:space="preserve"> 新田县</w:t>
      </w:r>
      <w:r>
        <w:rPr>
          <w:rFonts w:hint="eastAsia" w:hAnsi="黑体" w:cs="黑体"/>
          <w:b/>
          <w:bCs w:val="0"/>
          <w:sz w:val="28"/>
          <w:szCs w:val="28"/>
          <w:lang w:val="en-US" w:eastAsia="zh-CN"/>
        </w:rPr>
        <w:t>司法局</w:t>
      </w:r>
      <w:r>
        <w:rPr>
          <w:rFonts w:hint="eastAsia" w:ascii="黑体" w:hAnsi="黑体" w:eastAsia="黑体" w:cs="黑体"/>
          <w:b/>
          <w:bCs w:val="0"/>
          <w:sz w:val="28"/>
          <w:szCs w:val="28"/>
        </w:rPr>
        <w:t>概况</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第二部分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部门决算表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int="eastAsia" w:ascii="黑体" w:hAnsi="黑体" w:eastAsia="黑体" w:cs="黑体"/>
          <w:b w:val="0"/>
          <w:bCs/>
          <w:sz w:val="28"/>
          <w:szCs w:val="28"/>
        </w:rPr>
      </w:pPr>
    </w:p>
    <w:p>
      <w:pPr>
        <w:pStyle w:val="11"/>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第三部分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部门决算情况说明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第四部分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名词解释</w:t>
      </w:r>
    </w:p>
    <w:p>
      <w:pPr>
        <w:pStyle w:val="11"/>
        <w:spacing w:line="500" w:lineRule="exact"/>
        <w:rPr>
          <w:rFonts w:hint="eastAsia" w:ascii="黑体" w:hAnsi="黑体" w:eastAsia="黑体" w:cs="黑体"/>
          <w:b/>
          <w:bCs w:val="0"/>
          <w:sz w:val="28"/>
          <w:szCs w:val="28"/>
        </w:rPr>
      </w:pPr>
      <w:r>
        <w:rPr>
          <w:rFonts w:ascii="黑体" w:hAnsi="黑体" w:eastAsia="黑体" w:cs="黑体"/>
          <w:b/>
          <w:bCs w:val="0"/>
          <w:color w:val="000000"/>
          <w:kern w:val="0"/>
          <w:sz w:val="28"/>
          <w:szCs w:val="28"/>
        </w:rPr>
        <w:t>第五部分</w:t>
      </w:r>
      <w:r>
        <w:rPr>
          <w:rFonts w:hint="eastAsia" w:hAnsi="黑体" w:cs="黑体"/>
          <w:b/>
          <w:bCs w:val="0"/>
          <w:color w:val="000000"/>
          <w:kern w:val="0"/>
          <w:sz w:val="28"/>
          <w:szCs w:val="28"/>
          <w:lang w:val="en-US" w:eastAsia="zh-CN"/>
        </w:rPr>
        <w:t xml:space="preserve"> </w:t>
      </w:r>
      <w:r>
        <w:rPr>
          <w:rFonts w:ascii="黑体" w:hAnsi="黑体" w:eastAsia="黑体" w:cs="黑体"/>
          <w:b/>
          <w:bCs w:val="0"/>
          <w:color w:val="000000"/>
          <w:kern w:val="0"/>
          <w:sz w:val="28"/>
          <w:szCs w:val="28"/>
        </w:rPr>
        <w:t>附件</w:t>
      </w:r>
    </w:p>
    <w:p>
      <w:pPr>
        <w:jc w:val="both"/>
        <w:rPr>
          <w:rFonts w:hint="eastAsia" w:ascii="黑体" w:hAnsi="黑体" w:eastAsia="黑体" w:cs="黑体"/>
          <w:b/>
          <w:bCs w:val="0"/>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b/>
          <w:bCs/>
          <w:sz w:val="72"/>
          <w:szCs w:val="72"/>
        </w:rPr>
      </w:pPr>
      <w:r>
        <w:rPr>
          <w:rFonts w:hint="eastAsia" w:ascii="黑体" w:hAnsi="黑体" w:eastAsia="黑体" w:cs="黑体"/>
          <w:b/>
          <w:bCs/>
          <w:sz w:val="32"/>
          <w:szCs w:val="32"/>
        </w:rPr>
        <w:t xml:space="preserve">第一部分 </w:t>
      </w:r>
      <w:r>
        <w:rPr>
          <w:rFonts w:hint="eastAsia" w:ascii="黑体" w:hAnsi="黑体" w:eastAsia="黑体" w:cs="黑体"/>
          <w:b/>
          <w:bCs/>
          <w:sz w:val="32"/>
          <w:szCs w:val="32"/>
          <w:lang w:val="en-US" w:eastAsia="zh-CN"/>
        </w:rPr>
        <w:t xml:space="preserve"> 司法局</w:t>
      </w:r>
      <w:r>
        <w:rPr>
          <w:rFonts w:hint="eastAsia" w:ascii="黑体" w:hAnsi="黑体" w:eastAsia="黑体" w:cs="黑体"/>
          <w:b/>
          <w:bCs/>
          <w:sz w:val="32"/>
          <w:szCs w:val="32"/>
        </w:rPr>
        <w:t>单位概况</w:t>
      </w:r>
    </w:p>
    <w:p>
      <w:pPr>
        <w:pStyle w:val="12"/>
        <w:numPr>
          <w:ilvl w:val="0"/>
          <w:numId w:val="1"/>
        </w:numPr>
        <w:ind w:firstLineChars="0"/>
        <w:jc w:val="left"/>
        <w:rPr>
          <w:rFonts w:asciiTheme="minorEastAsia" w:hAnsiTheme="minorEastAsia" w:cstheme="minorEastAsia"/>
          <w:b/>
          <w:bCs/>
          <w:sz w:val="28"/>
          <w:szCs w:val="28"/>
        </w:rPr>
      </w:pPr>
      <w:r>
        <w:rPr>
          <w:rFonts w:hint="eastAsia" w:ascii="黑体" w:hAnsi="黑体" w:eastAsia="黑体" w:cs="黑体"/>
          <w:b w:val="0"/>
          <w:bCs w:val="0"/>
          <w:sz w:val="32"/>
          <w:szCs w:val="32"/>
        </w:rPr>
        <w:t>部门职责</w:t>
      </w:r>
    </w:p>
    <w:p>
      <w:pPr>
        <w:pStyle w:val="6"/>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（一）承担全面依法治县重大问题的政策研究，协调有关方面提出全面依法治县中长期规划建议，负责有关重大决策部署督察工作。</w:t>
      </w:r>
    </w:p>
    <w:p>
      <w:pPr>
        <w:pStyle w:val="6"/>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（二）承担上级立法调研协调工作。配合开展立法规划和年度立法工作计划的调研工作，协调有关方面提出立法规划和年度立法工作计划的建议。</w:t>
      </w:r>
    </w:p>
    <w:p>
      <w:pPr>
        <w:pStyle w:val="6"/>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三）指导全县规范性文件管理有关工作，承担县政府规范性文件送审稿的合法性审查工作，承办县政府及其部门规范性文件的登记工作。负责县政府规范性文件向市政府报送备案工作。受理有关规范性文件是否违法的审查申请。组织开展规范性文件清理工作。承担县政府法律顾问工作，负责对县政府重大行政决策进行合法性审查或论证说明。</w:t>
      </w:r>
    </w:p>
    <w:p>
      <w:pPr>
        <w:pStyle w:val="6"/>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四）承担统筹推进法治政府建设的责任。指导、监督县政府各部门、各乡镇政府依法行政工作。负责综合协调行政执法，承担推进行政执法体制改革有关工作，推进严格规范公正文明执法。承办向县政府申请的行政复议案件。指导、监督全县行政复议、行政赔偿和行政应诉工作，负责县政府行政复议和行政应诉案件办理工作。承担县政府行政复议办公室的日常工作。</w:t>
      </w:r>
    </w:p>
    <w:p>
      <w:pPr>
        <w:pStyle w:val="6"/>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五）承担统筹规划全县法治社会建设的责任。负责拟订法治宣传教育规划，组织实施普法宣传工作，组织对外法治宣传。推动人民参与和促进法治建设。指导依法治理和法治创建工作。指导人民调解工作和人民陪审员、人民监督员选任管理工作，推进司法所建设。</w:t>
      </w:r>
    </w:p>
    <w:p>
      <w:pPr>
        <w:pStyle w:val="6"/>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 （六）指导、管理社区矫正工作。指导刑满释放人员帮教安置工作。</w:t>
      </w:r>
    </w:p>
    <w:p>
      <w:pPr>
        <w:pStyle w:val="6"/>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 （七）负责拟订公共法律服务体系建设规划并指导实施，统筹和布局城乡、区域法律服务资源。指导、监督律师、法律援助、司法鉴定、公证和基层法律服务管理工作。</w:t>
      </w:r>
    </w:p>
    <w:p>
      <w:pPr>
        <w:pStyle w:val="6"/>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 （八）负责全县法治对外合作工作。（九）负责本系统服装和警车管理工作，指导、监督本系统财务、装备、设施、场所等保障工作。</w:t>
      </w:r>
    </w:p>
    <w:p>
      <w:pPr>
        <w:pStyle w:val="6"/>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 （十）规划、协调、指导法治人才队伍建设相关工作。</w:t>
      </w:r>
    </w:p>
    <w:p>
      <w:pPr>
        <w:pStyle w:val="6"/>
        <w:widowControl/>
        <w:spacing w:beforeAutospacing="0" w:afterAutospacing="0" w:line="520" w:lineRule="atLeast"/>
        <w:ind w:firstLine="700"/>
        <w:rPr>
          <w:rFonts w:ascii="Calibri" w:hAnsi="Calibri" w:cs="Calibri"/>
          <w:sz w:val="21"/>
          <w:szCs w:val="21"/>
        </w:rPr>
      </w:pPr>
      <w:r>
        <w:rPr>
          <w:rFonts w:hint="eastAsia" w:ascii="宋体" w:hAnsi="宋体" w:eastAsia="宋体" w:cs="宋体"/>
          <w:color w:val="000000"/>
          <w:sz w:val="28"/>
          <w:szCs w:val="28"/>
        </w:rPr>
        <w:t>  </w:t>
      </w:r>
      <w:r>
        <w:rPr>
          <w:rFonts w:ascii="仿宋" w:hAnsi="仿宋" w:eastAsia="仿宋" w:cs="仿宋"/>
          <w:color w:val="000000"/>
          <w:sz w:val="28"/>
          <w:szCs w:val="28"/>
        </w:rPr>
        <w:t>(</w:t>
      </w:r>
      <w:r>
        <w:rPr>
          <w:rFonts w:hint="eastAsia" w:ascii="宋体" w:hAnsi="宋体" w:eastAsia="宋体" w:cs="宋体"/>
          <w:color w:val="000000"/>
          <w:sz w:val="28"/>
          <w:szCs w:val="28"/>
        </w:rPr>
        <w:t>十一）承办县委、县政府交办的其他任务。</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pStyle w:val="6"/>
        <w:widowControl/>
        <w:spacing w:beforeAutospacing="0" w:afterAutospacing="0" w:line="520" w:lineRule="atLeast"/>
        <w:ind w:firstLine="700"/>
        <w:rPr>
          <w:rFonts w:ascii="Calibri" w:hAnsi="Calibri" w:cs="Calibri"/>
          <w:sz w:val="21"/>
          <w:szCs w:val="21"/>
        </w:rPr>
      </w:pPr>
      <w:r>
        <w:rPr>
          <w:rFonts w:hint="eastAsia" w:ascii="Times New Roman" w:hAnsi="Times New Roman" w:eastAsia="仿宋_GB2312" w:cs="仿宋_GB2312"/>
          <w:bCs/>
          <w:kern w:val="0"/>
          <w:sz w:val="32"/>
          <w:szCs w:val="32"/>
        </w:rPr>
        <w:t>（一）内设机构设置。</w:t>
      </w:r>
      <w:r>
        <w:rPr>
          <w:rFonts w:hint="eastAsia" w:ascii="Times New Roman" w:hAnsi="Times New Roman" w:eastAsia="仿宋_GB2312" w:cs="仿宋_GB2312"/>
          <w:bCs/>
          <w:kern w:val="0"/>
          <w:sz w:val="32"/>
          <w:szCs w:val="32"/>
          <w:lang w:val="en-US" w:eastAsia="zh-CN"/>
        </w:rPr>
        <w:t>司法局</w:t>
      </w:r>
      <w:r>
        <w:rPr>
          <w:rFonts w:hint="eastAsia" w:ascii="Times New Roman" w:hAnsi="Times New Roman" w:eastAsia="仿宋_GB2312" w:cs="仿宋_GB2312"/>
          <w:bCs/>
          <w:kern w:val="0"/>
          <w:sz w:val="32"/>
          <w:szCs w:val="32"/>
        </w:rPr>
        <w:t>内设机构包括：</w:t>
      </w:r>
      <w:r>
        <w:rPr>
          <w:rFonts w:hint="eastAsia" w:ascii="宋体" w:hAnsi="宋体" w:eastAsia="宋体" w:cs="宋体"/>
          <w:color w:val="000000"/>
          <w:sz w:val="28"/>
          <w:szCs w:val="28"/>
        </w:rPr>
        <w:t>机关办公室、法治调研与督察股、社区矫正管理股、行政复议与应诉股、行政执法协调监督股、普法与依法治理股、人民参与和促进法治股、公共法律服务管理股、装备财务保障股、政工室。所属单位分别是</w:t>
      </w:r>
      <w:r>
        <w:rPr>
          <w:rFonts w:ascii="仿宋" w:hAnsi="仿宋" w:eastAsia="仿宋" w:cs="仿宋"/>
          <w:color w:val="000000"/>
          <w:sz w:val="28"/>
          <w:szCs w:val="28"/>
        </w:rPr>
        <w:t>1</w:t>
      </w:r>
      <w:r>
        <w:rPr>
          <w:rFonts w:hint="eastAsia" w:ascii="仿宋" w:hAnsi="仿宋" w:eastAsia="仿宋" w:cs="仿宋"/>
          <w:color w:val="000000"/>
          <w:sz w:val="28"/>
          <w:szCs w:val="28"/>
        </w:rPr>
        <w:t>2</w:t>
      </w:r>
      <w:r>
        <w:rPr>
          <w:rFonts w:hint="eastAsia" w:ascii="宋体" w:hAnsi="宋体" w:eastAsia="宋体" w:cs="宋体"/>
          <w:color w:val="000000"/>
          <w:sz w:val="28"/>
          <w:szCs w:val="28"/>
        </w:rPr>
        <w:t>个乡镇司法所、县法律援助中心、公证处，湖南天常律师事务所。</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w:t>
      </w:r>
      <w:r>
        <w:rPr>
          <w:rFonts w:hint="eastAsia" w:ascii="宋体" w:hAnsi="宋体" w:eastAsia="宋体" w:cs="宋体"/>
          <w:sz w:val="28"/>
          <w:szCs w:val="28"/>
        </w:rPr>
        <w:t>司法局2021年部门决算汇总公开单位构成包括：</w:t>
      </w:r>
      <w:r>
        <w:rPr>
          <w:rFonts w:hint="eastAsia" w:ascii="宋体" w:hAnsi="宋体" w:eastAsia="宋体" w:cs="宋体"/>
          <w:color w:val="000000"/>
          <w:sz w:val="28"/>
          <w:szCs w:val="28"/>
        </w:rPr>
        <w:t>新田县司法局本级。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tbl>
      <w:tblPr>
        <w:tblStyle w:val="7"/>
        <w:tblW w:w="15367" w:type="dxa"/>
        <w:tblInd w:w="317" w:type="dxa"/>
        <w:tblLayout w:type="fixed"/>
        <w:tblCellMar>
          <w:top w:w="0" w:type="dxa"/>
          <w:left w:w="0" w:type="dxa"/>
          <w:bottom w:w="0" w:type="dxa"/>
          <w:right w:w="0" w:type="dxa"/>
        </w:tblCellMar>
      </w:tblPr>
      <w:tblGrid>
        <w:gridCol w:w="137"/>
        <w:gridCol w:w="401"/>
        <w:gridCol w:w="184"/>
        <w:gridCol w:w="1653"/>
        <w:gridCol w:w="108"/>
        <w:gridCol w:w="1629"/>
        <w:gridCol w:w="108"/>
        <w:gridCol w:w="1629"/>
        <w:gridCol w:w="108"/>
        <w:gridCol w:w="1629"/>
        <w:gridCol w:w="108"/>
        <w:gridCol w:w="1629"/>
        <w:gridCol w:w="108"/>
        <w:gridCol w:w="1629"/>
        <w:gridCol w:w="108"/>
        <w:gridCol w:w="1629"/>
        <w:gridCol w:w="108"/>
        <w:gridCol w:w="2354"/>
        <w:gridCol w:w="108"/>
      </w:tblGrid>
      <w:tr>
        <w:tblPrEx>
          <w:tblCellMar>
            <w:top w:w="0" w:type="dxa"/>
            <w:left w:w="0" w:type="dxa"/>
            <w:bottom w:w="0" w:type="dxa"/>
            <w:right w:w="0" w:type="dxa"/>
          </w:tblCellMar>
        </w:tblPrEx>
        <w:trPr>
          <w:gridAfter w:val="1"/>
          <w:wAfter w:w="108" w:type="dxa"/>
          <w:trHeight w:val="435" w:hRule="atLeast"/>
        </w:trPr>
        <w:tc>
          <w:tcPr>
            <w:tcW w:w="15259" w:type="dxa"/>
            <w:gridSpan w:val="18"/>
            <w:tcBorders>
              <w:top w:val="nil"/>
              <w:left w:val="nil"/>
              <w:bottom w:val="nil"/>
              <w:right w:val="nil"/>
            </w:tcBorders>
            <w:shd w:val="clear" w:color="auto" w:fill="auto"/>
            <w:noWrap/>
            <w:tcMar>
              <w:top w:w="15" w:type="dxa"/>
              <w:left w:w="15" w:type="dxa"/>
              <w:bottom w:w="0" w:type="dxa"/>
              <w:right w:w="15" w:type="dxa"/>
            </w:tcMar>
            <w:vAlign w:val="center"/>
          </w:tcPr>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82"/>
              <w:gridCol w:w="615"/>
              <w:gridCol w:w="1370"/>
              <w:gridCol w:w="4970"/>
              <w:gridCol w:w="1136"/>
              <w:gridCol w:w="466"/>
              <w:gridCol w:w="472"/>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439" w:type="pct"/>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r>
                    <w:rPr>
                      <w:rFonts w:hint="eastAsia" w:ascii="黑体" w:hAnsi="黑体" w:eastAsia="黑体" w:cs="黑体"/>
                      <w:b/>
                      <w:bCs/>
                      <w:sz w:val="32"/>
                      <w:szCs w:val="32"/>
                    </w:rPr>
                    <w:t>第二部分</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部门决算表</w:t>
                  </w:r>
                </w:p>
              </w:tc>
              <w:tc>
                <w:tcPr>
                  <w:tcW w:w="202"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449"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632"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526" w:type="pct"/>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749" w:type="pct"/>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1439"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02"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49"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32"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26" w:type="pct"/>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749" w:type="pct"/>
                  <w:gridSpan w:val="2"/>
                  <w:tcBorders>
                    <w:top w:val="nil"/>
                    <w:left w:val="nil"/>
                    <w:bottom w:val="nil"/>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1439" w:type="pct"/>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部门：新田县司法局</w:t>
                  </w:r>
                </w:p>
              </w:tc>
              <w:tc>
                <w:tcPr>
                  <w:tcW w:w="202"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49"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32"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26" w:type="pct"/>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749" w:type="pct"/>
                  <w:gridSpan w:val="2"/>
                  <w:tcBorders>
                    <w:top w:val="nil"/>
                    <w:left w:val="nil"/>
                    <w:bottom w:val="nil"/>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5" w:type="pct"/>
                <w:trHeight w:val="397" w:hRule="atLeast"/>
              </w:trPr>
              <w:tc>
                <w:tcPr>
                  <w:tcW w:w="2091"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2313"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16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1,212.27</w:t>
                  </w:r>
                </w:p>
              </w:tc>
              <w:tc>
                <w:tcPr>
                  <w:tcW w:w="16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0.0</w:t>
                  </w:r>
                  <w:r>
                    <w:rPr>
                      <w:rFonts w:hint="eastAsia" w:ascii="宋体" w:hAnsi="宋体" w:eastAsia="宋体" w:cs="宋体"/>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1,212.27</w:t>
                  </w:r>
                </w:p>
              </w:tc>
              <w:tc>
                <w:tcPr>
                  <w:tcW w:w="1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95" w:type="pct"/>
                <w:trHeight w:val="397" w:hRule="atLeast"/>
              </w:trPr>
              <w:tc>
                <w:tcPr>
                  <w:tcW w:w="14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1212.27</w:t>
                  </w:r>
                </w:p>
              </w:tc>
              <w:tc>
                <w:tcPr>
                  <w:tcW w:w="16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1212.27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注：1.本表反映部门本年度的总收支和年末结转结余情况。</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3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4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gridAfter w:val="1"/>
          <w:wAfter w:w="108" w:type="dxa"/>
          <w:trHeight w:val="285" w:hRule="atLeast"/>
        </w:trPr>
        <w:tc>
          <w:tcPr>
            <w:tcW w:w="722"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ascii="宋体" w:hAnsi="宋体" w:eastAsia="宋体" w:cs="宋体"/>
                <w:i w:val="0"/>
                <w:color w:val="000000"/>
                <w:kern w:val="0"/>
                <w:sz w:val="20"/>
                <w:szCs w:val="20"/>
                <w:u w:val="none"/>
                <w:lang w:val="en-US" w:eastAsia="zh-CN" w:bidi="ar"/>
              </w:rPr>
              <w:t>新田县司法局</w:t>
            </w: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1"/>
          <w:wAfter w:w="108" w:type="dxa"/>
          <w:trHeight w:val="450" w:hRule="atLeast"/>
        </w:trPr>
        <w:tc>
          <w:tcPr>
            <w:tcW w:w="2375" w:type="dxa"/>
            <w:gridSpan w:val="4"/>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46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gridAfter w:val="1"/>
          <w:wAfter w:w="108" w:type="dxa"/>
          <w:trHeight w:val="450" w:hRule="atLeast"/>
        </w:trPr>
        <w:tc>
          <w:tcPr>
            <w:tcW w:w="722"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653"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722"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237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46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gridAfter w:val="1"/>
          <w:wAfter w:w="108" w:type="dxa"/>
          <w:trHeight w:val="450" w:hRule="atLeast"/>
        </w:trPr>
        <w:tc>
          <w:tcPr>
            <w:tcW w:w="2375"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1,212.27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1,212.27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72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204</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公共安全支出</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1,212.27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1,212.27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72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20406</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司法</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1,212.27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1,212.27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72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2040601</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884.82</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884.82</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72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2040604</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322.86</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322.86</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108" w:type="dxa"/>
          <w:trHeight w:val="450" w:hRule="atLeast"/>
        </w:trPr>
        <w:tc>
          <w:tcPr>
            <w:tcW w:w="72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2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615" w:hRule="atLeast"/>
        </w:trPr>
        <w:tc>
          <w:tcPr>
            <w:tcW w:w="15259" w:type="dxa"/>
            <w:gridSpan w:val="18"/>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5640" w:type="dxa"/>
        <w:tblInd w:w="93" w:type="dxa"/>
        <w:tblLayout w:type="fixed"/>
        <w:tblCellMar>
          <w:top w:w="0" w:type="dxa"/>
          <w:left w:w="108" w:type="dxa"/>
          <w:bottom w:w="0" w:type="dxa"/>
          <w:right w:w="108" w:type="dxa"/>
        </w:tblCellMar>
      </w:tblPr>
      <w:tblGrid>
        <w:gridCol w:w="1259"/>
        <w:gridCol w:w="240"/>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1259"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新田县司法局</w:t>
            </w:r>
          </w:p>
        </w:tc>
        <w:tc>
          <w:tcPr>
            <w:tcW w:w="240" w:type="dxa"/>
            <w:tcBorders>
              <w:top w:val="nil"/>
              <w:left w:val="nil"/>
              <w:bottom w:val="nil"/>
              <w:right w:val="nil"/>
            </w:tcBorders>
            <w:shd w:val="clear" w:color="000000" w:fill="FFFFFF"/>
            <w:noWrap/>
            <w:vAlign w:val="center"/>
          </w:tcPr>
          <w:p>
            <w:pPr>
              <w:widowControl/>
              <w:jc w:val="both"/>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1,212.27</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884.82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327.46</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公共安全支出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1,212.27</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884.82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327.46</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20406</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司法</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1,212.27</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884.82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327.46</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2040601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884.82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884.82</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2040604</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322.86</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322.86</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74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w:t>
            </w:r>
            <w:r>
              <w:rPr>
                <w:rFonts w:hint="eastAsia" w:ascii="宋体" w:hAnsi="宋体" w:eastAsia="宋体" w:cs="宋体"/>
                <w:i w:val="0"/>
                <w:color w:val="000000"/>
                <w:kern w:val="0"/>
                <w:sz w:val="20"/>
                <w:szCs w:val="20"/>
                <w:u w:val="none"/>
                <w:lang w:val="en-US" w:eastAsia="zh-CN" w:bidi="ar"/>
              </w:rPr>
              <w:t>新田县司法局</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1212.27</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1,212.27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1,212.27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1212.27</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1,212.27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1,212.27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1212.27</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1,212.27</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1,212.27</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color w:val="000000"/>
          <w:kern w:val="0"/>
          <w:sz w:val="20"/>
          <w:szCs w:val="20"/>
          <w:u w:val="none"/>
          <w:lang w:val="en-US" w:eastAsia="zh-CN" w:bidi="ar"/>
        </w:rPr>
        <w:t>新田县司法局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1,212.27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884.82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327.46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公共安全支出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1,212.27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884.82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327.46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司法</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1,212.27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884.82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327.46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884.82</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884.82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2040604</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322.86</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322.86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2040607</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公共法律服务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fixed"/>
        <w:tblCellMar>
          <w:top w:w="0" w:type="dxa"/>
          <w:left w:w="108" w:type="dxa"/>
          <w:bottom w:w="0" w:type="dxa"/>
          <w:right w:w="108" w:type="dxa"/>
        </w:tblCellMar>
      </w:tblPr>
      <w:tblGrid>
        <w:gridCol w:w="1003"/>
        <w:gridCol w:w="240"/>
        <w:gridCol w:w="95"/>
        <w:gridCol w:w="1307"/>
        <w:gridCol w:w="2059"/>
        <w:gridCol w:w="60"/>
        <w:gridCol w:w="928"/>
        <w:gridCol w:w="881"/>
        <w:gridCol w:w="310"/>
        <w:gridCol w:w="1854"/>
        <w:gridCol w:w="265"/>
        <w:gridCol w:w="535"/>
        <w:gridCol w:w="1223"/>
        <w:gridCol w:w="361"/>
        <w:gridCol w:w="2119"/>
        <w:gridCol w:w="1726"/>
        <w:gridCol w:w="394"/>
        <w:gridCol w:w="254"/>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i w:val="0"/>
                <w:color w:val="000000"/>
                <w:kern w:val="0"/>
                <w:sz w:val="20"/>
                <w:szCs w:val="20"/>
                <w:u w:val="none"/>
                <w:lang w:val="en-US" w:eastAsia="zh-CN" w:bidi="ar"/>
              </w:rPr>
              <w:t>新田县司法局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20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651.96</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204.22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199.28</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5.60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202.48</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108.43</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20.87</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19.45</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49.60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26.87</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1.66</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23.33</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28.64</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16.54</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10.46</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103.56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45.52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1.64</w:t>
            </w: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8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16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18.91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206"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98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680.60</w:t>
            </w:r>
          </w:p>
        </w:tc>
        <w:tc>
          <w:tcPr>
            <w:tcW w:w="9274"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64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204.22</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15360"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345" w:hRule="atLeast"/>
        </w:trPr>
        <w:tc>
          <w:tcPr>
            <w:tcW w:w="1003"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402"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1003"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部门：新田县司法局</w:t>
            </w:r>
            <w:r>
              <w:rPr>
                <w:rFonts w:ascii="Times New Roman" w:hAnsi="Times New Roman" w:eastAsia="仿宋_GB2312" w:cs="Times New Roman"/>
                <w:color w:val="000000"/>
                <w:kern w:val="0"/>
                <w:szCs w:val="21"/>
              </w:rPr>
              <w:t xml:space="preserve"> </w:t>
            </w: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402"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59" w:hRule="atLeast"/>
        </w:trPr>
        <w:tc>
          <w:tcPr>
            <w:tcW w:w="2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4"/>
                <w:lang w:val="en-US" w:eastAsia="zh-CN" w:bidi="ar"/>
              </w:rPr>
              <w:t xml:space="preserve">   </w:t>
            </w:r>
            <w:r>
              <w:rPr>
                <w:rStyle w:val="15"/>
                <w:lang w:val="en-US" w:eastAsia="zh-CN" w:bidi="ar"/>
              </w:rPr>
              <w:t>目</w:t>
            </w:r>
          </w:p>
        </w:tc>
        <w:tc>
          <w:tcPr>
            <w:tcW w:w="2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09" w:hRule="atLeast"/>
        </w:trPr>
        <w:tc>
          <w:tcPr>
            <w:tcW w:w="12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4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09" w:hRule="atLeast"/>
        </w:trPr>
        <w:tc>
          <w:tcPr>
            <w:tcW w:w="12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2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2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725" w:hRule="atLeast"/>
        </w:trPr>
        <w:tc>
          <w:tcPr>
            <w:tcW w:w="15360"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7"/>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671"/>
        <w:gridCol w:w="2177"/>
        <w:gridCol w:w="3135"/>
        <w:gridCol w:w="3135"/>
        <w:gridCol w:w="3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部门：新田县司法局</w:t>
            </w:r>
            <w:r>
              <w:rPr>
                <w:rFonts w:ascii="Times New Roman" w:hAnsi="Times New Roman" w:eastAsia="仿宋_GB2312" w:cs="Times New Roman"/>
                <w:color w:val="000000"/>
                <w:kern w:val="0"/>
                <w:szCs w:val="21"/>
              </w:rPr>
              <w:t xml:space="preserve"> </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6"/>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tbl>
      <w:tblPr>
        <w:tblStyle w:val="7"/>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16"/>
        <w:gridCol w:w="1203"/>
        <w:gridCol w:w="1186"/>
        <w:gridCol w:w="1186"/>
        <w:gridCol w:w="1186"/>
        <w:gridCol w:w="1170"/>
        <w:gridCol w:w="1186"/>
        <w:gridCol w:w="1203"/>
        <w:gridCol w:w="1186"/>
        <w:gridCol w:w="1186"/>
        <w:gridCol w:w="1170"/>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部门：新田县司法局</w:t>
            </w:r>
            <w:r>
              <w:rPr>
                <w:rFonts w:ascii="Times New Roman" w:hAnsi="Times New Roman" w:eastAsia="仿宋_GB2312" w:cs="Times New Roman"/>
                <w:color w:val="000000"/>
                <w:kern w:val="0"/>
                <w:szCs w:val="21"/>
              </w:rPr>
              <w:t xml:space="preserve"> </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p>
    <w:p>
      <w:pPr>
        <w:pStyle w:val="11"/>
        <w:numPr>
          <w:ilvl w:val="0"/>
          <w:numId w:val="0"/>
        </w:numPr>
        <w:jc w:val="left"/>
        <w:rPr>
          <w:rFonts w:hint="default" w:eastAsia="黑体"/>
          <w:b/>
          <w:bCs/>
          <w:sz w:val="32"/>
          <w:szCs w:val="32"/>
          <w:lang w:val="en-US" w:eastAsia="zh-CN"/>
        </w:rPr>
      </w:pPr>
      <w:r>
        <w:rPr>
          <w:rFonts w:hint="eastAsia"/>
          <w:b/>
          <w:bCs/>
          <w:sz w:val="32"/>
          <w:szCs w:val="32"/>
          <w:lang w:eastAsia="zh-CN"/>
        </w:rPr>
        <w:t>第三部分</w:t>
      </w:r>
      <w:r>
        <w:rPr>
          <w:rFonts w:hint="eastAsia"/>
          <w:b/>
          <w:bCs/>
          <w:sz w:val="32"/>
          <w:szCs w:val="32"/>
          <w:lang w:val="en-US" w:eastAsia="zh-CN"/>
        </w:rPr>
        <w:t xml:space="preserve"> 2022年度部门决算情况说明</w:t>
      </w:r>
    </w:p>
    <w:p>
      <w:pPr>
        <w:pStyle w:val="11"/>
        <w:keepNext w:val="0"/>
        <w:keepLines w:val="0"/>
        <w:pageBreakBefore w:val="0"/>
        <w:widowControl w:val="0"/>
        <w:kinsoku/>
        <w:wordWrap/>
        <w:overflowPunct/>
        <w:topLinePunct w:val="0"/>
        <w:bidi w:val="0"/>
        <w:snapToGrid/>
        <w:spacing w:line="60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heme="minorEastAsia" w:hAnsiTheme="minorEastAsia" w:eastAsiaTheme="minorEastAsia" w:cstheme="minorEastAsia"/>
          <w:color w:val="auto"/>
          <w:sz w:val="28"/>
          <w:szCs w:val="28"/>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1212.27</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342.03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39.3</w:t>
      </w:r>
      <w:r>
        <w:rPr>
          <w:rFonts w:hint="eastAsia" w:ascii="Times New Roman" w:hAnsi="Times New Roman" w:eastAsia="仿宋_GB2312"/>
          <w:sz w:val="32"/>
          <w:szCs w:val="32"/>
        </w:rPr>
        <w:t>%，主要是因为</w:t>
      </w:r>
      <w:r>
        <w:rPr>
          <w:rFonts w:hint="eastAsia" w:asciiTheme="minorEastAsia" w:hAnsiTheme="minorEastAsia" w:eastAsiaTheme="minorEastAsia" w:cstheme="minorEastAsia"/>
          <w:color w:val="auto"/>
          <w:sz w:val="28"/>
          <w:szCs w:val="28"/>
          <w:lang w:val="en-US" w:eastAsia="zh-CN"/>
        </w:rPr>
        <w:t>2022</w:t>
      </w:r>
      <w:r>
        <w:rPr>
          <w:rFonts w:hint="eastAsia" w:asciiTheme="minorEastAsia" w:hAnsiTheme="minorEastAsia" w:eastAsiaTheme="minorEastAsia" w:cstheme="minorEastAsia"/>
          <w:color w:val="auto"/>
          <w:sz w:val="28"/>
          <w:szCs w:val="28"/>
        </w:rPr>
        <w:t>年司法所建设、社区矫正购买服务支出</w:t>
      </w:r>
      <w:r>
        <w:rPr>
          <w:rFonts w:hint="eastAsia" w:asciiTheme="minorEastAsia" w:hAnsiTheme="minorEastAsia" w:eastAsiaTheme="minorEastAsia" w:cstheme="minorEastAsia"/>
          <w:color w:val="auto"/>
          <w:sz w:val="28"/>
          <w:szCs w:val="28"/>
          <w:lang w:val="en-US" w:eastAsia="zh-CN"/>
        </w:rPr>
        <w:t>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1212.27</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1212.27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1212.27</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884.82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72.99</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327.46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27.01</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1"/>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1212.27</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342.03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39.3</w:t>
      </w:r>
      <w:r>
        <w:rPr>
          <w:rFonts w:hint="eastAsia" w:ascii="Times New Roman" w:hAnsi="Times New Roman" w:eastAsia="仿宋_GB2312"/>
          <w:sz w:val="32"/>
          <w:szCs w:val="32"/>
        </w:rPr>
        <w:t>%，主要是因为</w:t>
      </w:r>
      <w:r>
        <w:rPr>
          <w:rFonts w:hint="eastAsia" w:asciiTheme="minorEastAsia" w:hAnsiTheme="minorEastAsia" w:eastAsiaTheme="minorEastAsia" w:cstheme="minorEastAsia"/>
          <w:color w:val="auto"/>
          <w:sz w:val="28"/>
          <w:szCs w:val="28"/>
          <w:lang w:val="en-US" w:eastAsia="zh-CN"/>
        </w:rPr>
        <w:t>2022</w:t>
      </w:r>
      <w:r>
        <w:rPr>
          <w:rFonts w:hint="eastAsia" w:asciiTheme="minorEastAsia" w:hAnsiTheme="minorEastAsia" w:eastAsiaTheme="minorEastAsia" w:cstheme="minorEastAsia"/>
          <w:color w:val="auto"/>
          <w:sz w:val="28"/>
          <w:szCs w:val="28"/>
        </w:rPr>
        <w:t>年司法所建设、社区矫正购买服务支出</w:t>
      </w:r>
      <w:r>
        <w:rPr>
          <w:rFonts w:hint="eastAsia" w:asciiTheme="minorEastAsia" w:hAnsiTheme="minorEastAsia" w:eastAsiaTheme="minorEastAsia" w:cstheme="minorEastAsia"/>
          <w:color w:val="auto"/>
          <w:sz w:val="28"/>
          <w:szCs w:val="28"/>
          <w:lang w:val="en-US" w:eastAsia="zh-CN"/>
        </w:rPr>
        <w:t>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1212.27</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342.03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39.3</w:t>
      </w:r>
      <w:r>
        <w:rPr>
          <w:rFonts w:hint="eastAsia" w:ascii="Times New Roman" w:hAnsi="Times New Roman" w:eastAsia="仿宋_GB2312"/>
          <w:sz w:val="32"/>
          <w:szCs w:val="32"/>
        </w:rPr>
        <w:t>%，主要是因为</w:t>
      </w:r>
      <w:r>
        <w:rPr>
          <w:rFonts w:hint="eastAsia" w:asciiTheme="minorEastAsia" w:hAnsiTheme="minorEastAsia" w:eastAsiaTheme="minorEastAsia" w:cstheme="minorEastAsia"/>
          <w:color w:val="auto"/>
          <w:sz w:val="28"/>
          <w:szCs w:val="28"/>
          <w:lang w:val="en-US" w:eastAsia="zh-CN"/>
        </w:rPr>
        <w:t>2022</w:t>
      </w:r>
      <w:r>
        <w:rPr>
          <w:rFonts w:hint="eastAsia" w:asciiTheme="minorEastAsia" w:hAnsiTheme="minorEastAsia" w:eastAsiaTheme="minorEastAsia" w:cstheme="minorEastAsia"/>
          <w:color w:val="auto"/>
          <w:sz w:val="28"/>
          <w:szCs w:val="28"/>
        </w:rPr>
        <w:t>年司法所建设、社区矫正购买服务支出</w:t>
      </w:r>
      <w:r>
        <w:rPr>
          <w:rFonts w:hint="eastAsia" w:asciiTheme="minorEastAsia" w:hAnsiTheme="minorEastAsia" w:eastAsiaTheme="minorEastAsia" w:cstheme="minorEastAsia"/>
          <w:color w:val="auto"/>
          <w:sz w:val="28"/>
          <w:szCs w:val="28"/>
          <w:lang w:val="en-US" w:eastAsia="zh-CN"/>
        </w:rPr>
        <w:t>增加。</w:t>
      </w:r>
    </w:p>
    <w:p>
      <w:pPr>
        <w:pStyle w:val="11"/>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6"/>
        <w:widowControl/>
        <w:spacing w:beforeAutospacing="0" w:afterAutospacing="0"/>
        <w:ind w:firstLine="560"/>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1212.27</w:t>
      </w:r>
      <w:r>
        <w:rPr>
          <w:rFonts w:hint="eastAsia" w:ascii="Times New Roman" w:hAnsi="Times New Roman" w:eastAsia="仿宋_GB2312"/>
          <w:sz w:val="32"/>
          <w:szCs w:val="32"/>
        </w:rPr>
        <w:t>万元，主要用于以下方面：</w:t>
      </w:r>
      <w:r>
        <w:rPr>
          <w:rFonts w:hint="eastAsia" w:ascii="宋体" w:hAnsi="宋体" w:eastAsia="宋体" w:cs="宋体"/>
          <w:color w:val="000000"/>
          <w:sz w:val="28"/>
          <w:szCs w:val="28"/>
          <w:shd w:val="clear" w:color="auto" w:fill="FFFFFF"/>
        </w:rPr>
        <w:t>一般公共服务（类）支出：公共安全支出</w:t>
      </w:r>
      <w:r>
        <w:rPr>
          <w:rFonts w:hint="eastAsia" w:ascii="宋体" w:hAnsi="宋体" w:eastAsia="宋体" w:cs="宋体"/>
          <w:color w:val="000000"/>
          <w:sz w:val="28"/>
          <w:szCs w:val="28"/>
          <w:shd w:val="clear" w:color="auto" w:fill="FFFFFF"/>
          <w:lang w:val="en-US" w:eastAsia="zh-CN"/>
        </w:rPr>
        <w:t>1212.27</w:t>
      </w:r>
      <w:r>
        <w:rPr>
          <w:rFonts w:hint="eastAsia" w:ascii="宋体" w:hAnsi="宋体" w:eastAsia="宋体" w:cs="宋体"/>
          <w:color w:val="000000"/>
          <w:sz w:val="28"/>
          <w:szCs w:val="28"/>
          <w:shd w:val="clear" w:color="auto" w:fill="FFFFFF"/>
        </w:rPr>
        <w:t>万元，占100%。</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1212.027</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1212.27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6"/>
        <w:widowControl/>
        <w:shd w:val="clear" w:color="auto" w:fill="FFFFFF"/>
        <w:spacing w:beforeAutospacing="0" w:afterAutospacing="0"/>
        <w:ind w:firstLine="700"/>
        <w:jc w:val="both"/>
        <w:rPr>
          <w:rFonts w:ascii="Calibri" w:hAnsi="Calibri" w:cs="Calibri"/>
          <w:szCs w:val="24"/>
        </w:rPr>
      </w:pPr>
      <w:r>
        <w:rPr>
          <w:rFonts w:hint="eastAsia" w:ascii="宋体" w:hAnsi="宋体" w:eastAsia="宋体" w:cs="宋体"/>
          <w:color w:val="000000"/>
          <w:sz w:val="28"/>
          <w:szCs w:val="28"/>
          <w:shd w:val="clear" w:color="auto" w:fill="FFFFFF"/>
        </w:rPr>
        <w:t>1、一般公共服务：行政运行（2040601）。</w:t>
      </w:r>
    </w:p>
    <w:p>
      <w:pPr>
        <w:pStyle w:val="11"/>
        <w:keepNext w:val="0"/>
        <w:keepLines w:val="0"/>
        <w:pageBreakBefore w:val="0"/>
        <w:widowControl w:val="0"/>
        <w:kinsoku/>
        <w:wordWrap/>
        <w:overflowPunct/>
        <w:topLinePunct w:val="0"/>
        <w:bidi w:val="0"/>
        <w:snapToGrid/>
        <w:spacing w:line="600" w:lineRule="exact"/>
        <w:ind w:firstLine="700" w:firstLineChars="250"/>
        <w:textAlignment w:val="auto"/>
        <w:rPr>
          <w:rFonts w:hint="eastAsia" w:ascii="宋体" w:hAnsi="宋体" w:eastAsia="宋体" w:cs="宋体"/>
          <w:color w:val="auto"/>
          <w:sz w:val="28"/>
          <w:szCs w:val="28"/>
          <w:shd w:val="clear" w:color="auto" w:fill="FFFFFF"/>
          <w:lang w:eastAsia="zh-CN"/>
        </w:rPr>
      </w:pPr>
      <w:r>
        <w:rPr>
          <w:rFonts w:hint="eastAsia" w:ascii="宋体" w:hAnsi="宋体" w:eastAsia="宋体" w:cs="宋体"/>
          <w:color w:val="000000"/>
          <w:sz w:val="28"/>
          <w:szCs w:val="28"/>
          <w:shd w:val="clear" w:color="auto" w:fill="FFFFFF"/>
        </w:rPr>
        <w:t>年初预算为</w:t>
      </w:r>
      <w:r>
        <w:rPr>
          <w:rFonts w:hint="eastAsia" w:ascii="宋体" w:hAnsi="宋体" w:eastAsia="宋体" w:cs="宋体"/>
          <w:color w:val="000000"/>
          <w:sz w:val="28"/>
          <w:szCs w:val="28"/>
          <w:shd w:val="clear" w:color="auto" w:fill="FFFFFF"/>
          <w:lang w:val="en-US" w:eastAsia="zh-CN"/>
        </w:rPr>
        <w:t>884.82</w:t>
      </w:r>
      <w:r>
        <w:rPr>
          <w:rFonts w:hint="eastAsia" w:ascii="宋体" w:hAnsi="宋体" w:eastAsia="宋体" w:cs="宋体"/>
          <w:color w:val="000000"/>
          <w:sz w:val="28"/>
          <w:szCs w:val="28"/>
          <w:shd w:val="clear" w:color="auto" w:fill="FFFFFF"/>
        </w:rPr>
        <w:t>万元，支出决算为</w:t>
      </w:r>
      <w:r>
        <w:rPr>
          <w:rFonts w:hint="eastAsia" w:ascii="宋体" w:hAnsi="宋体" w:eastAsia="宋体" w:cs="宋体"/>
          <w:color w:val="000000"/>
          <w:sz w:val="28"/>
          <w:szCs w:val="28"/>
          <w:shd w:val="clear" w:color="auto" w:fill="FFFFFF"/>
          <w:lang w:val="en-US" w:eastAsia="zh-CN"/>
        </w:rPr>
        <w:t>884.82</w:t>
      </w:r>
      <w:r>
        <w:rPr>
          <w:rFonts w:hint="eastAsia" w:ascii="宋体" w:hAnsi="宋体" w:eastAsia="宋体" w:cs="宋体"/>
          <w:color w:val="000000"/>
          <w:sz w:val="28"/>
          <w:szCs w:val="28"/>
          <w:shd w:val="clear" w:color="auto" w:fill="FFFFFF"/>
        </w:rPr>
        <w:t>万元，完成年初预算的100%。</w:t>
      </w:r>
      <w:r>
        <w:rPr>
          <w:rFonts w:hint="eastAsia" w:ascii="宋体" w:hAnsi="宋体" w:eastAsia="宋体" w:cs="宋体"/>
          <w:color w:val="auto"/>
          <w:sz w:val="28"/>
          <w:szCs w:val="28"/>
          <w:shd w:val="clear" w:color="auto" w:fill="FFFFFF"/>
          <w:lang w:eastAsia="zh-CN"/>
        </w:rPr>
        <w:t>与</w:t>
      </w:r>
      <w:r>
        <w:rPr>
          <w:rFonts w:hint="eastAsia" w:ascii="宋体" w:hAnsi="宋体" w:eastAsia="宋体" w:cs="宋体"/>
          <w:color w:val="auto"/>
          <w:sz w:val="28"/>
          <w:szCs w:val="28"/>
          <w:shd w:val="clear" w:color="auto" w:fill="FFFFFF"/>
        </w:rPr>
        <w:t>年初预算数持平。</w:t>
      </w:r>
      <w:r>
        <w:rPr>
          <w:rFonts w:hint="eastAsia" w:ascii="宋体" w:hAnsi="宋体" w:eastAsia="宋体" w:cs="宋体"/>
          <w:color w:val="auto"/>
          <w:sz w:val="28"/>
          <w:szCs w:val="28"/>
          <w:shd w:val="clear" w:color="auto" w:fill="FFFFFF"/>
          <w:lang w:eastAsia="zh-CN"/>
        </w:rPr>
        <w:t>主要原因是厉行节约。</w:t>
      </w:r>
    </w:p>
    <w:p>
      <w:pPr>
        <w:pStyle w:val="6"/>
        <w:widowControl/>
        <w:shd w:val="clear" w:color="auto" w:fill="FFFFFF"/>
        <w:spacing w:beforeAutospacing="0" w:afterAutospacing="0"/>
        <w:ind w:firstLine="700"/>
        <w:jc w:val="both"/>
        <w:rPr>
          <w:rFonts w:ascii="Calibri" w:hAnsi="Calibri" w:cs="Calibri"/>
          <w:color w:val="auto"/>
          <w:szCs w:val="24"/>
        </w:rPr>
      </w:pPr>
      <w:r>
        <w:rPr>
          <w:rFonts w:hint="eastAsia" w:ascii="宋体" w:hAnsi="宋体" w:eastAsia="宋体" w:cs="宋体"/>
          <w:color w:val="auto"/>
          <w:sz w:val="28"/>
          <w:szCs w:val="28"/>
          <w:shd w:val="clear" w:color="auto" w:fill="FFFFFF"/>
        </w:rPr>
        <w:t>2、一般公共服务：基层司法业务（2040604）。</w:t>
      </w:r>
    </w:p>
    <w:p>
      <w:pPr>
        <w:pStyle w:val="6"/>
        <w:widowControl/>
        <w:shd w:val="clear" w:color="auto" w:fill="FFFFFF"/>
        <w:spacing w:beforeAutospacing="0" w:afterAutospacing="0"/>
        <w:ind w:firstLine="700"/>
        <w:jc w:val="both"/>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年初预算为</w:t>
      </w:r>
      <w:r>
        <w:rPr>
          <w:rFonts w:hint="eastAsia" w:ascii="宋体" w:hAnsi="宋体" w:eastAsia="宋体" w:cs="宋体"/>
          <w:color w:val="auto"/>
          <w:sz w:val="28"/>
          <w:szCs w:val="28"/>
          <w:shd w:val="clear" w:color="auto" w:fill="FFFFFF"/>
          <w:lang w:val="en-US" w:eastAsia="zh-CN"/>
        </w:rPr>
        <w:t>322.86</w:t>
      </w:r>
      <w:r>
        <w:rPr>
          <w:rFonts w:hint="eastAsia" w:ascii="宋体" w:hAnsi="宋体" w:eastAsia="宋体" w:cs="宋体"/>
          <w:color w:val="auto"/>
          <w:sz w:val="28"/>
          <w:szCs w:val="28"/>
          <w:shd w:val="clear" w:color="auto" w:fill="FFFFFF"/>
        </w:rPr>
        <w:t>万元，支出决算为</w:t>
      </w:r>
      <w:r>
        <w:rPr>
          <w:rFonts w:hint="eastAsia" w:ascii="宋体" w:hAnsi="宋体" w:eastAsia="宋体" w:cs="宋体"/>
          <w:color w:val="auto"/>
          <w:sz w:val="28"/>
          <w:szCs w:val="28"/>
          <w:shd w:val="clear" w:color="auto" w:fill="FFFFFF"/>
          <w:lang w:val="en-US" w:eastAsia="zh-CN"/>
        </w:rPr>
        <w:t>322.86</w:t>
      </w:r>
      <w:r>
        <w:rPr>
          <w:rFonts w:hint="eastAsia" w:ascii="宋体" w:hAnsi="宋体" w:eastAsia="宋体" w:cs="宋体"/>
          <w:color w:val="auto"/>
          <w:sz w:val="28"/>
          <w:szCs w:val="28"/>
          <w:shd w:val="clear" w:color="auto" w:fill="FFFFFF"/>
        </w:rPr>
        <w:t>万元，完成年初预算的100%。</w:t>
      </w:r>
      <w:r>
        <w:rPr>
          <w:rFonts w:hint="eastAsia" w:ascii="宋体" w:hAnsi="宋体" w:eastAsia="宋体" w:cs="宋体"/>
          <w:color w:val="auto"/>
          <w:sz w:val="28"/>
          <w:szCs w:val="28"/>
          <w:shd w:val="clear" w:color="auto" w:fill="FFFFFF"/>
          <w:lang w:eastAsia="zh-CN"/>
        </w:rPr>
        <w:t>与</w:t>
      </w:r>
      <w:r>
        <w:rPr>
          <w:rFonts w:hint="eastAsia" w:ascii="宋体" w:hAnsi="宋体" w:eastAsia="宋体" w:cs="宋体"/>
          <w:color w:val="auto"/>
          <w:sz w:val="28"/>
          <w:szCs w:val="28"/>
          <w:shd w:val="clear" w:color="auto" w:fill="FFFFFF"/>
        </w:rPr>
        <w:t>年初预算数持平。</w:t>
      </w:r>
      <w:r>
        <w:rPr>
          <w:rFonts w:hint="eastAsia" w:ascii="宋体" w:hAnsi="宋体" w:eastAsia="宋体" w:cs="宋体"/>
          <w:color w:val="auto"/>
          <w:sz w:val="28"/>
          <w:szCs w:val="28"/>
          <w:shd w:val="clear" w:color="auto" w:fill="FFFFFF"/>
          <w:lang w:eastAsia="zh-CN"/>
        </w:rPr>
        <w:t>主要原因是厉行节约。</w:t>
      </w:r>
    </w:p>
    <w:p>
      <w:pPr>
        <w:pStyle w:val="6"/>
        <w:widowControl/>
        <w:shd w:val="clear" w:color="auto" w:fill="FFFFFF"/>
        <w:spacing w:beforeAutospacing="0" w:afterAutospacing="0"/>
        <w:ind w:firstLine="700"/>
        <w:jc w:val="both"/>
        <w:rPr>
          <w:rFonts w:ascii="Calibri" w:hAnsi="Calibri" w:cs="Calibri"/>
          <w:color w:val="auto"/>
          <w:szCs w:val="24"/>
        </w:rPr>
      </w:pPr>
      <w:r>
        <w:rPr>
          <w:rFonts w:hint="eastAsia" w:ascii="宋体" w:hAnsi="宋体" w:eastAsia="宋体" w:cs="宋体"/>
          <w:color w:val="auto"/>
          <w:sz w:val="28"/>
          <w:szCs w:val="28"/>
          <w:shd w:val="clear" w:color="auto" w:fill="FFFFFF"/>
        </w:rPr>
        <w:t>3、一般公共服务：公共法律服务（2040607）。</w:t>
      </w:r>
    </w:p>
    <w:p>
      <w:pPr>
        <w:pStyle w:val="6"/>
        <w:widowControl/>
        <w:shd w:val="clear" w:color="auto" w:fill="FFFFFF"/>
        <w:spacing w:beforeAutospacing="0" w:afterAutospacing="0"/>
        <w:ind w:firstLine="700"/>
        <w:jc w:val="both"/>
        <w:rPr>
          <w:rFonts w:ascii="Calibri" w:hAnsi="Calibri" w:cs="Calibri"/>
          <w:color w:val="auto"/>
          <w:szCs w:val="24"/>
        </w:rPr>
      </w:pPr>
      <w:r>
        <w:rPr>
          <w:rFonts w:hint="eastAsia" w:ascii="宋体" w:hAnsi="宋体" w:eastAsia="宋体" w:cs="宋体"/>
          <w:color w:val="auto"/>
          <w:sz w:val="28"/>
          <w:szCs w:val="28"/>
          <w:shd w:val="clear" w:color="auto" w:fill="FFFFFF"/>
        </w:rPr>
        <w:t>年初预算为</w:t>
      </w:r>
      <w:r>
        <w:rPr>
          <w:rFonts w:hint="eastAsia" w:ascii="宋体" w:hAnsi="宋体" w:eastAsia="宋体" w:cs="宋体"/>
          <w:color w:val="auto"/>
          <w:sz w:val="28"/>
          <w:szCs w:val="28"/>
          <w:shd w:val="clear" w:color="auto" w:fill="FFFFFF"/>
          <w:lang w:val="en-US" w:eastAsia="zh-CN"/>
        </w:rPr>
        <w:t>4.6</w:t>
      </w:r>
      <w:r>
        <w:rPr>
          <w:rFonts w:hint="eastAsia" w:ascii="宋体" w:hAnsi="宋体" w:eastAsia="宋体" w:cs="宋体"/>
          <w:color w:val="auto"/>
          <w:sz w:val="28"/>
          <w:szCs w:val="28"/>
          <w:shd w:val="clear" w:color="auto" w:fill="FFFFFF"/>
        </w:rPr>
        <w:t>万元，支出决算为</w:t>
      </w:r>
      <w:r>
        <w:rPr>
          <w:rFonts w:hint="eastAsia" w:ascii="宋体" w:hAnsi="宋体" w:eastAsia="宋体" w:cs="宋体"/>
          <w:color w:val="auto"/>
          <w:sz w:val="28"/>
          <w:szCs w:val="28"/>
          <w:shd w:val="clear" w:color="auto" w:fill="FFFFFF"/>
          <w:lang w:val="en-US" w:eastAsia="zh-CN"/>
        </w:rPr>
        <w:t>4.6</w:t>
      </w:r>
      <w:r>
        <w:rPr>
          <w:rFonts w:hint="eastAsia" w:ascii="宋体" w:hAnsi="宋体" w:eastAsia="宋体" w:cs="宋体"/>
          <w:color w:val="auto"/>
          <w:sz w:val="28"/>
          <w:szCs w:val="28"/>
          <w:shd w:val="clear" w:color="auto" w:fill="FFFFFF"/>
        </w:rPr>
        <w:t>万元，完成年初预算的100%。</w:t>
      </w:r>
      <w:r>
        <w:rPr>
          <w:rFonts w:hint="eastAsia" w:ascii="宋体" w:hAnsi="宋体" w:eastAsia="宋体" w:cs="宋体"/>
          <w:color w:val="auto"/>
          <w:sz w:val="28"/>
          <w:szCs w:val="28"/>
          <w:shd w:val="clear" w:color="auto" w:fill="FFFFFF"/>
          <w:lang w:eastAsia="zh-CN"/>
        </w:rPr>
        <w:t>与</w:t>
      </w:r>
      <w:r>
        <w:rPr>
          <w:rFonts w:hint="eastAsia" w:ascii="宋体" w:hAnsi="宋体" w:eastAsia="宋体" w:cs="宋体"/>
          <w:color w:val="auto"/>
          <w:sz w:val="28"/>
          <w:szCs w:val="28"/>
          <w:shd w:val="clear" w:color="auto" w:fill="FFFFFF"/>
        </w:rPr>
        <w:t>年初预算数持平。</w:t>
      </w:r>
      <w:r>
        <w:rPr>
          <w:rFonts w:hint="eastAsia" w:ascii="宋体" w:hAnsi="宋体" w:eastAsia="宋体" w:cs="宋体"/>
          <w:color w:val="auto"/>
          <w:sz w:val="28"/>
          <w:szCs w:val="28"/>
          <w:shd w:val="clear" w:color="auto" w:fill="FFFFFF"/>
          <w:lang w:eastAsia="zh-CN"/>
        </w:rPr>
        <w:t>主要原因是厉行节约。</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884.82</w:t>
      </w:r>
      <w:r>
        <w:rPr>
          <w:rFonts w:hint="eastAsia" w:ascii="Times New Roman" w:hAnsi="Times New Roman" w:eastAsia="仿宋_GB2312"/>
          <w:sz w:val="32"/>
          <w:szCs w:val="32"/>
        </w:rPr>
        <w:t>万元，其中：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sz w:val="32"/>
          <w:szCs w:val="32"/>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680.6</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76.92</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204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23.08</w:t>
      </w:r>
      <w:r>
        <w:rPr>
          <w:rFonts w:hint="eastAsia" w:ascii="Times New Roman" w:hAnsi="Times New Roman" w:eastAsia="仿宋_GB2312"/>
          <w:sz w:val="32"/>
          <w:szCs w:val="32"/>
        </w:rPr>
        <w:t>%，主要包括办公费、印刷费、咨询费、手续费。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53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24.76</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46.72</w:t>
      </w:r>
      <w:r>
        <w:rPr>
          <w:rFonts w:hint="eastAsia" w:ascii="Times New Roman" w:hAnsi="Times New Roman" w:eastAsia="仿宋_GB2312"/>
          <w:sz w:val="32"/>
          <w:szCs w:val="32"/>
        </w:rPr>
        <w:t>%，其中：</w:t>
      </w:r>
    </w:p>
    <w:p>
      <w:pPr>
        <w:pStyle w:val="11"/>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万元，因预算数为0，无法计算预算完成百分比。决算数与预算数一致，与上年相比持平，原因是上年及本年均无因公出国（境）支出。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bookmarkStart w:id="3" w:name="_GoBack"/>
      <w:bookmarkEnd w:id="3"/>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4.2</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84</w:t>
      </w:r>
      <w:r>
        <w:rPr>
          <w:rFonts w:hint="eastAsia" w:ascii="Times New Roman" w:hAnsi="Times New Roman" w:eastAsia="仿宋_GB2312"/>
          <w:sz w:val="32"/>
          <w:szCs w:val="32"/>
        </w:rPr>
        <w:t>%，决算数小于预算数的主要原因是</w:t>
      </w:r>
      <w:r>
        <w:rPr>
          <w:rFonts w:hint="eastAsia" w:ascii="Times New Roman" w:hAnsi="Times New Roman" w:eastAsia="仿宋_GB2312"/>
          <w:sz w:val="32"/>
          <w:szCs w:val="32"/>
          <w:lang w:val="en-US" w:eastAsia="zh-CN"/>
        </w:rPr>
        <w:t>厉行节约</w:t>
      </w:r>
      <w:r>
        <w:rPr>
          <w:rFonts w:hint="eastAsia" w:ascii="Times New Roman" w:hAnsi="Times New Roman" w:eastAsia="仿宋_GB2312"/>
          <w:sz w:val="32"/>
          <w:szCs w:val="32"/>
        </w:rPr>
        <w:t>，与上年相比增加</w:t>
      </w:r>
      <w:r>
        <w:rPr>
          <w:rFonts w:hint="eastAsia" w:ascii="Times New Roman" w:hAnsi="Times New Roman" w:eastAsia="仿宋_GB2312"/>
          <w:sz w:val="32"/>
          <w:szCs w:val="32"/>
          <w:lang w:val="en-US" w:eastAsia="zh-CN"/>
        </w:rPr>
        <w:t>3.2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320</w:t>
      </w:r>
      <w:r>
        <w:rPr>
          <w:rFonts w:hint="eastAsia" w:ascii="Times New Roman" w:hAnsi="Times New Roman" w:eastAsia="仿宋_GB2312"/>
          <w:sz w:val="32"/>
          <w:szCs w:val="32"/>
        </w:rPr>
        <w:t>%,增长的主要原因是</w:t>
      </w:r>
      <w:r>
        <w:rPr>
          <w:rFonts w:hint="eastAsia" w:ascii="Times New Roman" w:hAnsi="Times New Roman" w:eastAsia="仿宋_GB2312"/>
          <w:sz w:val="32"/>
          <w:szCs w:val="32"/>
          <w:lang w:val="en-US" w:eastAsia="zh-CN"/>
        </w:rPr>
        <w:t>去年部分客户到今年结算</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17.89</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99.39</w:t>
      </w:r>
      <w:r>
        <w:rPr>
          <w:rFonts w:hint="eastAsia" w:ascii="Times New Roman" w:hAnsi="Times New Roman" w:eastAsia="仿宋_GB2312"/>
          <w:sz w:val="32"/>
          <w:szCs w:val="32"/>
        </w:rPr>
        <w:t>%，决算数小于预算数的主要原因是</w:t>
      </w:r>
      <w:r>
        <w:rPr>
          <w:rFonts w:hint="eastAsia" w:ascii="Times New Roman" w:hAnsi="Times New Roman" w:eastAsia="仿宋_GB2312"/>
          <w:sz w:val="32"/>
          <w:szCs w:val="32"/>
          <w:lang w:val="en-US" w:eastAsia="zh-CN"/>
        </w:rPr>
        <w:t>厉行节约</w:t>
      </w:r>
      <w:r>
        <w:rPr>
          <w:rFonts w:hint="eastAsia" w:ascii="Times New Roman" w:hAnsi="Times New Roman" w:eastAsia="仿宋_GB2312"/>
          <w:sz w:val="32"/>
          <w:szCs w:val="32"/>
        </w:rPr>
        <w:t>，与上年相比增加</w:t>
      </w:r>
      <w:r>
        <w:rPr>
          <w:rFonts w:hint="eastAsia" w:ascii="Times New Roman" w:hAnsi="Times New Roman" w:eastAsia="仿宋_GB2312"/>
          <w:sz w:val="32"/>
          <w:szCs w:val="32"/>
          <w:lang w:val="en-US" w:eastAsia="zh-CN"/>
        </w:rPr>
        <w:t>17.89</w:t>
      </w:r>
      <w:r>
        <w:rPr>
          <w:rFonts w:hint="eastAsia" w:ascii="Times New Roman" w:hAnsi="Times New Roman" w:eastAsia="仿宋_GB2312"/>
          <w:sz w:val="32"/>
          <w:szCs w:val="32"/>
        </w:rPr>
        <w:t>万元，主要原因是</w:t>
      </w:r>
      <w:r>
        <w:rPr>
          <w:rFonts w:hint="eastAsia" w:ascii="Times New Roman" w:hAnsi="Times New Roman" w:eastAsia="仿宋_GB2312"/>
          <w:sz w:val="32"/>
          <w:szCs w:val="32"/>
          <w:lang w:val="en-US" w:eastAsia="zh-CN"/>
        </w:rPr>
        <w:t>新购置公务执法车辆一台</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2.58</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0.86</w:t>
      </w:r>
      <w:r>
        <w:rPr>
          <w:rFonts w:hint="eastAsia" w:ascii="Times New Roman" w:hAnsi="Times New Roman" w:eastAsia="仿宋_GB2312"/>
          <w:sz w:val="32"/>
          <w:szCs w:val="32"/>
        </w:rPr>
        <w:t>%，决算数小于预算数的主要原因是</w:t>
      </w:r>
      <w:r>
        <w:rPr>
          <w:rFonts w:hint="eastAsia" w:ascii="Times New Roman" w:hAnsi="Times New Roman" w:eastAsia="仿宋_GB2312"/>
          <w:sz w:val="32"/>
          <w:szCs w:val="32"/>
          <w:lang w:val="en-US" w:eastAsia="zh-CN"/>
        </w:rPr>
        <w:t>厉行节约</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1.11</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减少30</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val="en-US" w:eastAsia="zh-CN"/>
        </w:rPr>
        <w:t>厉行节约</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4.2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16.96</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20.56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83.04</w:t>
      </w:r>
      <w:r>
        <w:rPr>
          <w:rFonts w:hint="eastAsia" w:ascii="Times New Roman" w:hAnsi="Times New Roman" w:eastAsia="仿宋_GB2312"/>
          <w:sz w:val="32"/>
          <w:szCs w:val="32"/>
        </w:rPr>
        <w:t>%。其中：</w:t>
      </w:r>
    </w:p>
    <w:p>
      <w:pPr>
        <w:pStyle w:val="11"/>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楷体" w:hAnsi="楷体" w:eastAsia="楷体" w:cs="楷体"/>
          <w:b/>
          <w:bCs/>
          <w:i/>
          <w:color w:val="auto"/>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4.2</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人次，主要是</w:t>
      </w:r>
      <w:r>
        <w:rPr>
          <w:rFonts w:hint="eastAsia" w:ascii="宋体" w:hAnsi="宋体" w:eastAsia="宋体" w:cs="宋体"/>
          <w:color w:val="000000"/>
          <w:sz w:val="28"/>
          <w:szCs w:val="28"/>
          <w:shd w:val="clear" w:color="auto" w:fill="FFFFFF"/>
        </w:rPr>
        <w:t>省、市、县各项检查，业务交流发生的接待支出</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20.56</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17.98</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单位本级及下属事业单位更新公务用车</w:t>
      </w:r>
      <w:r>
        <w:rPr>
          <w:rFonts w:hint="eastAsia" w:ascii="Times New Roman" w:hAnsi="Times New Roman" w:eastAsia="仿宋_GB2312"/>
          <w:sz w:val="32"/>
          <w:szCs w:val="32"/>
          <w:lang w:val="en-US" w:eastAsia="zh-CN"/>
        </w:rPr>
        <w:t>1辆。</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2.58</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辆。</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204.22</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持平。</w:t>
      </w:r>
      <w:r>
        <w:rPr>
          <w:rFonts w:hint="eastAsia" w:ascii="宋体" w:hAnsi="宋体" w:eastAsia="宋体" w:cs="宋体"/>
          <w:color w:val="auto"/>
          <w:sz w:val="28"/>
          <w:szCs w:val="28"/>
          <w:shd w:val="clear" w:color="auto" w:fill="FFFFFF"/>
          <w:lang w:eastAsia="zh-CN"/>
        </w:rPr>
        <w:t>主要原因是厉行节约。</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宋体" w:hAnsi="宋体" w:eastAsia="仿宋_GB2312" w:cs="宋体"/>
          <w:color w:val="000000"/>
          <w:sz w:val="28"/>
          <w:szCs w:val="28"/>
          <w:shd w:val="clear" w:color="auto" w:fill="FFFFFF"/>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0.45</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val="en-US" w:eastAsia="zh-CN"/>
        </w:rPr>
        <w:t>社区矫正</w:t>
      </w:r>
      <w:r>
        <w:rPr>
          <w:rFonts w:hint="eastAsia" w:ascii="Times New Roman" w:hAnsi="Times New Roman" w:eastAsia="仿宋_GB2312"/>
          <w:sz w:val="32"/>
          <w:szCs w:val="32"/>
        </w:rPr>
        <w:t>会议，人数73人，内容为</w:t>
      </w:r>
      <w:r>
        <w:rPr>
          <w:rFonts w:hint="eastAsia" w:ascii="Times New Roman" w:hAnsi="Times New Roman" w:eastAsia="仿宋_GB2312"/>
          <w:sz w:val="32"/>
          <w:szCs w:val="32"/>
          <w:lang w:val="en-US" w:eastAsia="zh-CN"/>
        </w:rPr>
        <w:t>社区矫正业务开展</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3.34</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val="en-US" w:eastAsia="zh-CN"/>
        </w:rPr>
        <w:t>人民调解</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人，内容为</w:t>
      </w:r>
      <w:r>
        <w:rPr>
          <w:rFonts w:hint="eastAsia" w:ascii="宋体" w:hAnsi="宋体" w:eastAsia="宋体" w:cs="宋体"/>
          <w:color w:val="000000"/>
          <w:sz w:val="28"/>
          <w:szCs w:val="28"/>
          <w:shd w:val="clear" w:color="auto" w:fill="FFFFFF"/>
        </w:rPr>
        <w:t>实用调解技能及方法培训</w:t>
      </w:r>
      <w:r>
        <w:rPr>
          <w:rFonts w:hint="eastAsia" w:ascii="宋体" w:hAnsi="宋体" w:eastAsia="宋体" w:cs="宋体"/>
          <w:color w:val="000000"/>
          <w:sz w:val="28"/>
          <w:szCs w:val="28"/>
          <w:shd w:val="clear" w:color="auto" w:fill="FFFFFF"/>
          <w:lang w:eastAsia="zh-CN"/>
        </w:rPr>
        <w:t>；未</w:t>
      </w:r>
      <w:r>
        <w:rPr>
          <w:rFonts w:hint="eastAsia" w:ascii="Times New Roman" w:hAnsi="Times New Roman" w:eastAsia="仿宋_GB2312"/>
          <w:sz w:val="32"/>
          <w:szCs w:val="32"/>
        </w:rPr>
        <w:t>举办节庆、晚会、论坛、赛事</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活动</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103.56</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3.56</w:t>
      </w:r>
      <w:r>
        <w:rPr>
          <w:rFonts w:hint="eastAsia" w:ascii="Times New Roman" w:hAnsi="Times New Roman" w:eastAsia="仿宋_GB2312"/>
          <w:sz w:val="32"/>
          <w:szCs w:val="32"/>
        </w:rPr>
        <w:t xml:space="preserve"> 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总结归纳本部门（单位）支出的绩效目标完成情况，实现产出和取得效益的情况。围绕部门（单位）职责、行业发展规划，以预算资金管理为主线，总结部门（单位）资产管理和开展业务情况，从运行成本、管理效率、履职效能、社会效应、可持续发展能力和服务对象满意度等方面，衡量部门（单位）整体及核心业务实施效果。</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sz w:val="72"/>
          <w:szCs w:val="72"/>
        </w:rPr>
      </w:pPr>
      <w:r>
        <w:rPr>
          <w:rFonts w:hint="eastAsia" w:ascii="Times New Roman" w:hAnsi="Times New Roman" w:eastAsia="仿宋_GB2312"/>
          <w:sz w:val="32"/>
          <w:szCs w:val="32"/>
        </w:rPr>
        <w:t>可以从预算和预算绩效管理，部门履职效能，资金分配、使用和管理，资产和财务管理、政府采购等方面归纳存在的问题；反映各种预算支出执行偏离绩效目标的情况，并分析其原因。</w:t>
      </w:r>
    </w:p>
    <w:p>
      <w:pPr>
        <w:pStyle w:val="11"/>
        <w:jc w:val="center"/>
        <w:rPr>
          <w:sz w:val="72"/>
          <w:szCs w:val="72"/>
        </w:rPr>
      </w:pP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1"/>
        <w:jc w:val="both"/>
        <w:rPr>
          <w:rFonts w:hint="eastAsia" w:ascii="黑体" w:hAnsi="黑体" w:eastAsia="黑体" w:cs="黑体"/>
          <w:b/>
          <w:bCs/>
          <w:color w:val="000000"/>
          <w:kern w:val="0"/>
          <w:sz w:val="32"/>
          <w:szCs w:val="32"/>
        </w:rPr>
      </w:pPr>
      <w:r>
        <w:rPr>
          <w:rFonts w:hint="eastAsia" w:ascii="黑体" w:hAnsi="黑体" w:eastAsia="黑体" w:cs="黑体"/>
          <w:b/>
          <w:bCs/>
          <w:sz w:val="32"/>
          <w:szCs w:val="32"/>
        </w:rPr>
        <w:t>第四部分</w:t>
      </w:r>
      <w:r>
        <w:rPr>
          <w:rFonts w:hint="eastAsia" w:ascii="黑体" w:hAnsi="黑体" w:eastAsia="黑体" w:cs="黑体"/>
          <w:b/>
          <w:bCs/>
          <w:sz w:val="32"/>
          <w:szCs w:val="32"/>
          <w:lang w:val="en-US" w:eastAsia="zh-CN"/>
        </w:rPr>
        <w:t xml:space="preserve"> </w:t>
      </w:r>
      <w:r>
        <w:rPr>
          <w:rFonts w:hint="eastAsia" w:ascii="黑体" w:hAnsi="黑体" w:eastAsia="黑体" w:cs="黑体"/>
          <w:b/>
          <w:bCs/>
          <w:color w:val="000000"/>
          <w:kern w:val="0"/>
          <w:sz w:val="32"/>
          <w:szCs w:val="32"/>
        </w:rPr>
        <w:t>名词解释</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一、收入科目</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财政拨款收入：指财政当年拨付的资金。</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二、支出科目</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1.基本支出：指为保障机构正常运转、完成日常工作任务而发生的人员支出和公用支出。</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2.项目支出：指在基本支出之外为完成特定行政任务和事业发展目标所发生的支出。</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3.年末结转和结余：指本年度或以前年度预算安排、因客观条件发生变化无法按原计划实施，需延迟到以后年度按有关规定继续使用的资金。</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三、“三公”经费</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四、机关运行经费</w:t>
      </w:r>
    </w:p>
    <w:p>
      <w:pPr>
        <w:pStyle w:val="11"/>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pPr>
        <w:pStyle w:val="11"/>
        <w:ind w:firstLine="640" w:firstLineChars="200"/>
        <w:jc w:val="both"/>
        <w:rPr>
          <w:rFonts w:hint="eastAsia" w:ascii="黑体" w:hAnsi="黑体" w:eastAsia="黑体" w:cs="黑体"/>
          <w:b/>
          <w:bCs/>
          <w:color w:val="000000"/>
          <w:kern w:val="0"/>
          <w:sz w:val="32"/>
          <w:szCs w:val="32"/>
        </w:rPr>
      </w:pPr>
      <w:r>
        <w:rPr>
          <w:rFonts w:hint="eastAsia" w:ascii="黑体" w:hAnsi="黑体" w:eastAsia="黑体" w:cs="黑体"/>
          <w:b/>
          <w:bCs/>
          <w:sz w:val="32"/>
          <w:szCs w:val="32"/>
        </w:rPr>
        <w:t>第五部分</w:t>
      </w:r>
      <w:r>
        <w:rPr>
          <w:rFonts w:hint="eastAsia" w:ascii="黑体" w:hAnsi="黑体" w:eastAsia="黑体" w:cs="黑体"/>
          <w:b/>
          <w:bCs/>
          <w:sz w:val="32"/>
          <w:szCs w:val="32"/>
          <w:lang w:val="en-US" w:eastAsia="zh-CN"/>
        </w:rPr>
        <w:t xml:space="preserve"> </w:t>
      </w:r>
      <w:r>
        <w:rPr>
          <w:rFonts w:hint="eastAsia" w:ascii="黑体" w:hAnsi="黑体" w:eastAsia="黑体" w:cs="黑体"/>
          <w:b/>
          <w:bCs/>
          <w:color w:val="000000"/>
          <w:kern w:val="0"/>
          <w:sz w:val="32"/>
          <w:szCs w:val="32"/>
        </w:rPr>
        <w:t>附件</w:t>
      </w:r>
    </w:p>
    <w:p>
      <w:pPr>
        <w:ind w:firstLine="560" w:firstLineChars="200"/>
        <w:jc w:val="center"/>
        <w:rPr>
          <w:rFonts w:hint="eastAsia" w:asciiTheme="minorEastAsia" w:hAnsiTheme="minorEastAsia" w:eastAsiaTheme="minorEastAsia" w:cstheme="minorEastAsia"/>
          <w:b/>
          <w:color w:val="000000"/>
          <w:kern w:val="0"/>
          <w:sz w:val="28"/>
          <w:szCs w:val="28"/>
        </w:rPr>
      </w:pPr>
      <w:r>
        <w:rPr>
          <w:rFonts w:hint="eastAsia" w:asciiTheme="minorEastAsia" w:hAnsiTheme="minorEastAsia" w:cstheme="minorEastAsia"/>
          <w:b/>
          <w:color w:val="000000"/>
          <w:kern w:val="0"/>
          <w:sz w:val="28"/>
          <w:szCs w:val="28"/>
          <w:lang w:eastAsia="zh-CN"/>
        </w:rPr>
        <w:t>202</w:t>
      </w:r>
      <w:r>
        <w:rPr>
          <w:rFonts w:hint="eastAsia" w:asciiTheme="minorEastAsia" w:hAnsiTheme="minorEastAsia" w:cstheme="minorEastAsia"/>
          <w:b/>
          <w:color w:val="000000"/>
          <w:kern w:val="0"/>
          <w:sz w:val="28"/>
          <w:szCs w:val="28"/>
          <w:lang w:val="en-US" w:eastAsia="zh-CN"/>
        </w:rPr>
        <w:t>2</w:t>
      </w:r>
      <w:r>
        <w:rPr>
          <w:rFonts w:hint="eastAsia" w:asciiTheme="minorEastAsia" w:hAnsiTheme="minorEastAsia" w:eastAsiaTheme="minorEastAsia" w:cstheme="minorEastAsia"/>
          <w:b/>
          <w:color w:val="000000"/>
          <w:kern w:val="0"/>
          <w:sz w:val="28"/>
          <w:szCs w:val="28"/>
        </w:rPr>
        <w:t>年度部门整体支出绩效评价报告</w:t>
      </w:r>
    </w:p>
    <w:p>
      <w:pPr>
        <w:pStyle w:val="11"/>
        <w:jc w:val="center"/>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DMyODA1YTRhODQ1ZDg5ZDE2MzZmZjZmNmU5OTk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0C82"/>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21B15FE"/>
    <w:rsid w:val="09AA26F7"/>
    <w:rsid w:val="0E4A4BF3"/>
    <w:rsid w:val="120704B3"/>
    <w:rsid w:val="12FA15C2"/>
    <w:rsid w:val="14537F9F"/>
    <w:rsid w:val="15B3530E"/>
    <w:rsid w:val="1ECC422C"/>
    <w:rsid w:val="1F4F0EF6"/>
    <w:rsid w:val="226A5DDB"/>
    <w:rsid w:val="2A070FBC"/>
    <w:rsid w:val="2D030504"/>
    <w:rsid w:val="2F75753F"/>
    <w:rsid w:val="31545F41"/>
    <w:rsid w:val="3FE457A9"/>
    <w:rsid w:val="42637B53"/>
    <w:rsid w:val="45353F67"/>
    <w:rsid w:val="4638045A"/>
    <w:rsid w:val="5777D4F5"/>
    <w:rsid w:val="5F8F08CA"/>
    <w:rsid w:val="5FC6BB1E"/>
    <w:rsid w:val="5FF720F1"/>
    <w:rsid w:val="6005151A"/>
    <w:rsid w:val="60065292"/>
    <w:rsid w:val="609B351E"/>
    <w:rsid w:val="64A54408"/>
    <w:rsid w:val="675C40FD"/>
    <w:rsid w:val="6C1C0317"/>
    <w:rsid w:val="6EF96718"/>
    <w:rsid w:val="6F9B0B8C"/>
    <w:rsid w:val="717B042F"/>
    <w:rsid w:val="737D59BA"/>
    <w:rsid w:val="770E796C"/>
    <w:rsid w:val="77B06588"/>
    <w:rsid w:val="77C37683"/>
    <w:rsid w:val="78945244"/>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6703</Words>
  <Characters>8329</Characters>
  <Lines>63</Lines>
  <Paragraphs>18</Paragraphs>
  <TotalTime>0</TotalTime>
  <ScaleCrop>false</ScaleCrop>
  <LinksUpToDate>false</LinksUpToDate>
  <CharactersWithSpaces>9143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WPS_1668157542</cp:lastModifiedBy>
  <cp:lastPrinted>2023-08-15T09:28:00Z</cp:lastPrinted>
  <dcterms:modified xsi:type="dcterms:W3CDTF">2023-10-08T08:29:33Z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BC186A184552487E9A499ED070C2B9A7_12</vt:lpwstr>
  </property>
</Properties>
</file>