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4EF4A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01B87CC8">
      <w:pPr>
        <w:spacing w:line="600" w:lineRule="exact"/>
        <w:rPr>
          <w:rFonts w:eastAsia="黑体"/>
          <w:sz w:val="32"/>
          <w:szCs w:val="32"/>
        </w:rPr>
      </w:pPr>
    </w:p>
    <w:p w14:paraId="6BD0E81A">
      <w:pPr>
        <w:spacing w:line="600" w:lineRule="exact"/>
        <w:rPr>
          <w:rFonts w:eastAsia="黑体"/>
          <w:sz w:val="32"/>
          <w:szCs w:val="32"/>
        </w:rPr>
      </w:pPr>
    </w:p>
    <w:p w14:paraId="3C260975">
      <w:pPr>
        <w:spacing w:line="600" w:lineRule="exact"/>
        <w:rPr>
          <w:rFonts w:eastAsia="黑体"/>
          <w:sz w:val="32"/>
          <w:szCs w:val="32"/>
        </w:rPr>
      </w:pPr>
    </w:p>
    <w:p w14:paraId="63D39DEA">
      <w:pPr>
        <w:jc w:val="center"/>
        <w:outlineLvl w:val="1"/>
        <w:rPr>
          <w:rFonts w:hint="eastAsia" w:ascii="宋体" w:hAnsi="宋体" w:eastAsia="宋体" w:cs="宋体"/>
          <w:sz w:val="52"/>
          <w:szCs w:val="52"/>
          <w:highlight w:val="none"/>
        </w:rPr>
      </w:pPr>
      <w:r>
        <w:rPr>
          <w:rFonts w:hint="eastAsia" w:ascii="宋体" w:hAnsi="宋体" w:eastAsia="宋体" w:cs="宋体"/>
          <w:sz w:val="52"/>
          <w:szCs w:val="52"/>
        </w:rPr>
        <w:t>202</w:t>
      </w:r>
      <w:r>
        <w:rPr>
          <w:rFonts w:hint="eastAsia" w:ascii="宋体" w:hAnsi="宋体" w:cs="宋体"/>
          <w:sz w:val="52"/>
          <w:szCs w:val="52"/>
          <w:lang w:val="en-US" w:eastAsia="zh-CN"/>
        </w:rPr>
        <w:t>4</w:t>
      </w:r>
      <w:r>
        <w:rPr>
          <w:rFonts w:hint="eastAsia" w:ascii="宋体" w:hAnsi="宋体" w:eastAsia="宋体" w:cs="宋体"/>
          <w:sz w:val="52"/>
          <w:szCs w:val="52"/>
          <w:highlight w:val="none"/>
        </w:rPr>
        <w:t>年新田县市场监督管理局</w:t>
      </w:r>
    </w:p>
    <w:p w14:paraId="1A6602E7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highlight w:val="none"/>
        </w:rPr>
        <w:t>整体支出绩效自评报告</w:t>
      </w:r>
    </w:p>
    <w:p w14:paraId="74285115">
      <w:pPr>
        <w:jc w:val="center"/>
        <w:rPr>
          <w:rFonts w:eastAsia="方正小标宋_GBK"/>
          <w:b/>
          <w:sz w:val="52"/>
          <w:szCs w:val="52"/>
        </w:rPr>
      </w:pPr>
    </w:p>
    <w:p w14:paraId="56CE4E21">
      <w:pPr>
        <w:jc w:val="center"/>
        <w:rPr>
          <w:rFonts w:eastAsia="楷体_GB2312"/>
          <w:b/>
          <w:sz w:val="32"/>
          <w:szCs w:val="32"/>
        </w:rPr>
      </w:pPr>
    </w:p>
    <w:p w14:paraId="31088E25">
      <w:pPr>
        <w:jc w:val="center"/>
        <w:rPr>
          <w:rFonts w:eastAsia="楷体_GB2312"/>
          <w:b/>
          <w:sz w:val="32"/>
          <w:szCs w:val="32"/>
        </w:rPr>
      </w:pPr>
    </w:p>
    <w:p w14:paraId="1050FA18">
      <w:pPr>
        <w:jc w:val="center"/>
        <w:rPr>
          <w:rFonts w:eastAsia="楷体_GB2312"/>
          <w:b/>
          <w:sz w:val="32"/>
          <w:szCs w:val="32"/>
        </w:rPr>
      </w:pPr>
    </w:p>
    <w:p w14:paraId="1837F317">
      <w:pPr>
        <w:jc w:val="center"/>
        <w:rPr>
          <w:rFonts w:eastAsia="楷体_GB2312"/>
          <w:b/>
          <w:sz w:val="32"/>
          <w:szCs w:val="32"/>
        </w:rPr>
      </w:pPr>
    </w:p>
    <w:p w14:paraId="182E6773">
      <w:pPr>
        <w:jc w:val="center"/>
        <w:rPr>
          <w:rFonts w:eastAsia="楷体_GB2312"/>
          <w:b/>
          <w:sz w:val="32"/>
          <w:szCs w:val="32"/>
        </w:rPr>
      </w:pPr>
    </w:p>
    <w:p w14:paraId="6F895835">
      <w:pPr>
        <w:jc w:val="center"/>
        <w:rPr>
          <w:rFonts w:eastAsia="楷体_GB2312"/>
          <w:b/>
          <w:sz w:val="32"/>
          <w:szCs w:val="32"/>
        </w:rPr>
      </w:pPr>
    </w:p>
    <w:p w14:paraId="12E7C374">
      <w:pPr>
        <w:jc w:val="center"/>
        <w:rPr>
          <w:rFonts w:eastAsia="黑体"/>
          <w:sz w:val="32"/>
          <w:szCs w:val="32"/>
        </w:rPr>
      </w:pPr>
    </w:p>
    <w:p w14:paraId="1B38F909">
      <w:pPr>
        <w:jc w:val="center"/>
        <w:rPr>
          <w:rFonts w:eastAsia="黑体"/>
          <w:sz w:val="32"/>
          <w:szCs w:val="32"/>
        </w:rPr>
      </w:pPr>
    </w:p>
    <w:p w14:paraId="4449D1A8"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>（盖章）</w:t>
      </w:r>
    </w:p>
    <w:p w14:paraId="0B47CF90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6</w:t>
      </w:r>
      <w:r>
        <w:rPr>
          <w:rFonts w:eastAsia="楷体_GB2312"/>
          <w:sz w:val="32"/>
          <w:szCs w:val="32"/>
        </w:rPr>
        <w:t xml:space="preserve"> 月 </w:t>
      </w:r>
      <w:r>
        <w:rPr>
          <w:rFonts w:hint="eastAsia" w:eastAsia="楷体_GB2312"/>
          <w:sz w:val="32"/>
          <w:szCs w:val="32"/>
          <w:lang w:val="en-US" w:eastAsia="zh-CN"/>
        </w:rPr>
        <w:t>17</w:t>
      </w:r>
      <w:r>
        <w:rPr>
          <w:rFonts w:eastAsia="楷体_GB2312"/>
          <w:sz w:val="32"/>
          <w:szCs w:val="32"/>
        </w:rPr>
        <w:t xml:space="preserve"> 日</w:t>
      </w:r>
    </w:p>
    <w:p w14:paraId="5A83337C">
      <w:pPr>
        <w:jc w:val="center"/>
        <w:rPr>
          <w:rFonts w:eastAsia="黑体"/>
          <w:sz w:val="32"/>
          <w:szCs w:val="32"/>
        </w:rPr>
      </w:pPr>
    </w:p>
    <w:p w14:paraId="77F240DD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14:paraId="7D312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78CDAFC4">
      <w:pPr>
        <w:spacing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</w:rPr>
        <w:t>（一）部门基本情况</w:t>
      </w:r>
    </w:p>
    <w:p w14:paraId="2A71B792">
      <w:pPr>
        <w:spacing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</w:rPr>
        <w:t>本部门18个内设机构、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2个直属单位</w:t>
      </w:r>
      <w:r>
        <w:rPr>
          <w:rFonts w:hint="eastAsia" w:eastAsia="仿宋_GB2312"/>
          <w:color w:val="000000"/>
          <w:sz w:val="32"/>
          <w:szCs w:val="32"/>
          <w:highlight w:val="none"/>
        </w:rPr>
        <w:t>、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个派出机构,全部列入了本部门预算。</w:t>
      </w:r>
    </w:p>
    <w:p w14:paraId="40AABE17">
      <w:pPr>
        <w:spacing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</w:rPr>
        <w:t>本部门现人员编制169人，实有在职人员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117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人，退休人员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87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人，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执法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车辆编制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台，实有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执法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车辆9台。</w:t>
      </w:r>
    </w:p>
    <w:p w14:paraId="0C8AAAA1">
      <w:pPr>
        <w:spacing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</w:rPr>
        <w:t>（二）部门年度整体支出绩效目标，项目支出绩效目标</w:t>
      </w:r>
    </w:p>
    <w:p w14:paraId="2CFF6202">
      <w:pPr>
        <w:spacing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highlight w:val="none"/>
        </w:rPr>
        <w:t>本部门主要负责食品、药品、化妆品、医疗器械、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知识产权、产品质量、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计量器具及特种设备的监管；负责对各类市场经济秩序、商标、广告的监管；负责市场主体的登记注册、消费者权益保护工作。重点工作是保障食品、药品、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产品质量、</w:t>
      </w:r>
      <w:r>
        <w:rPr>
          <w:rFonts w:hint="eastAsia" w:eastAsia="仿宋_GB2312"/>
          <w:color w:val="000000"/>
          <w:sz w:val="32"/>
          <w:szCs w:val="32"/>
          <w:highlight w:val="none"/>
        </w:rPr>
        <w:t>特种设备零事故。</w:t>
      </w:r>
    </w:p>
    <w:p w14:paraId="54CF7B8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32E23C1C">
      <w:pPr>
        <w:pStyle w:val="5"/>
        <w:spacing w:line="570" w:lineRule="exact"/>
        <w:ind w:firstLine="640"/>
        <w:outlineLvl w:val="1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（一）基本支出情况</w:t>
      </w:r>
    </w:p>
    <w:p w14:paraId="6E7D2A57">
      <w:pPr>
        <w:pStyle w:val="5"/>
        <w:spacing w:line="570" w:lineRule="exact"/>
        <w:ind w:firstLine="640"/>
        <w:outlineLvl w:val="1"/>
        <w:rPr>
          <w:rFonts w:ascii="Times New Roman" w:hAnsi="Times New Roman" w:eastAsia="仿宋_GB2312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202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年度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市场监督管理局预算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收入2293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3万元，其中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一般公共预算收入2236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.26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万元，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其他收入56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77万元。当年总支出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2293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3万元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。</w:t>
      </w:r>
    </w:p>
    <w:p w14:paraId="79C113CA">
      <w:pPr>
        <w:widowControl/>
        <w:spacing w:line="500" w:lineRule="atLeast"/>
        <w:ind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我部门基本支出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1749.84万元支出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范围和主要用途包括部门机关的人员经费和日常公用经费。具体包括：工资福利支出、对个人和家庭的补助、商品和服务支出。基本支出的管理和使用情况如下：</w:t>
      </w:r>
    </w:p>
    <w:p w14:paraId="2DADEE50">
      <w:pPr>
        <w:widowControl/>
        <w:spacing w:line="500" w:lineRule="atLeast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　　　　　基本支出本年预算指标可用情况   （单位：万元）</w:t>
      </w:r>
    </w:p>
    <w:tbl>
      <w:tblPr>
        <w:tblStyle w:val="3"/>
        <w:tblW w:w="1133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0"/>
        <w:gridCol w:w="1823"/>
        <w:gridCol w:w="1982"/>
        <w:gridCol w:w="2287"/>
        <w:gridCol w:w="2287"/>
      </w:tblGrid>
      <w:tr w14:paraId="466FF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2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9ECA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预算项目</w:t>
            </w:r>
          </w:p>
        </w:tc>
        <w:tc>
          <w:tcPr>
            <w:tcW w:w="18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B3C4"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本年预算</w:t>
            </w:r>
          </w:p>
        </w:tc>
        <w:tc>
          <w:tcPr>
            <w:tcW w:w="19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6AE2"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上年结余</w:t>
            </w:r>
          </w:p>
        </w:tc>
        <w:tc>
          <w:tcPr>
            <w:tcW w:w="22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9256"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本年可用指标</w:t>
            </w:r>
          </w:p>
        </w:tc>
        <w:tc>
          <w:tcPr>
            <w:tcW w:w="22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000CF"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</w:p>
        </w:tc>
      </w:tr>
      <w:tr w14:paraId="35990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32A4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工资福利支出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48F4"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1442.43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00951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C9BEE"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1442.43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C3B5"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2FB59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FFE17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商品和服务支出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043B3"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137.3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4BCB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675C9"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137.3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48B4"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0FEE3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3306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对个人和家庭补助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A8463"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57.59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E6C3F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1706"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57.59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30051"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6A008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FCD4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资本性支出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E800"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150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C2CC4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3BCA"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152.29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6FAF"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3BE1B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9E79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合 计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59C9"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1787.32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9485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03BA"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1787.32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D53A"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412246D4">
      <w:pPr>
        <w:widowControl/>
        <w:spacing w:line="500" w:lineRule="atLeast"/>
        <w:ind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根据本年预算和上年结余情况，本年基本支出预算可用指标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1787.32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万元。</w:t>
      </w:r>
    </w:p>
    <w:p w14:paraId="2F106442">
      <w:pPr>
        <w:widowControl/>
        <w:spacing w:line="500" w:lineRule="atLeast"/>
        <w:ind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本年基本支出预算执行情况       （单位：万元）</w:t>
      </w:r>
    </w:p>
    <w:tbl>
      <w:tblPr>
        <w:tblStyle w:val="3"/>
        <w:tblW w:w="0" w:type="auto"/>
        <w:tblInd w:w="1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5"/>
        <w:gridCol w:w="2164"/>
        <w:gridCol w:w="2164"/>
        <w:gridCol w:w="1571"/>
      </w:tblGrid>
      <w:tr w14:paraId="6432FB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931D2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预算项目</w:t>
            </w:r>
          </w:p>
        </w:tc>
        <w:tc>
          <w:tcPr>
            <w:tcW w:w="2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914F7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预算可用指标</w:t>
            </w:r>
          </w:p>
        </w:tc>
        <w:tc>
          <w:tcPr>
            <w:tcW w:w="2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3AF76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本年决算金额</w:t>
            </w:r>
          </w:p>
        </w:tc>
        <w:tc>
          <w:tcPr>
            <w:tcW w:w="15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0A049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差额</w:t>
            </w:r>
          </w:p>
        </w:tc>
      </w:tr>
      <w:tr w14:paraId="3F2A3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5CF9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工资福利支出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4404"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1442.43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E1AD"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1383.24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33587">
            <w:pPr>
              <w:widowControl/>
              <w:spacing w:line="500" w:lineRule="atLeast"/>
              <w:jc w:val="left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59.19</w:t>
            </w:r>
          </w:p>
        </w:tc>
      </w:tr>
      <w:tr w14:paraId="357D3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6AAE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商品和服务支出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A0C6"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137.3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01D0B"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156.72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ECFF8">
            <w:pPr>
              <w:widowControl/>
              <w:spacing w:line="500" w:lineRule="atLeast"/>
              <w:jc w:val="left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-19.42</w:t>
            </w:r>
          </w:p>
        </w:tc>
      </w:tr>
      <w:tr w14:paraId="7E653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10E1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对个人和家庭补助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EE05"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57.59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F9B7">
            <w:pPr>
              <w:widowControl/>
              <w:spacing w:line="50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57.59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0DB2"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</w:p>
        </w:tc>
      </w:tr>
      <w:tr w14:paraId="18575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14D1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资本性支出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CC21"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150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1E4B"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152.29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45A2D">
            <w:pPr>
              <w:widowControl/>
              <w:spacing w:line="500" w:lineRule="atLeast"/>
              <w:jc w:val="left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-2.29</w:t>
            </w:r>
          </w:p>
        </w:tc>
      </w:tr>
      <w:tr w14:paraId="1ABD9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ADC30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合 计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C3490"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1787.32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202E"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1749.84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875E4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</w:tr>
    </w:tbl>
    <w:p w14:paraId="20C752BE">
      <w:pPr>
        <w:widowControl/>
        <w:spacing w:line="500" w:lineRule="atLeast"/>
        <w:ind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从上表可以反映，202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年我部门基本支出决算数少于预算数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37.48万元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。</w:t>
      </w:r>
    </w:p>
    <w:p w14:paraId="5DD5C4DE">
      <w:pPr>
        <w:widowControl/>
        <w:spacing w:line="500" w:lineRule="atLeast"/>
        <w:ind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2、“三公”经费使用管理情况。</w:t>
      </w:r>
    </w:p>
    <w:p w14:paraId="549855B8">
      <w:pPr>
        <w:widowControl/>
        <w:spacing w:line="500" w:lineRule="atLeast"/>
        <w:ind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202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年“三公”经费预算情况          （单位：万元）</w:t>
      </w: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8"/>
        <w:gridCol w:w="2173"/>
        <w:gridCol w:w="2173"/>
        <w:gridCol w:w="2173"/>
      </w:tblGrid>
      <w:tr w14:paraId="032D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BBF1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费用项目</w:t>
            </w:r>
          </w:p>
        </w:tc>
        <w:tc>
          <w:tcPr>
            <w:tcW w:w="21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C22FF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基本支出</w:t>
            </w:r>
          </w:p>
        </w:tc>
        <w:tc>
          <w:tcPr>
            <w:tcW w:w="21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7ED9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项目支出</w:t>
            </w:r>
          </w:p>
        </w:tc>
        <w:tc>
          <w:tcPr>
            <w:tcW w:w="21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CBFB6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合计</w:t>
            </w:r>
          </w:p>
        </w:tc>
      </w:tr>
      <w:tr w14:paraId="21A9A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24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E3781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公务接待费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D3CA6">
            <w:pPr>
              <w:widowControl/>
              <w:spacing w:line="500" w:lineRule="atLeast"/>
              <w:ind w:firstLine="640" w:firstLineChars="200"/>
              <w:jc w:val="left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8.68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28C8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1A01">
            <w:pPr>
              <w:widowControl/>
              <w:spacing w:line="500" w:lineRule="atLeast"/>
              <w:ind w:firstLine="640" w:firstLineChars="200"/>
              <w:jc w:val="left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8.68</w:t>
            </w:r>
          </w:p>
        </w:tc>
      </w:tr>
      <w:tr w14:paraId="3AA07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4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E31E6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公车运行维护费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5E8A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62267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FA3E1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</w:tr>
      <w:tr w14:paraId="58647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4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14F0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因公出国费用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A6B7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BB94B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368D8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</w:tr>
      <w:tr w14:paraId="51C27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4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C4D74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公务车购置费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ABD6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FDC8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0D81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</w:tr>
      <w:tr w14:paraId="2DF68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4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E86A1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合计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F21FC">
            <w:pPr>
              <w:widowControl/>
              <w:spacing w:line="500" w:lineRule="atLeast"/>
              <w:ind w:firstLine="640" w:firstLineChars="200"/>
              <w:jc w:val="left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8.68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68F79">
            <w:pPr>
              <w:widowControl/>
              <w:spacing w:line="500" w:lineRule="atLeast"/>
              <w:ind w:firstLine="64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CEC7">
            <w:pPr>
              <w:widowControl/>
              <w:spacing w:line="500" w:lineRule="atLeast"/>
              <w:ind w:firstLine="640" w:firstLineChars="200"/>
              <w:jc w:val="left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8.68</w:t>
            </w:r>
          </w:p>
        </w:tc>
      </w:tr>
    </w:tbl>
    <w:p w14:paraId="70095503">
      <w:pPr>
        <w:widowControl/>
        <w:spacing w:line="500" w:lineRule="atLeast"/>
        <w:ind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我部门202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年“三公”经费预算金额为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4.9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万元，全部为财政拨款资金，并在新田政府网站进行了公示。</w:t>
      </w:r>
    </w:p>
    <w:p w14:paraId="63E2CF05">
      <w:pPr>
        <w:widowControl/>
        <w:spacing w:line="500" w:lineRule="atLeast"/>
        <w:ind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我部门202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年度“三公”经费预算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4.9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万元，实际支出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8.68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万元，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增加3.78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万元，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增加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率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77.14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%；主要是以前年度的招待费到今年来结算。全年未购置公务用车，“三公”经费总体控制较好。</w:t>
      </w:r>
    </w:p>
    <w:p w14:paraId="43DEBA5F">
      <w:pPr>
        <w:widowControl/>
        <w:spacing w:line="500" w:lineRule="atLeast"/>
        <w:ind w:firstLine="640" w:firstLineChars="200"/>
        <w:jc w:val="center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“三公”经费预决算情况    （单位：万元）</w:t>
      </w:r>
    </w:p>
    <w:tbl>
      <w:tblPr>
        <w:tblStyle w:val="3"/>
        <w:tblpPr w:leftFromText="180" w:rightFromText="180" w:vertAnchor="text" w:horzAnchor="page" w:tblpX="1295" w:tblpY="135"/>
        <w:tblOverlap w:val="never"/>
        <w:tblW w:w="9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336"/>
        <w:gridCol w:w="1395"/>
        <w:gridCol w:w="1440"/>
        <w:gridCol w:w="1350"/>
        <w:gridCol w:w="1440"/>
        <w:gridCol w:w="1395"/>
      </w:tblGrid>
      <w:tr w14:paraId="759CF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6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6A6C"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费用项目</w:t>
            </w:r>
          </w:p>
        </w:tc>
        <w:tc>
          <w:tcPr>
            <w:tcW w:w="273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430B4"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预算金额</w:t>
            </w:r>
          </w:p>
        </w:tc>
        <w:tc>
          <w:tcPr>
            <w:tcW w:w="279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9DAB"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决算金额</w:t>
            </w:r>
          </w:p>
        </w:tc>
        <w:tc>
          <w:tcPr>
            <w:tcW w:w="28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1F5E"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增加额（预-决）</w:t>
            </w:r>
          </w:p>
        </w:tc>
      </w:tr>
      <w:tr w14:paraId="7EFDC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exact"/>
        </w:trPr>
        <w:tc>
          <w:tcPr>
            <w:tcW w:w="16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1F0CF"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C4C5"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基本支出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FB7FF"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项目支出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00AC"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基本支出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88C84"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项目支出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8A57B"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基本支出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E754"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项目支出</w:t>
            </w:r>
          </w:p>
        </w:tc>
      </w:tr>
      <w:tr w14:paraId="71F26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1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69B6B"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公务接待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DEB7"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4.9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5BC6"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43E31"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8.68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72D0"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A0B7"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-3.78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75CC"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 w14:paraId="40A93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FCA8"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公车运行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95DC">
            <w:pPr>
              <w:widowControl/>
              <w:spacing w:line="500" w:lineRule="atLeast"/>
              <w:ind w:firstLine="56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7146"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71162">
            <w:pPr>
              <w:widowControl/>
              <w:spacing w:line="500" w:lineRule="atLeast"/>
              <w:ind w:firstLine="56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596C"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3C78">
            <w:pPr>
              <w:widowControl/>
              <w:spacing w:line="500" w:lineRule="atLeast"/>
              <w:ind w:firstLine="56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F916"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 w14:paraId="3FB33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1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C13F8"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公车购置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060C8">
            <w:pPr>
              <w:widowControl/>
              <w:spacing w:line="500" w:lineRule="atLeast"/>
              <w:ind w:firstLine="56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EC6B0"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CB5A">
            <w:pPr>
              <w:widowControl/>
              <w:spacing w:line="500" w:lineRule="atLeast"/>
              <w:ind w:firstLine="56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EE2F4"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B15F3">
            <w:pPr>
              <w:widowControl/>
              <w:spacing w:line="500" w:lineRule="atLeast"/>
              <w:ind w:firstLine="56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2233A"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 w14:paraId="13EB3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1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273B">
            <w:pPr>
              <w:widowControl/>
              <w:spacing w:line="500" w:lineRule="atLeast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因公出国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326B">
            <w:pPr>
              <w:widowControl/>
              <w:spacing w:line="500" w:lineRule="atLeast"/>
              <w:ind w:firstLine="56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560C7"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8C74A">
            <w:pPr>
              <w:widowControl/>
              <w:spacing w:line="500" w:lineRule="atLeast"/>
              <w:ind w:firstLine="56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D87D"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DD80C">
            <w:pPr>
              <w:widowControl/>
              <w:spacing w:line="500" w:lineRule="atLeast"/>
              <w:ind w:firstLine="56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51CF8"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 w14:paraId="57630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8A33"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  <w:t>合计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CF8C"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4.9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20432"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64138"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8.68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6293">
            <w:pPr>
              <w:widowControl/>
              <w:spacing w:line="500" w:lineRule="atLeas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E4F2">
            <w:pPr>
              <w:widowControl/>
              <w:spacing w:line="50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-3.78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0B80E">
            <w:pPr>
              <w:widowControl/>
              <w:spacing w:line="500" w:lineRule="atLeast"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</w:tbl>
    <w:p w14:paraId="083FBDDF">
      <w:pPr>
        <w:pStyle w:val="5"/>
        <w:numPr>
          <w:ilvl w:val="0"/>
          <w:numId w:val="1"/>
        </w:numPr>
        <w:spacing w:line="570" w:lineRule="exact"/>
        <w:ind w:firstLine="640"/>
        <w:outlineLvl w:val="1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项目支出情况</w:t>
      </w:r>
    </w:p>
    <w:p w14:paraId="3F0AD8C0">
      <w:pPr>
        <w:pStyle w:val="5"/>
        <w:spacing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年监督管理事务资金共下达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543.19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万元，其中1、“两网”（药品监督和供应）建设经费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万元；2、执法监督管理专项经费7.2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本年预算7.2万元，上年结转0.8万元）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；3、检验鉴定专项经费20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.26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本年预算20万元，上年结算0.26万元）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；4、食品安全示范县和农产品质量安全县创建（双安双创）经费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2024年23万元上年度24万元）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；5、重点业务工作经费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43.66万元（本年预算41.2万元，上年结转2.64万元）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；6、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标准化食堂建设“互联网+明厨亮灶”奖补经费30万元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；7、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非税征管经费163.8万元（本年151.64万元，上年结转12.16万元）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；8、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乡村振兴驻村后盾单位帮扶工作经费6万元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9、烟叶计量器委检和房租等费用9万元；10、质量基础设施“一站式”服务平台工作经费40万元；11、2022年两新组织创建市县标杆党组织支持经费6万元；12、全市非公有制经济组织党建工作现场会经费7.64万元；13、组织部付基层党支部经费49.29万元；14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市场监督管理事务上级补助资金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110.26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本年预算39.7万元，上年结转70.56万元）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 w14:paraId="54F5D827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3C150BB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</w:p>
    <w:p w14:paraId="15047B0A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12B3958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320" w:firstLineChars="1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</w:p>
    <w:p w14:paraId="5EFBDCA2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33564C7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320" w:firstLineChars="1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</w:p>
    <w:p w14:paraId="56BF3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382BC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1、经济效益评价。本年预算配置控制较好，财政供养人员控制在202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年编制数内，“三公”经费总额控制在财政预算内。一是预算执行方面。支出总额控制在预算总额以内，本年我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局</w:t>
      </w:r>
      <w:r>
        <w:rPr>
          <w:rFonts w:hint="eastAsia" w:eastAsia="仿宋_GB2312"/>
          <w:color w:val="000000"/>
          <w:sz w:val="32"/>
          <w:szCs w:val="32"/>
        </w:rPr>
        <w:t>未进行预算相关事项的调整。我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局</w:t>
      </w:r>
      <w:r>
        <w:rPr>
          <w:rFonts w:hint="eastAsia" w:eastAsia="仿宋_GB2312"/>
          <w:color w:val="000000"/>
          <w:sz w:val="32"/>
          <w:szCs w:val="32"/>
        </w:rPr>
        <w:t>专项资金到位后，严格按照监督管理事务资金使用管理的有关规定加强了资金管理。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促进质量提升、加强品牌建设。强化标准体系</w:t>
      </w:r>
      <w:r>
        <w:rPr>
          <w:rFonts w:hint="eastAsia" w:eastAsia="仿宋_GB2312"/>
          <w:color w:val="000000"/>
          <w:sz w:val="32"/>
          <w:szCs w:val="32"/>
        </w:rPr>
        <w:t>。不存在截留或滞留专项资金情况。“三公”经费总体控制较好，未超本年预算。</w:t>
      </w:r>
    </w:p>
    <w:p w14:paraId="7DAD0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</w:rPr>
        <w:t>2、效率性评价和有效性评价。全面推进“双随机、一公开”监管工作，实现部门联合任务占比达到50%以上，监管事项覆盖率达80%以上。加大放心消费创建力度，打造放心消费一条街，发挥示范带动作用，提振消费信心营造放心消费环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7A71F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3、社会公众满意度评价。2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024年我局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通过上门宣传、现场宣传、联防联控宣传等形式开展宪法、民法典、食品药品、医疗器械、化妆品、产品质量、知识产权等法律法规宣传80余次，并向企业大力推广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</w:rPr>
        <w:t>群众满意度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95%</w:t>
      </w:r>
      <w:r>
        <w:rPr>
          <w:rFonts w:hint="eastAsia" w:eastAsia="仿宋_GB2312"/>
          <w:color w:val="000000"/>
          <w:sz w:val="32"/>
          <w:szCs w:val="32"/>
        </w:rPr>
        <w:t>，没有发生群众上访事件</w:t>
      </w:r>
      <w:r>
        <w:rPr>
          <w:rFonts w:eastAsia="仿宋_GB2312"/>
          <w:color w:val="000000"/>
          <w:sz w:val="32"/>
          <w:szCs w:val="32"/>
        </w:rPr>
        <w:t>。</w:t>
      </w:r>
    </w:p>
    <w:p w14:paraId="701A35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0C227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</w:rPr>
        <w:t>主要存在的问题是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eastAsia="仿宋_GB2312"/>
          <w:sz w:val="32"/>
          <w:szCs w:val="32"/>
          <w:highlight w:val="none"/>
        </w:rPr>
        <w:t>基本支出中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办公费占商品和服务支出总额的12%</w:t>
      </w:r>
      <w:r>
        <w:rPr>
          <w:rFonts w:hint="eastAsia" w:eastAsia="仿宋_GB2312"/>
          <w:sz w:val="32"/>
          <w:szCs w:val="32"/>
          <w:highlight w:val="none"/>
        </w:rPr>
        <w:t>需加强厉行节约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 w14:paraId="61970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1170C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针对上述存在的问题及我部门整体支出管理工作的需要，下一步，我们将采取以下改进措施：</w:t>
      </w:r>
    </w:p>
    <w:p w14:paraId="2C52B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、细化预算编制工作，认真做好预算的编制。进一步加强中心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</w:t>
      </w:r>
    </w:p>
    <w:p w14:paraId="24FE4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2、加强财务管理，严格财务审核。在费用报账支付时，按照预算规定的费用项目和用途进行资金使用审核、列报支付、财务核算，杜绝超支现象的发生。</w:t>
      </w:r>
    </w:p>
    <w:p w14:paraId="590F1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、持续抓好“三公”经费控制管理。严格控制“三公”经费的规模和比例，严格“三公”经费支出的审核、审批，杜绝挪用和挤占其他预算资金行为；进一步细化“三公”经费的管理，合理压缩“三公”经费支出。</w:t>
      </w:r>
    </w:p>
    <w:p w14:paraId="08301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4、加强对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监督管理事务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资金项目实施进度的跟踪，开展项目绩效评价，确保项目绩效目标的完成。</w:t>
      </w:r>
    </w:p>
    <w:p w14:paraId="2F503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 w14:paraId="292E1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通过加强预算收支管理，不断建立健全内部管理制度，梳理内部管理流程，我局整体支出管理情况得到提升，贯彻落实厉行节约、严控“三公”经费、降低一般运行经费、加强项目支出管理等，成绩显著，依据部门整体支出绩效评价指标体系，本中心202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年度自评得分为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98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分</w:t>
      </w:r>
    </w:p>
    <w:p w14:paraId="74321D3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 w14:paraId="77081D8D">
      <w:pPr>
        <w:pStyle w:val="2"/>
        <w:numPr>
          <w:ilvl w:val="0"/>
          <w:numId w:val="0"/>
        </w:numPr>
        <w:ind w:firstLine="960" w:firstLineChars="3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无其他需要说明的情况</w:t>
      </w:r>
    </w:p>
    <w:p w14:paraId="18EEB6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3BE47"/>
    <w:multiLevelType w:val="singleLevel"/>
    <w:tmpl w:val="3373BE47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35410E"/>
    <w:multiLevelType w:val="singleLevel"/>
    <w:tmpl w:val="4935410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BA4A569"/>
    <w:multiLevelType w:val="singleLevel"/>
    <w:tmpl w:val="6BA4A56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YzA0ZjZmNzRjODZmNGI5M2MwY2UzMzA2ODA0MzYifQ=="/>
  </w:docVars>
  <w:rsids>
    <w:rsidRoot w:val="00000000"/>
    <w:rsid w:val="06112992"/>
    <w:rsid w:val="1C0302FC"/>
    <w:rsid w:val="1FF627D9"/>
    <w:rsid w:val="2B826CC3"/>
    <w:rsid w:val="3AA75D81"/>
    <w:rsid w:val="3E6842C3"/>
    <w:rsid w:val="42FC5495"/>
    <w:rsid w:val="4732088A"/>
    <w:rsid w:val="4F634C09"/>
    <w:rsid w:val="5F27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2476</Words>
  <Characters>2795</Characters>
  <Lines>0</Lines>
  <Paragraphs>0</Paragraphs>
  <TotalTime>16</TotalTime>
  <ScaleCrop>false</ScaleCrop>
  <LinksUpToDate>false</LinksUpToDate>
  <CharactersWithSpaces>2830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2024-05-27T15:10:00Z</dcterms:created>
  <dc:creator>10958</dc:creator>
  <cp:lastModifiedBy>Administrator</cp:lastModifiedBy>
  <dcterms:modified xsi:type="dcterms:W3CDTF">2025-06-18T03:23:56Z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8BF571F29BDF48789046529E21FEA61A_12</vt:lpwstr>
  </property>
  <property fmtid="{D5CDD505-2E9C-101B-9397-08002B2CF9AE}" pid="4" name="KSOTemplateDocerSaveRecord">
    <vt:lpwstr>eyJoZGlkIjoiMDQyNjFmNGQ2MDAyYmMzY2Y2YTFmNWExNzJlZGE3ZDIifQ==</vt:lpwstr>
  </property>
</Properties>
</file>