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outlineLvl w:val="1"/>
        <w:rPr>
          <w:rFonts w:hint="eastAsia" w:ascii="宋体" w:hAnsi="宋体" w:eastAsia="宋体" w:cs="宋体"/>
          <w:sz w:val="52"/>
          <w:szCs w:val="52"/>
          <w:highlight w:val="none"/>
        </w:rPr>
      </w:pPr>
      <w:r>
        <w:rPr>
          <w:rFonts w:hint="eastAsia" w:ascii="宋体" w:hAnsi="宋体" w:eastAsia="宋体" w:cs="宋体"/>
          <w:sz w:val="52"/>
          <w:szCs w:val="52"/>
        </w:rPr>
        <w:t>2023</w:t>
      </w:r>
      <w:r>
        <w:rPr>
          <w:rFonts w:hint="eastAsia" w:ascii="宋体" w:hAnsi="宋体" w:eastAsia="宋体" w:cs="宋体"/>
          <w:sz w:val="52"/>
          <w:szCs w:val="52"/>
          <w:highlight w:val="none"/>
        </w:rPr>
        <w:t>年新田县市场监督管理局</w:t>
      </w: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highlight w:val="none"/>
        </w:rPr>
        <w:t>整体支出绩效自评报告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2024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29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>
      <w:pPr>
        <w:spacing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（一）部门基本情况</w:t>
      </w:r>
    </w:p>
    <w:p>
      <w:pPr>
        <w:spacing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本部门18个内设机构、1个所属单位、1个挂靠机构、5个派出机构（除龙泉直属分局独立核算外）,全部列入了本部门预算。</w:t>
      </w:r>
    </w:p>
    <w:p>
      <w:pPr>
        <w:spacing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本部门现人员编制169人，实有在职人员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118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人，退休人员7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人，临聘人员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人，车辆编制12台，实有车辆9台。</w:t>
      </w:r>
    </w:p>
    <w:p>
      <w:pPr>
        <w:spacing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（二）部门年度整体支出绩效目标，项目支出绩效目标</w:t>
      </w:r>
    </w:p>
    <w:p>
      <w:pPr>
        <w:spacing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本部门主要负责食品、药品、化妆品、医疗器械、计量器具及特种设备的监管；负责对各类市场经济秩序、商标、广告的监管；负责市场主体的登记注册、消费者权益保护工作。重点工作是保障食品、药品、特种设备零事故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（一）基本支出情况</w:t>
      </w:r>
    </w:p>
    <w:p>
      <w:pPr>
        <w:pStyle w:val="5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年度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市场监督管理局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一般公共预算收入2248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56万元，占当年总收入的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100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，一般公共预算支出2248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56万元，占当年总支出的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100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。</w:t>
      </w:r>
    </w:p>
    <w:p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我部门基本支出1628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42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万元支出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范围和主要用途包括部门机关的人员经费和日常公用经费。具体包括：工资福利支出、对个人和家庭的补助、商品和服务支出。基本支出的管理和使用情况如下：</w:t>
      </w:r>
    </w:p>
    <w:p>
      <w:pPr>
        <w:widowControl/>
        <w:spacing w:line="500" w:lineRule="atLeast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　　　　　基本支出本年预算指标可用情况   （单位：万元）</w:t>
      </w:r>
    </w:p>
    <w:tbl>
      <w:tblPr>
        <w:tblStyle w:val="3"/>
        <w:tblW w:w="905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0"/>
        <w:gridCol w:w="1823"/>
        <w:gridCol w:w="1982"/>
        <w:gridCol w:w="22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预算项目</w:t>
            </w:r>
          </w:p>
        </w:tc>
        <w:tc>
          <w:tcPr>
            <w:tcW w:w="1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本年预算</w:t>
            </w:r>
          </w:p>
        </w:tc>
        <w:tc>
          <w:tcPr>
            <w:tcW w:w="19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上年结余</w:t>
            </w:r>
          </w:p>
        </w:tc>
        <w:tc>
          <w:tcPr>
            <w:tcW w:w="22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本年可用指标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工资福利支出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1351.57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1351.57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商品和服务支出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259.56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259.56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对个人和家庭补助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17.29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17.29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合 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1628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42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1628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42</w:t>
            </w:r>
          </w:p>
        </w:tc>
      </w:tr>
    </w:tbl>
    <w:p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根据本年预算和上年结余情况，本年基本支出预算可用指标1628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42万元。</w:t>
      </w:r>
    </w:p>
    <w:p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本年基本支出预算执行情况       （单位：万元）</w:t>
      </w:r>
    </w:p>
    <w:tbl>
      <w:tblPr>
        <w:tblStyle w:val="3"/>
        <w:tblW w:w="0" w:type="auto"/>
        <w:tblInd w:w="1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5"/>
        <w:gridCol w:w="2164"/>
        <w:gridCol w:w="2164"/>
        <w:gridCol w:w="1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预算项目</w:t>
            </w:r>
          </w:p>
        </w:tc>
        <w:tc>
          <w:tcPr>
            <w:tcW w:w="2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预算可用指标</w:t>
            </w:r>
          </w:p>
        </w:tc>
        <w:tc>
          <w:tcPr>
            <w:tcW w:w="2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本年决算金额</w:t>
            </w:r>
          </w:p>
        </w:tc>
        <w:tc>
          <w:tcPr>
            <w:tcW w:w="15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差额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工资福利支出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1351.57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1351.57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商品和服务支出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259.56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259.56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对个人和家庭补助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17.29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17.29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合 计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1628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42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1628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42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</w:tr>
    </w:tbl>
    <w:p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从上表可以反映，202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年我部门基本支出与预算基本一致。</w:t>
      </w:r>
    </w:p>
    <w:p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2、“三公”经费使用管理情况。</w:t>
      </w:r>
    </w:p>
    <w:p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202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年“三公”经费预算情况          （单位：万元）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8"/>
        <w:gridCol w:w="2173"/>
        <w:gridCol w:w="2173"/>
        <w:gridCol w:w="21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费用项目</w:t>
            </w:r>
          </w:p>
        </w:tc>
        <w:tc>
          <w:tcPr>
            <w:tcW w:w="21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基本支出</w:t>
            </w:r>
          </w:p>
        </w:tc>
        <w:tc>
          <w:tcPr>
            <w:tcW w:w="21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项目支出</w:t>
            </w:r>
          </w:p>
        </w:tc>
        <w:tc>
          <w:tcPr>
            <w:tcW w:w="21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24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公务接待费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4.76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4.76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公车运行维护费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因公出国费用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公务车购置费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合计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4.76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40" w:firstLineChars="200"/>
              <w:jc w:val="left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4.76</w:t>
            </w:r>
          </w:p>
        </w:tc>
      </w:tr>
    </w:tbl>
    <w:p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我部门202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年“三公”经费预算金额为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3.87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万元，全部为财政拨款资金，并在新田政府网站进行了公示。</w:t>
      </w:r>
    </w:p>
    <w:p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我部门202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年度“三公”经费预算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万元，实际支出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3.87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万元，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减少1.13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万元。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减少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率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23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%；主要是严控“三公经费”压缩招待费。全年未购置公务用车，“三公”经费总体控制较好。</w:t>
      </w:r>
    </w:p>
    <w:p>
      <w:pPr>
        <w:widowControl/>
        <w:spacing w:line="500" w:lineRule="atLeast"/>
        <w:ind w:firstLine="640" w:firstLineChars="20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“三公”经费预决算情况    （单位：万元）</w:t>
      </w:r>
    </w:p>
    <w:tbl>
      <w:tblPr>
        <w:tblStyle w:val="3"/>
        <w:tblpPr w:leftFromText="180" w:rightFromText="180" w:vertAnchor="text" w:horzAnchor="page" w:tblpX="1295" w:tblpY="135"/>
        <w:tblOverlap w:val="never"/>
        <w:tblW w:w="9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336"/>
        <w:gridCol w:w="1395"/>
        <w:gridCol w:w="1440"/>
        <w:gridCol w:w="1350"/>
        <w:gridCol w:w="1440"/>
        <w:gridCol w:w="1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费用项目</w:t>
            </w:r>
          </w:p>
        </w:tc>
        <w:tc>
          <w:tcPr>
            <w:tcW w:w="27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预算金额</w:t>
            </w:r>
          </w:p>
        </w:tc>
        <w:tc>
          <w:tcPr>
            <w:tcW w:w="27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决算金额</w:t>
            </w:r>
          </w:p>
        </w:tc>
        <w:tc>
          <w:tcPr>
            <w:tcW w:w="28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增加额（预-决）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exact"/>
        </w:trPr>
        <w:tc>
          <w:tcPr>
            <w:tcW w:w="16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基本支出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项目支出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基本支出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项目支出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基本支出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项目支出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公务接待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3.87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1.13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公车运行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公车购置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因公出国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合计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3.87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1.13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</w:tbl>
    <w:p>
      <w:pPr>
        <w:pStyle w:val="5"/>
        <w:numPr>
          <w:ilvl w:val="0"/>
          <w:numId w:val="1"/>
        </w:numPr>
        <w:spacing w:line="570" w:lineRule="exact"/>
        <w:ind w:firstLine="640"/>
        <w:outlineLvl w:val="1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项目支出情况</w:t>
      </w:r>
    </w:p>
    <w:p>
      <w:pPr>
        <w:pStyle w:val="5"/>
        <w:spacing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2023年监督管理事务资金共下达620.14万元，其中县财政配套281.4万元（1、“两网”（药品监督和供应）建设经费4万元；2、执法监督管理专项经费7.2万元；3、工业产品监督抽检样品购买经费20万元；4、工业企业产品质量定期检验经费15万元；5、检验鉴定专项经费20万元；6、农产品、食品抽检购买服务经费150万元；7、食品安全示范县和农产品质量安全县创建（双安双创）经费24万元；8、重点业务工作经费41.2万元），省财政厅下达338.74万元（产业发展引导基金200万元；监督管理事务上级补助资金138.74万元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1、经济效益评价。本年预算配置控制较好，财政供养人员控制在202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</w:rPr>
        <w:t>年编制数内，“三公”经费总额控制在财政预算内。一是预算执行方面。支出总额控制在预算总额以内，本年我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局</w:t>
      </w:r>
      <w:r>
        <w:rPr>
          <w:rFonts w:hint="eastAsia" w:eastAsia="仿宋_GB2312"/>
          <w:color w:val="000000"/>
          <w:sz w:val="32"/>
          <w:szCs w:val="32"/>
        </w:rPr>
        <w:t>未进行预算相关事项的调整。我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局</w:t>
      </w:r>
      <w:r>
        <w:rPr>
          <w:rFonts w:hint="eastAsia" w:eastAsia="仿宋_GB2312"/>
          <w:color w:val="000000"/>
          <w:sz w:val="32"/>
          <w:szCs w:val="32"/>
        </w:rPr>
        <w:t>专项资金到位后，严格按照监督管理事务资金使用管理的有关规定加强了资金管理。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促进质量提升、加强品牌建设。强化标准体系</w:t>
      </w:r>
      <w:r>
        <w:rPr>
          <w:rFonts w:hint="eastAsia" w:eastAsia="仿宋_GB2312"/>
          <w:color w:val="000000"/>
          <w:sz w:val="32"/>
          <w:szCs w:val="32"/>
        </w:rPr>
        <w:t>。不存在截留或滞留专项资金情况。“三公”经费总体控制较好，未超本年预算。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</w:rPr>
        <w:t>2、效率性评价和有效性评价。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全面推进“双随机、一公开”监管，打通监管“最后一公里”，实现了“双随机、一公开”监管在市场监管领域全覆盖，实施双随机抽查计划25个、抽取检查对象620户，为全县各类市场主体健康发展构建了公平有序的竞争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3、社会公众满意度评价。2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023年我局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通过上门宣传、现场宣传、联防联控宣传等形式开展宪法、民法典、食品药品、医疗器械、化妆品、产品质量、知识产权等法律法规宣传80余次，并向企业大力推广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</w:rPr>
        <w:t>群众满意度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95%</w:t>
      </w:r>
      <w:r>
        <w:rPr>
          <w:rFonts w:hint="eastAsia" w:eastAsia="仿宋_GB2312"/>
          <w:color w:val="000000"/>
          <w:sz w:val="32"/>
          <w:szCs w:val="32"/>
        </w:rPr>
        <w:t>，没有发生群众上访事件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主要存在的问题是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eastAsia="仿宋_GB2312"/>
          <w:sz w:val="32"/>
          <w:szCs w:val="32"/>
          <w:highlight w:val="none"/>
        </w:rPr>
        <w:t>基本支出中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办公费及印刷费高于</w:t>
      </w:r>
      <w:r>
        <w:rPr>
          <w:rFonts w:hint="eastAsia" w:eastAsia="仿宋_GB2312"/>
          <w:sz w:val="32"/>
          <w:szCs w:val="32"/>
          <w:highlight w:val="none"/>
        </w:rPr>
        <w:t>经费预算数需加强厉行节约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针对上述存在的问题及我部门整体支出管理工作的需要，下一步，我们将采取以下改进措施：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、细化预算编制工作，认真做好预算的编制。进一步加强中心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2、加强财务管理，严格财务审核。在费用报账支付时，按照预算规定的费用项目和用途进行资金使用审核、列报支付、财务核算，杜绝超支现象的发生。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持续抓好“三公”经费控制管理。严格控制“三公”经费的规模和比例，严格“三公”经费支出的审核、审批，杜绝挪用和挤占其他预算资金行为；进一步细化“三公”经费的管理，合理压缩“三公”经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4、加强对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监督管理事务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资金项目实施进度的跟踪，开展项目绩效评价，确保项目绩效目标的完成。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通过加强预算收支管理，不断建立健全内部管理制度，梳理内部管理流程，我局整体支出管理情况得到提升，贯彻落实厉行节约、严控“三公”经费、降低一般运行经费、加强项目支出管理等，成绩显著，依据部门整体支出绩效评价指标体系，本中心2023年度自评得分为100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numPr>
          <w:ilvl w:val="0"/>
          <w:numId w:val="0"/>
        </w:numPr>
        <w:ind w:firstLine="960" w:firstLineChars="3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无其他需要说明的情况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3BE47"/>
    <w:multiLevelType w:val="singleLevel"/>
    <w:tmpl w:val="3373BE47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35410E"/>
    <w:multiLevelType w:val="singleLevel"/>
    <w:tmpl w:val="493541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BA4A569"/>
    <w:multiLevelType w:val="singleLevel"/>
    <w:tmpl w:val="6BA4A56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zA0ZjZmNzRjODZmNGI5M2MwY2UzMzA2ODA0MzYifQ=="/>
  </w:docVars>
  <w:rsids>
    <w:rsidRoot w:val="00000000"/>
    <w:rsid w:val="1FF6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2024-05-27T15:10:45Z</dcterms:created>
  <dc:creator>10958</dc:creator>
  <cp:lastModifiedBy>zyq</cp:lastModifiedBy>
  <dcterms:modified xsi:type="dcterms:W3CDTF">2024-05-27T15:11:22Z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8BF571F29BDF48789046529E21FEA61A_12</vt:lpwstr>
  </property>
</Properties>
</file>