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3360" w:firstLineChars="700"/>
        <w:jc w:val="both"/>
        <w:rPr>
          <w:rFonts w:hint="eastAsia"/>
          <w:sz w:val="48"/>
          <w:szCs w:val="48"/>
          <w:lang w:eastAsia="zh-CN"/>
        </w:rPr>
      </w:pPr>
    </w:p>
    <w:p>
      <w:pPr>
        <w:pStyle w:val="11"/>
        <w:ind w:firstLine="3360" w:firstLineChars="700"/>
        <w:jc w:val="both"/>
        <w:rPr>
          <w:rFonts w:hint="eastAsia"/>
          <w:sz w:val="48"/>
          <w:szCs w:val="48"/>
          <w:lang w:eastAsia="zh-CN"/>
        </w:rPr>
      </w:pPr>
      <w:r>
        <w:rPr>
          <w:rFonts w:hint="eastAsia"/>
          <w:sz w:val="48"/>
          <w:szCs w:val="48"/>
        </w:rPr>
        <w:t>新田县</w:t>
      </w:r>
      <w:r>
        <w:rPr>
          <w:rFonts w:hint="eastAsia"/>
          <w:sz w:val="48"/>
          <w:szCs w:val="48"/>
          <w:lang w:eastAsia="zh-CN"/>
        </w:rPr>
        <w:t>市场监督管理局</w:t>
      </w:r>
      <w:r>
        <w:rPr>
          <w:rFonts w:hint="eastAsia"/>
          <w:sz w:val="48"/>
          <w:szCs w:val="48"/>
          <w:lang w:val="en-US" w:eastAsia="zh-CN"/>
        </w:rPr>
        <w:t>2022</w:t>
      </w:r>
      <w:r>
        <w:rPr>
          <w:rFonts w:hint="eastAsia"/>
          <w:sz w:val="48"/>
          <w:szCs w:val="48"/>
          <w:lang w:eastAsia="zh-CN"/>
        </w:rPr>
        <w:t>年度部门决算公开</w:t>
      </w:r>
    </w:p>
    <w:p>
      <w:pPr>
        <w:pStyle w:val="11"/>
        <w:spacing w:line="500" w:lineRule="exact"/>
        <w:ind w:firstLine="6144" w:firstLineChars="1700"/>
        <w:jc w:val="both"/>
        <w:rPr>
          <w:rFonts w:hint="eastAsia"/>
          <w:b/>
          <w:sz w:val="36"/>
          <w:szCs w:val="28"/>
        </w:rPr>
      </w:pPr>
    </w:p>
    <w:p>
      <w:pPr>
        <w:pStyle w:val="11"/>
        <w:spacing w:line="500" w:lineRule="exact"/>
        <w:ind w:firstLine="6626" w:firstLineChars="1500"/>
        <w:jc w:val="both"/>
        <w:rPr>
          <w:b/>
          <w:sz w:val="36"/>
          <w:szCs w:val="28"/>
        </w:rPr>
      </w:pPr>
      <w:r>
        <w:rPr>
          <w:rFonts w:hint="eastAsia"/>
          <w:b/>
          <w:sz w:val="44"/>
          <w:szCs w:val="44"/>
        </w:rPr>
        <w:t>目录</w:t>
      </w:r>
    </w:p>
    <w:p>
      <w:pPr>
        <w:pStyle w:val="11"/>
        <w:spacing w:line="500" w:lineRule="exact"/>
        <w:rPr>
          <w:rFonts w:hint="eastAsia" w:ascii="黑体" w:hAnsi="黑体" w:eastAsia="黑体" w:cs="黑体"/>
          <w:b w:val="0"/>
          <w:bCs/>
          <w:sz w:val="28"/>
          <w:szCs w:val="28"/>
        </w:rPr>
      </w:pP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第一部分</w:t>
      </w:r>
      <w:r>
        <w:rPr>
          <w:rFonts w:hint="eastAsia" w:ascii="黑体" w:hAnsi="黑体" w:eastAsia="黑体" w:cs="黑体"/>
          <w:b/>
          <w:bCs w:val="0"/>
          <w:sz w:val="28"/>
          <w:szCs w:val="28"/>
          <w:lang w:val="en-US" w:eastAsia="zh-CN"/>
        </w:rPr>
        <w:t xml:space="preserve"> </w:t>
      </w:r>
      <w:r>
        <w:rPr>
          <w:rFonts w:hint="eastAsia" w:hAnsi="黑体" w:cs="黑体"/>
          <w:b/>
          <w:bCs w:val="0"/>
          <w:sz w:val="28"/>
          <w:szCs w:val="28"/>
          <w:lang w:val="en-US" w:eastAsia="zh-CN"/>
        </w:rPr>
        <w:t>新田县</w:t>
      </w:r>
      <w:r>
        <w:rPr>
          <w:rFonts w:hint="eastAsia"/>
          <w:b/>
          <w:sz w:val="28"/>
          <w:szCs w:val="28"/>
          <w:lang w:eastAsia="zh-CN"/>
        </w:rPr>
        <w:t>市场监督管理局</w:t>
      </w:r>
      <w:r>
        <w:rPr>
          <w:rFonts w:hint="eastAsia" w:ascii="黑体" w:hAnsi="黑体" w:eastAsia="黑体" w:cs="黑体"/>
          <w:b/>
          <w:bCs w:val="0"/>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第二部分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第三部分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第四部分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名词解释</w:t>
      </w:r>
    </w:p>
    <w:p>
      <w:pPr>
        <w:pStyle w:val="11"/>
        <w:spacing w:line="500" w:lineRule="exact"/>
        <w:rPr>
          <w:rFonts w:hint="eastAsia" w:ascii="黑体" w:hAnsi="黑体" w:eastAsia="黑体" w:cs="黑体"/>
          <w:b/>
          <w:bCs w:val="0"/>
          <w:sz w:val="28"/>
          <w:szCs w:val="28"/>
        </w:rPr>
      </w:pPr>
      <w:r>
        <w:rPr>
          <w:rFonts w:ascii="黑体" w:hAnsi="黑体" w:eastAsia="黑体" w:cs="黑体"/>
          <w:b/>
          <w:bCs w:val="0"/>
          <w:color w:val="000000"/>
          <w:kern w:val="0"/>
          <w:sz w:val="28"/>
          <w:szCs w:val="28"/>
        </w:rPr>
        <w:t>第五部分</w:t>
      </w:r>
      <w:r>
        <w:rPr>
          <w:rFonts w:hint="eastAsia" w:hAnsi="黑体" w:cs="黑体"/>
          <w:b/>
          <w:bCs w:val="0"/>
          <w:color w:val="000000"/>
          <w:kern w:val="0"/>
          <w:sz w:val="28"/>
          <w:szCs w:val="28"/>
          <w:lang w:val="en-US" w:eastAsia="zh-CN"/>
        </w:rPr>
        <w:t xml:space="preserve"> </w:t>
      </w:r>
      <w:r>
        <w:rPr>
          <w:rFonts w:ascii="黑体" w:hAnsi="黑体" w:eastAsia="黑体" w:cs="黑体"/>
          <w:b/>
          <w:bCs w:val="0"/>
          <w:color w:val="000000"/>
          <w:kern w:val="0"/>
          <w:sz w:val="28"/>
          <w:szCs w:val="28"/>
        </w:rPr>
        <w:t>附件</w:t>
      </w:r>
    </w:p>
    <w:p>
      <w:pPr>
        <w:jc w:val="both"/>
        <w:rPr>
          <w:rFonts w:hint="eastAsia" w:ascii="黑体" w:hAnsi="黑体" w:eastAsia="黑体" w:cs="黑体"/>
          <w:b/>
          <w:bCs w:val="0"/>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rPr>
          <w:b/>
          <w:bCs/>
          <w:sz w:val="72"/>
          <w:szCs w:val="72"/>
        </w:rPr>
      </w:pPr>
      <w:r>
        <w:rPr>
          <w:rFonts w:hint="eastAsia" w:ascii="黑体" w:hAnsi="黑体" w:eastAsia="黑体" w:cs="黑体"/>
          <w:b/>
          <w:bCs/>
          <w:sz w:val="32"/>
          <w:szCs w:val="32"/>
        </w:rPr>
        <w:t xml:space="preserve">第一部分 </w:t>
      </w:r>
      <w:r>
        <w:rPr>
          <w:rFonts w:hint="eastAsia" w:ascii="黑体" w:hAnsi="黑体" w:eastAsia="黑体" w:cs="黑体"/>
          <w:b/>
          <w:bCs/>
          <w:sz w:val="32"/>
          <w:szCs w:val="32"/>
          <w:lang w:val="en-US" w:eastAsia="zh-CN"/>
        </w:rPr>
        <w:t xml:space="preserve"> 新田县市场监督管理局</w:t>
      </w:r>
      <w:r>
        <w:rPr>
          <w:rFonts w:hint="eastAsia" w:ascii="黑体" w:hAnsi="黑体" w:eastAsia="黑体" w:cs="黑体"/>
          <w:sz w:val="32"/>
          <w:szCs w:val="32"/>
        </w:rPr>
        <w:t>概况</w:t>
      </w:r>
    </w:p>
    <w:p>
      <w:pPr>
        <w:pStyle w:val="12"/>
        <w:numPr>
          <w:ilvl w:val="0"/>
          <w:numId w:val="0"/>
        </w:numPr>
        <w:ind w:leftChars="0" w:firstLine="960" w:firstLineChars="300"/>
        <w:jc w:val="left"/>
        <w:rPr>
          <w:rFonts w:asciiTheme="minorEastAsia" w:hAnsiTheme="minorEastAsia" w:cstheme="minorEastAsia"/>
          <w:b/>
          <w:bCs/>
          <w:sz w:val="28"/>
          <w:szCs w:val="28"/>
        </w:rPr>
      </w:pPr>
      <w:r>
        <w:rPr>
          <w:rFonts w:hint="eastAsia" w:ascii="黑体" w:hAnsi="黑体" w:eastAsia="黑体" w:cs="黑体"/>
          <w:b w:val="0"/>
          <w:bCs w:val="0"/>
          <w:sz w:val="32"/>
          <w:szCs w:val="32"/>
          <w:lang w:val="en-US" w:eastAsia="zh-CN"/>
        </w:rPr>
        <w:t>一、</w:t>
      </w:r>
      <w:r>
        <w:rPr>
          <w:rFonts w:hint="eastAsia" w:asciiTheme="minorEastAsia" w:hAnsiTheme="minorEastAsia" w:cstheme="minorEastAsia"/>
          <w:b/>
          <w:bCs/>
          <w:sz w:val="28"/>
          <w:szCs w:val="28"/>
        </w:rPr>
        <w:t>部门职责</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负责市场综合监督管理。贯彻执行国家和省有关市场监督管理的方针政策和法律法规，拟订市场监督管理规范性文件草案，组织实施质量强县战略、食品安全战略、标准化战略和知识产权战略，拟订并组织实施有关规划，规范和维护市场秩序，营造诚实守信、公平竞争的市场环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负责市场主体统一登记注册。负责全县各类企业、农民专业合作社和从事经营活动的单位、个体工商户等市场主体的登记注册和监督管理工作。建立市场主体信息公示和共享机制，依法公示和共享有关信息，加强信用监管，推动市场主体信用体系建设。</w:t>
      </w:r>
    </w:p>
    <w:p>
      <w:pPr>
        <w:autoSpaceDE w:val="0"/>
        <w:autoSpaceDN w:val="0"/>
        <w:adjustRightInd w:val="0"/>
        <w:spacing w:line="500" w:lineRule="exact"/>
        <w:ind w:firstLine="840" w:firstLineChars="3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负责权限范围内食品、药品、医疗器械、化妆品、特种设备、计量器具的许可管理。负责权限内食品生产、流通和餐饮服务环节的行政许可。负责权限内药品流通环节的行政许可。负责权限内医疗器械备案及医疗器械经营环节的行政许可。负责权限内特种设备、计量器具的行政许可及备案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（四）负责组织和指导市场监管综合执法工作。指导全县市场监管综合执法队伍整合和建设，推动实行统一的市场监管。组织查处重大违法案件。规范市场监管行政执法行为。</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根据授权负责反垄断统一执法。统筹推进竞争政策实施，组织实施公平竞争审查制度。根据授权依法对经营者集中行为进行反垄断审查，根据授权负责承担垄断协议、滥用市场支配地位和滥用行政权力排除、限制竞争等反垄断执法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负责监督管理市场秩序。依法监督管理市场交易、网络商品交易及有关服务的行为。组织查处价格收费违法违规、不正当竞争、违法直销、传销、侵犯商标专利知识产权和制售假冒伪劣行为。指导广告业的发展，监督管理广告活动。依法查处无照生产经营和相关无证生产经营行为。</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负责宏观质量管理。拟订并组织实施质量强县发展的制度措施，统筹全县质量基础设施建设与应用，会同有关部门组织实施较大工程设备质量监理制度，组织较大产品质量事故调查，贯彻实施缺陷产品召回制度，监督管理产品防伪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（八）负责产品质量安全监督管理。管理产品质量安全风险监控、全县监督抽查工作，落实质量分级制度、质量安全追溯制度。负责工业产品生产许可管理。负责纤维质量监督工作。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（九）负责特种设备安全监督管理。综合管理特种设备安全监察、监督工作，监督检查高耗能特种设备节能标准和锅炉环境保护标准的执行情况。按规定权限组织调查处理特种设备事故并进行统计分析。</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负责食品安全监督管理综合协调。组织制定食品安全有关政策措施并组织实施。负责食品安全应急体系建设，组织指导较大食品安全事件应急处置和调查处理工作。建立健全食品安全重要信息直报制度。承担县政府食品安全委员会日常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监督管理。负责食盐安全监督管理。</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（十二）负责统一管理计量工作。推行法定计量单位和国家计量制度，依职责管理计量器具及量值传递和比对工作。规范、监督商品量和市场计量行为。</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（十三）负责统一管理标准化工作。指导开展标准化试点示范工作。依据法定职责，对标准的制定进行指导监督，对标准的实施进行监督检查。推行采用国际标准。　　</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（十四）负责统一管理检验检测工作。规范检验检测市场，完善检验检测体系，指导协调检验检测行业发展。</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bookmarkStart w:id="0" w:name="OLE_LINK10"/>
      <w:bookmarkStart w:id="1" w:name="OLE_LINK9"/>
      <w:r>
        <w:rPr>
          <w:rFonts w:hint="eastAsia" w:ascii="仿宋_GB2312" w:hAnsi="仿宋_GB2312" w:eastAsia="仿宋_GB2312" w:cs="仿宋_GB2312"/>
          <w:color w:val="000000"/>
          <w:kern w:val="0"/>
          <w:sz w:val="28"/>
          <w:szCs w:val="28"/>
        </w:rPr>
        <w:t>（十五）负责统一管理、监督和综合协调全县认证认可工作。依法监督管理全县认证认可和合格评定有关活动。</w:t>
      </w:r>
      <w:bookmarkEnd w:id="0"/>
      <w:bookmarkEnd w:id="1"/>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（十六）负责市场监督管理、知识产权领域科技和信息化建设、新闻宣传、对外交流与合作。按规定承担技术性贸易措施有关工作。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（十七）负责实施知识产权战略，推进知识产权强县建设。组织制定实施知识产权创造、保护、运用的政策措施。负责知识产权公共服务体系建设、推动知识产权信息传播利用。统筹协调涉外知识产权有关事宜。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（十八）负责保护知识产权。落实严格保护商标、专利、原产地地理标志等相关工作，负责知识产权保护体系建设，组织指导商标、专利执法工作。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（十九）负责知识产权创造运用。按权限负责商标、专利和原产地地理标志的管理，开展知识产权运营体系建设，指导较大经济活动知识产权评议，规范知识产权交易和无形资产评估，促进知识产权转移转化。</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（二十）负责组织开展有关服务领域消费维权工作，查处制售假冒伪劣等违法行为，指导消费者咨询、申诉、举报受理、处理和网络体系建设等工作，保护经营者、消费者合法权益。</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十一）负责职责范围内的药品、医疗器械和化妆品的质量管理。监督实施药品、医疗器械、化妆品标准和分类管理制度，配合有关部门实施国家基本药物制度。监督实施药品经营质量管理规范，监督实施医疗器械经营、使用质量管理规范，监督实施化妆品经营、使用卫生标准和技术规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（二十二）负责职责范围内药品、医疗器械和化妆品上市后风险管理。指导开展药品不良反应、医疗器械不良事件的监测和处置工作。依法承担药品、医疗器械和化妆品安全应急管理工作。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（二十三）负责组织实施职责范围内药品、医疗器械和化妆品监督检查。制定检查制度，依法查处药品零售、使用环节和医疗器械、化妆品流通环节违法行为。</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（二十四）负责县委组织部门安排的小微企业、个体工商户、专业市场的党建工作，指导全县相关工作。</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（二十五）完成县委、县政府交办的其他任务。</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（二十六）职能转变</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1.大力推进质量提升。加强全面质量管理和全县质量基础设施体系建设，完善质量激励制度，推进品牌建设。加快建立企业产品质量安全事故强制报告制度及经营者首问和赔偿先付制度，创新第三方质量评价，强化生产经营者主体责任，推广先进的质量管理办法。全面实施企业产品与服务标准自我声明公开和监督制度，培育和发展技术先进的团体标准，对标国际提高标准整体水平，以标准化促进质量强县建设。</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2.深入推进简政放权。深化“放管服”改革，推进商事制度改革，改革企业名称核准、市场主体退出等制度，深化“证照分离”改革，推动“照后减证”，压缩企业开办时间。加快检验检测机构市场化社会化改革。进一步减少评比达标、认定奖励、示范创建等活动，减少行政审批事项，大幅压减工业产品生产许可证，促进优化营商环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3.严守安全监管底线。遵循“最严谨的标准、最严格的监管、最严厉的处罚、最严肃的问责”要求，依法加强食品安全、工业产品质量安全、特种设备安全监管，强化现场检查，严惩违法违规行为，有效防范系统性、源发性、区域性风险，让人民群众买得放心、用得放心、吃得放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4.加强事中事后监管。加快清理废除妨碍全县统一市场和公平竞争的各种规定和做法，加强反垄断、反不正当竞争统一执法。强化依据标准监管，强化风险监管，全面推行“双随机、一公开”和“互联网+监管”，加快推进监管信息共享，构建以信息公示为手段、以信用监管为核心的新型市场监管体系。</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5.提高服务水平。加快整合消费投诉、质量监督举报、食品药品投诉、知识产权投诉、价格投诉举报专线。推进市场主体准入到退出全过程便利化，主动服务新技术新产业新业态新模式发展，运用大数据加强对市场主体服务，积极服务个体工商户、私营企业和办事群众，促进大众创业，万众创新。</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p>
    <w:p>
      <w:pPr>
        <w:autoSpaceDE w:val="0"/>
        <w:autoSpaceDN w:val="0"/>
        <w:adjustRightInd w:val="0"/>
        <w:spacing w:line="500" w:lineRule="exact"/>
        <w:ind w:firstLine="703" w:firstLineChars="25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二、机构设置及决算单位构成</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（一）内设机构设置。</w:t>
      </w:r>
      <w:r>
        <w:rPr>
          <w:rFonts w:hint="eastAsia" w:ascii="仿宋_GB2312" w:hAnsi="仿宋_GB2312" w:eastAsia="仿宋_GB2312" w:cs="仿宋_GB2312"/>
          <w:color w:val="000000"/>
          <w:kern w:val="0"/>
          <w:sz w:val="28"/>
          <w:szCs w:val="28"/>
          <w:lang w:val="en-US" w:eastAsia="zh-CN"/>
        </w:rPr>
        <w:t>新田县市场监督管理局</w:t>
      </w:r>
      <w:r>
        <w:rPr>
          <w:rFonts w:hint="eastAsia" w:ascii="仿宋_GB2312" w:hAnsi="仿宋_GB2312" w:eastAsia="仿宋_GB2312" w:cs="仿宋_GB2312"/>
          <w:color w:val="000000"/>
          <w:kern w:val="0"/>
          <w:sz w:val="28"/>
          <w:szCs w:val="28"/>
        </w:rPr>
        <w:t>内设机构包括：办公室（信访股、综合规划股）、财务股、政策法规股（执法督查股）、行政审批股（登记注册股）、信用监督管理股、价格监督检查和反不正当竞争稽查股（反垄断股</w:t>
      </w:r>
      <w:r>
        <w:rPr>
          <w:rFonts w:hint="eastAsia" w:ascii="仿宋_GB2312" w:hAnsi="仿宋_GB2312" w:eastAsia="仿宋_GB2312" w:cs="仿宋_GB2312"/>
          <w:color w:val="000000"/>
          <w:kern w:val="0"/>
          <w:sz w:val="28"/>
          <w:szCs w:val="28"/>
          <w:lang w:val="zh-CN"/>
        </w:rPr>
        <w:t>&lt;</w:t>
      </w:r>
      <w:r>
        <w:rPr>
          <w:rFonts w:hint="eastAsia" w:ascii="仿宋_GB2312" w:hAnsi="仿宋_GB2312" w:eastAsia="仿宋_GB2312" w:cs="仿宋_GB2312"/>
          <w:color w:val="000000"/>
          <w:kern w:val="0"/>
          <w:sz w:val="28"/>
          <w:szCs w:val="28"/>
        </w:rPr>
        <w:t>规范直销与打击传销办公室</w:t>
      </w:r>
      <w:r>
        <w:rPr>
          <w:rFonts w:hint="eastAsia" w:ascii="仿宋_GB2312" w:hAnsi="仿宋_GB2312" w:eastAsia="仿宋_GB2312" w:cs="仿宋_GB2312"/>
          <w:color w:val="000000"/>
          <w:kern w:val="0"/>
          <w:sz w:val="28"/>
          <w:szCs w:val="28"/>
          <w:lang w:val="zh-CN"/>
        </w:rPr>
        <w:t>&gt;</w:t>
      </w:r>
      <w:r>
        <w:rPr>
          <w:rFonts w:hint="eastAsia" w:ascii="仿宋_GB2312" w:hAnsi="仿宋_GB2312" w:eastAsia="仿宋_GB2312" w:cs="仿宋_GB2312"/>
          <w:color w:val="000000"/>
          <w:kern w:val="0"/>
          <w:sz w:val="28"/>
          <w:szCs w:val="28"/>
        </w:rPr>
        <w:t>、广告监督管理股）、计量和认证监督管理股（认证监督管理股、认可与检验检测中心）、特种设备安全监察股、餐饮服务食品</w:t>
      </w:r>
      <w:bookmarkStart w:id="2" w:name="OLE_LINK6"/>
      <w:r>
        <w:rPr>
          <w:rFonts w:hint="eastAsia" w:ascii="仿宋_GB2312" w:hAnsi="仿宋_GB2312" w:eastAsia="仿宋_GB2312" w:cs="仿宋_GB2312"/>
          <w:color w:val="000000"/>
          <w:kern w:val="0"/>
          <w:sz w:val="28"/>
          <w:szCs w:val="28"/>
        </w:rPr>
        <w:t>安全监督管理</w:t>
      </w:r>
      <w:bookmarkEnd w:id="2"/>
      <w:r>
        <w:rPr>
          <w:rFonts w:hint="eastAsia" w:ascii="仿宋_GB2312" w:hAnsi="仿宋_GB2312" w:eastAsia="仿宋_GB2312" w:cs="仿宋_GB2312"/>
          <w:color w:val="000000"/>
          <w:kern w:val="0"/>
          <w:sz w:val="28"/>
          <w:szCs w:val="28"/>
        </w:rPr>
        <w:t>股、食品安全监督管理股（食品生产安全监督管理股、食品流通安全监督管理股、特殊食品安全监督管理股、盐务监督管理股）、食品药品安全协调股（应急管理股，加挂县食安委办公室牌子）、消费者权益保护股（网络交易监督管理股、12315投诉举报办公室，加挂县消委办公室牌子）、产品质量安全监督管理股（质量发展股、标准化股）、药品和医疗器械监督管理股（化妆品监督管理股）、食品药品医疗器械稽查股、知识产权监督管理股、非公有制经济组织党建指导股、人事股（机关党建办、离退休人员管理服务股）</w:t>
      </w:r>
      <w:r>
        <w:rPr>
          <w:rFonts w:hint="eastAsia" w:ascii="仿宋_GB2312" w:hAnsi="仿宋_GB2312" w:eastAsia="仿宋_GB2312" w:cs="仿宋_GB2312"/>
          <w:color w:val="000000"/>
          <w:kern w:val="0"/>
          <w:sz w:val="28"/>
          <w:szCs w:val="28"/>
          <w:lang w:eastAsia="zh-CN"/>
        </w:rPr>
        <w:t>。</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（二）决算单位构成。</w:t>
      </w:r>
      <w:r>
        <w:rPr>
          <w:rFonts w:hint="eastAsia" w:ascii="仿宋_GB2312" w:hAnsi="仿宋_GB2312" w:eastAsia="仿宋_GB2312" w:cs="仿宋_GB2312"/>
          <w:color w:val="000000"/>
          <w:kern w:val="0"/>
          <w:sz w:val="28"/>
          <w:szCs w:val="28"/>
          <w:lang w:val="en-US" w:eastAsia="zh-CN"/>
        </w:rPr>
        <w:t>新田县市场监督管理局</w:t>
      </w:r>
      <w:r>
        <w:rPr>
          <w:rFonts w:hint="eastAsia" w:ascii="仿宋_GB2312" w:hAnsi="仿宋_GB2312" w:eastAsia="仿宋_GB2312" w:cs="仿宋_GB2312"/>
          <w:color w:val="000000"/>
          <w:kern w:val="0"/>
          <w:sz w:val="28"/>
          <w:szCs w:val="28"/>
          <w:lang w:eastAsia="zh-CN"/>
        </w:rPr>
        <w:t>202</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年部门决算汇总公开单位构成包括：</w:t>
      </w:r>
      <w:r>
        <w:rPr>
          <w:rFonts w:hint="eastAsia" w:ascii="仿宋_GB2312" w:hAnsi="仿宋_GB2312" w:eastAsia="仿宋_GB2312" w:cs="仿宋_GB2312"/>
          <w:color w:val="000000"/>
          <w:kern w:val="0"/>
          <w:sz w:val="28"/>
          <w:szCs w:val="28"/>
          <w:lang w:val="en-US" w:eastAsia="zh-CN"/>
        </w:rPr>
        <w:t>新田县市场监督管理局</w:t>
      </w:r>
      <w:r>
        <w:rPr>
          <w:rFonts w:hint="eastAsia" w:ascii="仿宋_GB2312" w:hAnsi="仿宋_GB2312" w:eastAsia="仿宋_GB2312" w:cs="仿宋_GB2312"/>
          <w:color w:val="000000"/>
          <w:kern w:val="0"/>
          <w:sz w:val="28"/>
          <w:szCs w:val="28"/>
        </w:rPr>
        <w:t>本级</w:t>
      </w:r>
      <w:r>
        <w:rPr>
          <w:rFonts w:hint="eastAsia" w:ascii="仿宋_GB2312" w:hAnsi="仿宋_GB2312" w:eastAsia="仿宋_GB2312" w:cs="仿宋_GB2312"/>
          <w:color w:val="000000"/>
          <w:kern w:val="0"/>
          <w:sz w:val="28"/>
          <w:szCs w:val="28"/>
          <w:lang w:eastAsia="zh-CN"/>
        </w:rPr>
        <w:t>。</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p>
    <w:p>
      <w:pPr>
        <w:ind w:firstLine="2520" w:firstLineChars="350"/>
        <w:jc w:val="left"/>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tabs>
          <w:tab w:val="left" w:pos="13887"/>
        </w:tabs>
        <w:ind w:left="0" w:leftChars="0" w:firstLine="0" w:firstLineChars="0"/>
        <w:jc w:val="both"/>
        <w:rPr>
          <w:rFonts w:hint="eastAsia" w:eastAsiaTheme="minorEastAsia"/>
          <w:sz w:val="72"/>
          <w:szCs w:val="72"/>
          <w:lang w:eastAsia="zh-CN"/>
        </w:rPr>
      </w:pPr>
    </w:p>
    <w:p>
      <w:pPr>
        <w:pStyle w:val="2"/>
        <w:tabs>
          <w:tab w:val="left" w:pos="13887"/>
        </w:tabs>
        <w:ind w:left="0" w:leftChars="0" w:firstLine="0" w:firstLineChars="0"/>
        <w:jc w:val="both"/>
        <w:rPr>
          <w:rFonts w:hint="eastAsia" w:eastAsiaTheme="minorEastAsia"/>
          <w:sz w:val="72"/>
          <w:szCs w:val="72"/>
          <w:lang w:eastAsia="zh-CN"/>
        </w:rPr>
      </w:pPr>
    </w:p>
    <w:tbl>
      <w:tblPr>
        <w:tblStyle w:val="7"/>
        <w:tblW w:w="15737" w:type="dxa"/>
        <w:tblInd w:w="317" w:type="dxa"/>
        <w:tblLayout w:type="fixed"/>
        <w:tblCellMar>
          <w:top w:w="0" w:type="dxa"/>
          <w:left w:w="0" w:type="dxa"/>
          <w:bottom w:w="0" w:type="dxa"/>
          <w:right w:w="0" w:type="dxa"/>
        </w:tblCellMar>
      </w:tblPr>
      <w:tblGrid>
        <w:gridCol w:w="255"/>
        <w:gridCol w:w="545"/>
        <w:gridCol w:w="108"/>
        <w:gridCol w:w="1945"/>
        <w:gridCol w:w="464"/>
        <w:gridCol w:w="1273"/>
        <w:gridCol w:w="323"/>
        <w:gridCol w:w="1414"/>
        <w:gridCol w:w="542"/>
        <w:gridCol w:w="1195"/>
        <w:gridCol w:w="425"/>
        <w:gridCol w:w="1312"/>
        <w:gridCol w:w="224"/>
        <w:gridCol w:w="1513"/>
        <w:gridCol w:w="215"/>
        <w:gridCol w:w="1522"/>
        <w:gridCol w:w="686"/>
        <w:gridCol w:w="1668"/>
        <w:gridCol w:w="108"/>
      </w:tblGrid>
      <w:tr>
        <w:tblPrEx>
          <w:tblCellMar>
            <w:top w:w="0" w:type="dxa"/>
            <w:left w:w="0" w:type="dxa"/>
            <w:bottom w:w="0" w:type="dxa"/>
            <w:right w:w="0" w:type="dxa"/>
          </w:tblCellMar>
        </w:tblPrEx>
        <w:trPr>
          <w:gridAfter w:val="1"/>
          <w:wAfter w:w="108" w:type="dxa"/>
          <w:trHeight w:val="510" w:hRule="atLeast"/>
        </w:trPr>
        <w:tc>
          <w:tcPr>
            <w:tcW w:w="15629" w:type="dxa"/>
            <w:gridSpan w:val="18"/>
            <w:tcBorders>
              <w:top w:val="nil"/>
              <w:left w:val="nil"/>
              <w:bottom w:val="nil"/>
              <w:right w:val="nil"/>
            </w:tcBorders>
            <w:shd w:val="clear" w:color="auto" w:fill="auto"/>
            <w:noWrap/>
            <w:tcMar>
              <w:top w:w="15" w:type="dxa"/>
              <w:left w:w="15" w:type="dxa"/>
              <w:bottom w:w="0" w:type="dxa"/>
              <w:right w:w="15" w:type="dxa"/>
            </w:tcMar>
            <w:vAlign w:val="center"/>
          </w:tcPr>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25"/>
              <w:gridCol w:w="885"/>
              <w:gridCol w:w="1860"/>
              <w:gridCol w:w="4650"/>
              <w:gridCol w:w="1046"/>
              <w:gridCol w:w="394"/>
              <w:gridCol w:w="1620"/>
              <w:gridCol w:w="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546" w:type="pct"/>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r>
                    <w:rPr>
                      <w:rFonts w:hint="eastAsia" w:ascii="黑体" w:hAnsi="黑体" w:eastAsia="黑体" w:cs="黑体"/>
                      <w:b/>
                      <w:bCs/>
                      <w:sz w:val="32"/>
                      <w:szCs w:val="32"/>
                    </w:rPr>
                    <w:t>第二部分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部门决算表</w:t>
                  </w:r>
                </w:p>
              </w:tc>
              <w:tc>
                <w:tcPr>
                  <w:tcW w:w="283"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96"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490"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335"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746" w:type="pct"/>
                  <w:gridSpan w:val="3"/>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tabs>
                      <w:tab w:val="left" w:pos="3457"/>
                      <w:tab w:val="center" w:pos="7750"/>
                    </w:tabs>
                    <w:jc w:val="left"/>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ab/>
                  </w:r>
                  <w:r>
                    <w:rPr>
                      <w:rFonts w:hint="eastAsia" w:ascii="华文中宋" w:hAnsi="华文中宋" w:eastAsia="华文中宋" w:cs="华文中宋"/>
                      <w:i w:val="0"/>
                      <w:color w:val="000000"/>
                      <w:kern w:val="0"/>
                      <w:sz w:val="32"/>
                      <w:szCs w:val="32"/>
                      <w:u w:val="none"/>
                      <w:lang w:val="en-US" w:eastAsia="zh-CN" w:bidi="ar"/>
                    </w:rPr>
                    <w:tab/>
                  </w: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1546"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83"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96"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490"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335"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6" w:type="pct"/>
                  <w:gridSpan w:val="3"/>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1546" w:type="pct"/>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p>
              </w:tc>
              <w:tc>
                <w:tcPr>
                  <w:tcW w:w="283"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96"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490"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335"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6" w:type="pct"/>
                  <w:gridSpan w:val="3"/>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2426"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2471"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2,100.91</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1860.91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402"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十二、农林水支出</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240</w:t>
                  </w:r>
                  <w:r>
                    <w:rPr>
                      <w:rFonts w:hint="eastAsia" w:ascii="宋体" w:hAnsi="宋体" w:eastAsia="宋体" w:cs="宋体"/>
                      <w:i w:val="0"/>
                      <w:color w:val="000000"/>
                      <w:sz w:val="22"/>
                      <w:szCs w:val="22"/>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2,100.91</w:t>
                  </w:r>
                </w:p>
              </w:tc>
              <w:tc>
                <w:tcPr>
                  <w:tcW w:w="1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2100.91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1" w:type="pct"/>
                <w:trHeight w:val="397" w:hRule="atLeast"/>
              </w:trPr>
              <w:tc>
                <w:tcPr>
                  <w:tcW w:w="15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2,100.91</w:t>
                  </w:r>
                </w:p>
              </w:tc>
              <w:tc>
                <w:tcPr>
                  <w:tcW w:w="1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z w:val="22"/>
                      <w:szCs w:val="22"/>
                      <w:u w:val="none"/>
                    </w:rPr>
                    <w:t>2100.91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both"/>
              <w:rPr>
                <w:rFonts w:hint="eastAsia" w:ascii="华文中宋" w:hAnsi="华文中宋" w:eastAsia="华文中宋"/>
                <w:color w:val="000000"/>
                <w:sz w:val="32"/>
                <w:szCs w:val="32"/>
              </w:rPr>
            </w:pPr>
          </w:p>
          <w:p>
            <w:pPr>
              <w:jc w:val="both"/>
              <w:rPr>
                <w:rFonts w:hint="eastAsia"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5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5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rPr>
              <w:t>　</w:t>
            </w:r>
          </w:p>
        </w:tc>
        <w:tc>
          <w:tcPr>
            <w:tcW w:w="194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108" w:type="dxa"/>
          <w:trHeight w:val="285" w:hRule="atLeast"/>
        </w:trPr>
        <w:tc>
          <w:tcPr>
            <w:tcW w:w="80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517"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r>
              <w:rPr>
                <w:rFonts w:hint="eastAsia"/>
              </w:rPr>
              <w:t>　</w:t>
            </w:r>
          </w:p>
        </w:tc>
        <w:tc>
          <w:tcPr>
            <w:tcW w:w="159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5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3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2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0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08" w:type="dxa"/>
          <w:trHeight w:val="450" w:hRule="atLeast"/>
        </w:trPr>
        <w:tc>
          <w:tcPr>
            <w:tcW w:w="331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9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956"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3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2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220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108" w:type="dxa"/>
          <w:trHeight w:val="450" w:hRule="atLeast"/>
        </w:trPr>
        <w:tc>
          <w:tcPr>
            <w:tcW w:w="8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517"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5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2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17"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5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2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3317"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59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95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2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53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2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220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6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108" w:type="dxa"/>
          <w:trHeight w:val="450" w:hRule="atLeast"/>
        </w:trPr>
        <w:tc>
          <w:tcPr>
            <w:tcW w:w="3317"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2,100.91</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2,100.91</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201</w:t>
            </w:r>
          </w:p>
        </w:tc>
        <w:tc>
          <w:tcPr>
            <w:tcW w:w="251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一般公共服务支出</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1,860.91</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1,860.91</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20138</w:t>
            </w:r>
          </w:p>
        </w:tc>
        <w:tc>
          <w:tcPr>
            <w:tcW w:w="251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市场监督管理事务</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color w:val="000000"/>
                <w:kern w:val="0"/>
                <w:sz w:val="22"/>
                <w:szCs w:val="22"/>
                <w:u w:val="none"/>
                <w:lang w:val="en-US" w:eastAsia="zh-CN" w:bidi="ar"/>
              </w:rPr>
              <w:t>1,860.91</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1,860.91</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2013801</w:t>
            </w:r>
          </w:p>
        </w:tc>
        <w:tc>
          <w:tcPr>
            <w:tcW w:w="251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 xml:space="preserve">  行政运行</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1,544.41</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1,544.41</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2013802</w:t>
            </w:r>
          </w:p>
        </w:tc>
        <w:tc>
          <w:tcPr>
            <w:tcW w:w="251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316.50</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316.50</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213</w:t>
            </w:r>
          </w:p>
        </w:tc>
        <w:tc>
          <w:tcPr>
            <w:tcW w:w="251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农林水支出</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240.00</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240.00</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21301</w:t>
            </w:r>
          </w:p>
        </w:tc>
        <w:tc>
          <w:tcPr>
            <w:tcW w:w="251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农业农村</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240.00</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240.00</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2130199</w:t>
            </w:r>
          </w:p>
        </w:tc>
        <w:tc>
          <w:tcPr>
            <w:tcW w:w="2517"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59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000000"/>
                <w:kern w:val="0"/>
                <w:sz w:val="22"/>
                <w:szCs w:val="22"/>
                <w:u w:val="none"/>
                <w:lang w:val="en-US" w:eastAsia="zh-CN" w:bidi="ar"/>
              </w:rPr>
              <w:t>240.00</w:t>
            </w:r>
          </w:p>
        </w:tc>
        <w:tc>
          <w:tcPr>
            <w:tcW w:w="195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000000"/>
                <w:kern w:val="0"/>
                <w:sz w:val="22"/>
                <w:szCs w:val="22"/>
                <w:u w:val="none"/>
                <w:lang w:val="en-US" w:eastAsia="zh-CN" w:bidi="ar"/>
              </w:rPr>
              <w:t>240.00</w:t>
            </w:r>
          </w:p>
        </w:tc>
        <w:tc>
          <w:tcPr>
            <w:tcW w:w="162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000000"/>
                <w:kern w:val="0"/>
                <w:sz w:val="22"/>
                <w:szCs w:val="22"/>
                <w:u w:val="none"/>
                <w:lang w:val="en-US" w:eastAsia="zh-CN" w:bidi="ar"/>
              </w:rPr>
              <w:t>0.00</w:t>
            </w:r>
          </w:p>
        </w:tc>
        <w:tc>
          <w:tcPr>
            <w:tcW w:w="1536"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000000"/>
                <w:kern w:val="0"/>
                <w:sz w:val="22"/>
                <w:szCs w:val="22"/>
                <w:u w:val="none"/>
                <w:lang w:val="en-US" w:eastAsia="zh-CN" w:bidi="ar"/>
              </w:rPr>
              <w:t>0.00</w:t>
            </w:r>
          </w:p>
        </w:tc>
        <w:tc>
          <w:tcPr>
            <w:tcW w:w="172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000000"/>
                <w:kern w:val="0"/>
                <w:sz w:val="22"/>
                <w:szCs w:val="22"/>
                <w:u w:val="none"/>
                <w:lang w:val="en-US" w:eastAsia="zh-CN" w:bidi="ar"/>
              </w:rPr>
              <w:t>0.00</w:t>
            </w:r>
          </w:p>
        </w:tc>
        <w:tc>
          <w:tcPr>
            <w:tcW w:w="220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000000"/>
                <w:kern w:val="0"/>
                <w:sz w:val="22"/>
                <w:szCs w:val="22"/>
                <w:u w:val="none"/>
                <w:lang w:val="en-US" w:eastAsia="zh-CN" w:bidi="ar"/>
              </w:rPr>
              <w:t>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615" w:hRule="atLeast"/>
        </w:trPr>
        <w:tc>
          <w:tcPr>
            <w:tcW w:w="15629"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5640" w:type="dxa"/>
        <w:tblInd w:w="93" w:type="dxa"/>
        <w:tblLayout w:type="fixed"/>
        <w:tblCellMar>
          <w:top w:w="0" w:type="dxa"/>
          <w:left w:w="108" w:type="dxa"/>
          <w:bottom w:w="0" w:type="dxa"/>
          <w:right w:w="108" w:type="dxa"/>
        </w:tblCellMar>
      </w:tblPr>
      <w:tblGrid>
        <w:gridCol w:w="1259"/>
        <w:gridCol w:w="240"/>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44" w:hRule="atLeast"/>
        </w:trPr>
        <w:tc>
          <w:tcPr>
            <w:tcW w:w="1259"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宋体" w:hAnsi="宋体" w:eastAsia="宋体" w:cs="宋体"/>
                <w:kern w:val="0"/>
                <w:sz w:val="24"/>
                <w:szCs w:val="24"/>
              </w:rPr>
              <w:t>　</w:t>
            </w:r>
          </w:p>
        </w:tc>
        <w:tc>
          <w:tcPr>
            <w:tcW w:w="3433" w:type="dxa"/>
            <w:gridSpan w:val="2"/>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2,100.91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1,544.41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556.50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一般公共服务支出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1,860.91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1,544.41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316.50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20138</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市场监督管理事务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1,860.91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1,544.41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316.50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2013801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行政运行</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1,544.41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1,544.41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2013802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316.50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316.50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8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213</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农林水支出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240.00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240.00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21301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农业农村</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240.00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240.00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2130199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240.00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240.00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7"/>
        <w:tblW w:w="15521" w:type="dxa"/>
        <w:tblInd w:w="93" w:type="dxa"/>
        <w:tblLayout w:type="fixed"/>
        <w:tblCellMar>
          <w:top w:w="0" w:type="dxa"/>
          <w:left w:w="108" w:type="dxa"/>
          <w:bottom w:w="0" w:type="dxa"/>
          <w:right w:w="108" w:type="dxa"/>
        </w:tblCellMar>
      </w:tblPr>
      <w:tblGrid>
        <w:gridCol w:w="3591"/>
        <w:gridCol w:w="436"/>
        <w:gridCol w:w="1340"/>
        <w:gridCol w:w="250"/>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3" w:name="RANGE!A1:I22"/>
            <w:bookmarkEnd w:id="3"/>
            <w:bookmarkStart w:id="4"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79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noWrap/>
            <w:vAlign w:val="center"/>
          </w:tcPr>
          <w:p>
            <w:pPr>
              <w:widowControl/>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79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36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54"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2,100.91</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1,860.91</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1,860.91</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十二、农林水支出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240.00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240.00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2,100.91</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2,100.91</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2,100.91</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3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2,100.91</w:t>
            </w:r>
          </w:p>
        </w:tc>
        <w:tc>
          <w:tcPr>
            <w:tcW w:w="316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2,100.91</w:t>
            </w:r>
          </w:p>
        </w:tc>
        <w:tc>
          <w:tcPr>
            <w:tcW w:w="139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2,100.91</w:t>
            </w:r>
          </w:p>
        </w:tc>
        <w:tc>
          <w:tcPr>
            <w:tcW w:w="13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4"/>
    </w:p>
    <w:p>
      <w:pPr>
        <w:widowControl/>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4"/>
          <w:szCs w:val="24"/>
        </w:rPr>
        <w:t>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2,100.91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1,544.41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556.50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1,860.91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1,544.41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316.50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20138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市场监督管理事务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1,860.91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1,544.41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316.50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2013801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1,544.41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1,544.41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2013802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316.50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316.50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农林水支出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240.00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240.00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农业农村</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240.00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240.00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2130199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240.00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240.00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fixed"/>
        <w:tblCellMar>
          <w:top w:w="0" w:type="dxa"/>
          <w:left w:w="108" w:type="dxa"/>
          <w:bottom w:w="0" w:type="dxa"/>
          <w:right w:w="108" w:type="dxa"/>
        </w:tblCellMar>
      </w:tblPr>
      <w:tblGrid>
        <w:gridCol w:w="946"/>
        <w:gridCol w:w="238"/>
        <w:gridCol w:w="89"/>
        <w:gridCol w:w="1228"/>
        <w:gridCol w:w="1925"/>
        <w:gridCol w:w="99"/>
        <w:gridCol w:w="976"/>
        <w:gridCol w:w="1150"/>
        <w:gridCol w:w="290"/>
        <w:gridCol w:w="1875"/>
        <w:gridCol w:w="150"/>
        <w:gridCol w:w="964"/>
        <w:gridCol w:w="897"/>
        <w:gridCol w:w="335"/>
        <w:gridCol w:w="1982"/>
        <w:gridCol w:w="1436"/>
        <w:gridCol w:w="696"/>
        <w:gridCol w:w="338"/>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5" w:name="RANGE!A1:I34"/>
            <w:r>
              <w:rPr>
                <w:rFonts w:hint="eastAsia" w:ascii="华文中宋" w:hAnsi="华文中宋" w:eastAsia="华文中宋" w:cs="宋体"/>
                <w:color w:val="000000"/>
                <w:kern w:val="0"/>
                <w:szCs w:val="32"/>
              </w:rPr>
              <w:t>一般公共预算财政拨款基本支出决算明细表</w:t>
            </w:r>
            <w:bookmarkEnd w:id="5"/>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公开06表</w:t>
            </w:r>
          </w:p>
          <w:p>
            <w:pPr>
              <w:widowControl/>
              <w:ind w:firstLine="14280" w:firstLineChars="6800"/>
              <w:jc w:val="both"/>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75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1,368.00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171.56</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477.82</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9.67</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228.02</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3.88</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305.93</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0.04</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0.73</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70.78</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2.24</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127.30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7.08</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0.34</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0.02</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69.66</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0.04</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3.13</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3.05</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84.30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8.71</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4.81</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0.09</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4.26</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12.25</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4.61</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21.55</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54.00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29.90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09"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0.52</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0.20</w:t>
            </w: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324" w:hRule="exact"/>
        </w:trPr>
        <w:tc>
          <w:tcPr>
            <w:tcW w:w="12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11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14.34</w:t>
            </w:r>
          </w:p>
        </w:tc>
        <w:tc>
          <w:tcPr>
            <w:tcW w:w="8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5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2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1,372.81</w:t>
            </w:r>
          </w:p>
        </w:tc>
        <w:tc>
          <w:tcPr>
            <w:tcW w:w="9079"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0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color w:val="000000"/>
                <w:kern w:val="0"/>
                <w:sz w:val="22"/>
                <w:szCs w:val="22"/>
                <w:u w:val="none"/>
                <w:lang w:val="en-US" w:eastAsia="zh-CN" w:bidi="ar"/>
              </w:rPr>
              <w:t>171.60</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690" w:hRule="atLeast"/>
        </w:trPr>
        <w:tc>
          <w:tcPr>
            <w:tcW w:w="15276"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345" w:hRule="atLeast"/>
        </w:trPr>
        <w:tc>
          <w:tcPr>
            <w:tcW w:w="94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38"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17"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2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41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5"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9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982"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2"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690" w:hRule="atLeast"/>
        </w:trPr>
        <w:tc>
          <w:tcPr>
            <w:tcW w:w="4525" w:type="dxa"/>
            <w:gridSpan w:val="6"/>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p>
        </w:tc>
        <w:tc>
          <w:tcPr>
            <w:tcW w:w="241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5"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9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982"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2"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459" w:hRule="atLeast"/>
        </w:trPr>
        <w:tc>
          <w:tcPr>
            <w:tcW w:w="25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4"/>
                <w:lang w:val="en-US" w:eastAsia="zh-CN" w:bidi="ar"/>
              </w:rPr>
              <w:t xml:space="preserve">   </w:t>
            </w:r>
            <w:r>
              <w:rPr>
                <w:rStyle w:val="15"/>
                <w:lang w:val="en-US" w:eastAsia="zh-CN" w:bidi="ar"/>
              </w:rPr>
              <w:t>目</w:t>
            </w:r>
          </w:p>
        </w:tc>
        <w:tc>
          <w:tcPr>
            <w:tcW w:w="2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4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2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609" w:hRule="atLeast"/>
        </w:trPr>
        <w:tc>
          <w:tcPr>
            <w:tcW w:w="11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9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409" w:hRule="atLeast"/>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25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25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509" w:hRule="atLeast"/>
        </w:trPr>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8" w:type="dxa"/>
          <w:trHeight w:val="725" w:hRule="atLeast"/>
        </w:trPr>
        <w:tc>
          <w:tcPr>
            <w:tcW w:w="15276"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7"/>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2"/>
        <w:gridCol w:w="689"/>
        <w:gridCol w:w="2248"/>
        <w:gridCol w:w="3246"/>
        <w:gridCol w:w="3246"/>
        <w:gridCol w:w="4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5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68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48"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4529"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6"/>
                <w:lang w:val="en-US" w:eastAsia="zh-CN" w:bidi="ar"/>
              </w:rPr>
              <w:t>目</w:t>
            </w:r>
          </w:p>
        </w:tc>
        <w:tc>
          <w:tcPr>
            <w:tcW w:w="105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7"/>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2"/>
        <w:gridCol w:w="1244"/>
        <w:gridCol w:w="1224"/>
        <w:gridCol w:w="1224"/>
        <w:gridCol w:w="1224"/>
        <w:gridCol w:w="1224"/>
        <w:gridCol w:w="1224"/>
        <w:gridCol w:w="1244"/>
        <w:gridCol w:w="1224"/>
        <w:gridCol w:w="1224"/>
        <w:gridCol w:w="1224"/>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2"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4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4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060" w:type="dxa"/>
            <w:gridSpan w:val="3"/>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 w:hAnsi="仿宋" w:eastAsia="仿宋" w:cs="仿宋"/>
                <w:bCs/>
                <w:kern w:val="0"/>
                <w:sz w:val="21"/>
                <w:szCs w:val="21"/>
                <w:lang w:val="en-US" w:eastAsia="zh-CN"/>
              </w:rPr>
              <w:t>新田县市场监督管理局</w:t>
            </w:r>
            <w:r>
              <w:rPr>
                <w:rFonts w:ascii="Times New Roman" w:hAnsi="Times New Roman" w:eastAsia="仿宋_GB2312" w:cs="Times New Roman"/>
                <w:color w:val="000000"/>
                <w:kern w:val="0"/>
                <w:szCs w:val="21"/>
              </w:rPr>
              <w:t xml:space="preserve">  </w:t>
            </w: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4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4"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7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4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p>
    <w:p>
      <w:pPr>
        <w:pStyle w:val="11"/>
        <w:numPr>
          <w:ilvl w:val="0"/>
          <w:numId w:val="0"/>
        </w:numPr>
        <w:jc w:val="left"/>
        <w:rPr>
          <w:rFonts w:hint="default" w:eastAsia="黑体"/>
          <w:b/>
          <w:bCs/>
          <w:sz w:val="32"/>
          <w:szCs w:val="32"/>
          <w:lang w:val="en-US" w:eastAsia="zh-CN"/>
        </w:rPr>
      </w:pPr>
      <w:r>
        <w:rPr>
          <w:rFonts w:hint="eastAsia"/>
          <w:b/>
          <w:bCs/>
          <w:sz w:val="32"/>
          <w:szCs w:val="32"/>
          <w:lang w:eastAsia="zh-CN"/>
        </w:rPr>
        <w:t>第三部分</w:t>
      </w:r>
      <w:r>
        <w:rPr>
          <w:rFonts w:hint="eastAsia"/>
          <w:b/>
          <w:bCs/>
          <w:sz w:val="32"/>
          <w:szCs w:val="32"/>
          <w:lang w:val="en-US" w:eastAsia="zh-CN"/>
        </w:rPr>
        <w:t xml:space="preserve"> 2022年度部门决算情况说明</w:t>
      </w:r>
    </w:p>
    <w:p>
      <w:pPr>
        <w:pStyle w:val="11"/>
        <w:keepNext w:val="0"/>
        <w:keepLines w:val="0"/>
        <w:pageBreakBefore w:val="0"/>
        <w:widowControl w:val="0"/>
        <w:kinsoku/>
        <w:wordWrap/>
        <w:overflowPunct/>
        <w:topLinePunct w:val="0"/>
        <w:bidi w:val="0"/>
        <w:snapToGrid/>
        <w:spacing w:line="60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年度收、支总计2100.91万元。与上年相比，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798.9</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61.36</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增加</w:t>
      </w:r>
      <w:r>
        <w:rPr>
          <w:rFonts w:hint="eastAsia" w:asciiTheme="minorEastAsia" w:hAnsiTheme="minorEastAsia" w:eastAsiaTheme="minorEastAsia" w:cstheme="minorEastAsia"/>
          <w:sz w:val="28"/>
          <w:szCs w:val="28"/>
          <w:lang w:eastAsia="zh-CN"/>
        </w:rPr>
        <w:t>了食品药品监督检查费用。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年度收入合计2100.91万元，其中：财政拨款收入2100.91万元，占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年度支出合计2100.91万元，其中：基本支出1544.41万元，占</w:t>
      </w:r>
      <w:r>
        <w:rPr>
          <w:rFonts w:hint="eastAsia" w:ascii="Times New Roman" w:hAnsi="Times New Roman" w:eastAsia="仿宋_GB2312"/>
          <w:sz w:val="32"/>
          <w:szCs w:val="32"/>
          <w:lang w:val="en-US" w:eastAsia="zh-CN"/>
        </w:rPr>
        <w:t>73.51</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556.5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26.49</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年度财政拨款收、支总计2100.91万元，与上年相比，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798.9</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61.36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主要是因为</w:t>
      </w:r>
      <w:r>
        <w:rPr>
          <w:rFonts w:hint="eastAsia" w:ascii="Times New Roman" w:hAnsi="Times New Roman" w:eastAsia="仿宋_GB2312"/>
          <w:sz w:val="32"/>
          <w:szCs w:val="32"/>
          <w:lang w:val="en-US" w:eastAsia="zh-CN"/>
        </w:rPr>
        <w:t>增加</w:t>
      </w:r>
      <w:r>
        <w:rPr>
          <w:rFonts w:hint="eastAsia" w:ascii="Times New Roman" w:hAnsi="Times New Roman" w:eastAsia="仿宋_GB2312"/>
          <w:sz w:val="32"/>
          <w:szCs w:val="32"/>
          <w:lang w:eastAsia="zh-CN"/>
        </w:rPr>
        <w:t>了食品药品监督检查费用</w:t>
      </w:r>
      <w:r>
        <w:rPr>
          <w:rFonts w:hint="eastAsia" w:asciiTheme="minorEastAsia" w:hAnsiTheme="minorEastAsia" w:eastAsiaTheme="minorEastAsia" w:cstheme="minorEastAsia"/>
          <w:sz w:val="28"/>
          <w:szCs w:val="28"/>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年度财政拨款支出2100.91万元，占本年支出合计的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%，与上年相比，财政拨款支出</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798.9</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61.36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主要是因为</w:t>
      </w:r>
      <w:r>
        <w:rPr>
          <w:rFonts w:hint="eastAsia" w:ascii="Times New Roman" w:hAnsi="Times New Roman" w:eastAsia="仿宋_GB2312"/>
          <w:sz w:val="32"/>
          <w:szCs w:val="32"/>
          <w:lang w:val="en-US" w:eastAsia="zh-CN"/>
        </w:rPr>
        <w:t>增加</w:t>
      </w:r>
      <w:r>
        <w:rPr>
          <w:rFonts w:hint="eastAsia" w:ascii="Times New Roman" w:hAnsi="Times New Roman" w:eastAsia="仿宋_GB2312"/>
          <w:sz w:val="32"/>
          <w:szCs w:val="32"/>
          <w:lang w:eastAsia="zh-CN"/>
        </w:rPr>
        <w:t>了食品药品监督检查费用。</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年度财政拨款支出2100.91万元，一般公共服务（类）市场监督管理事务（款）行政运行（项）支出</w:t>
      </w:r>
      <w:r>
        <w:rPr>
          <w:rFonts w:hint="eastAsia" w:ascii="Times New Roman" w:hAnsi="Times New Roman" w:eastAsia="仿宋_GB2312"/>
          <w:sz w:val="32"/>
          <w:szCs w:val="32"/>
          <w:lang w:val="en-US" w:eastAsia="zh-CN"/>
        </w:rPr>
        <w:t>1544.41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73.51</w:t>
      </w:r>
      <w:r>
        <w:rPr>
          <w:rFonts w:hint="eastAsia" w:ascii="Times New Roman" w:hAnsi="Times New Roman" w:eastAsia="仿宋_GB2312"/>
          <w:sz w:val="32"/>
          <w:szCs w:val="32"/>
        </w:rPr>
        <w:t>%；一般公共服务（类）市场监督管理事务（款）一般行政管理事务（项）支出</w:t>
      </w:r>
      <w:r>
        <w:rPr>
          <w:rFonts w:hint="eastAsia" w:ascii="Times New Roman" w:hAnsi="Times New Roman" w:eastAsia="仿宋_GB2312"/>
          <w:sz w:val="32"/>
          <w:szCs w:val="32"/>
          <w:lang w:val="en-US" w:eastAsia="zh-CN"/>
        </w:rPr>
        <w:t>316.5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15.06</w:t>
      </w:r>
      <w:r>
        <w:rPr>
          <w:rFonts w:hint="eastAsia" w:ascii="Times New Roman" w:hAnsi="Times New Roman" w:eastAsia="仿宋_GB2312"/>
          <w:sz w:val="32"/>
          <w:szCs w:val="32"/>
        </w:rPr>
        <w:t>%；农林水支出（类）农业农村（款） 其他农业农村（项）支出</w:t>
      </w:r>
      <w:r>
        <w:rPr>
          <w:rFonts w:hint="eastAsia" w:ascii="Times New Roman" w:hAnsi="Times New Roman" w:eastAsia="仿宋_GB2312"/>
          <w:sz w:val="32"/>
          <w:szCs w:val="32"/>
          <w:lang w:val="en-US" w:eastAsia="zh-CN"/>
        </w:rPr>
        <w:t>240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11.43</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年度财政拨款支出年初预算数为2100.91万元，支出决算数为2100.91万元，完成年初预算的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1"/>
        <w:keepNext w:val="0"/>
        <w:keepLines w:val="0"/>
        <w:pageBreakBefore w:val="0"/>
        <w:widowControl w:val="0"/>
        <w:numPr>
          <w:ilvl w:val="0"/>
          <w:numId w:val="1"/>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一般公共服务（类）市场监督管理事务（款）行政运行（项）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1544.41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1544.41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年初预算数的主要原因是勤俭节约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精准预算</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、一般公共服务（类）市场监督管理事务（款）一般行政管理事务（项）。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316.5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316.5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年初预算数的主要原因是勤俭节约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精准预算</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、农林水支出（类）农业农村（款）其他农业农村（项）。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240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240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年初预算数的主要原因是勤俭节约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精准预算</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1544.41</w:t>
      </w:r>
      <w:r>
        <w:rPr>
          <w:rFonts w:hint="eastAsia" w:ascii="Times New Roman" w:hAnsi="Times New Roman" w:eastAsia="仿宋_GB2312"/>
          <w:sz w:val="32"/>
          <w:szCs w:val="32"/>
        </w:rPr>
        <w:t>万元，其中：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1372.81万元，占基本支出的</w:t>
      </w:r>
      <w:r>
        <w:rPr>
          <w:rFonts w:hint="eastAsia" w:ascii="Times New Roman" w:hAnsi="Times New Roman" w:eastAsia="仿宋_GB2312"/>
          <w:sz w:val="32"/>
          <w:szCs w:val="32"/>
          <w:lang w:val="en-US" w:eastAsia="zh-CN"/>
        </w:rPr>
        <w:t>88.89</w:t>
      </w:r>
      <w:r>
        <w:rPr>
          <w:rFonts w:hint="eastAsia" w:ascii="Times New Roman" w:hAnsi="Times New Roman" w:eastAsia="仿宋_GB2312"/>
          <w:sz w:val="32"/>
          <w:szCs w:val="32"/>
        </w:rPr>
        <w:t>%,主要包括基本工资、津贴补贴、奖金、伙食补助费</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171.6万元，占基本支出的</w:t>
      </w:r>
      <w:r>
        <w:rPr>
          <w:rFonts w:hint="eastAsia" w:ascii="Times New Roman" w:hAnsi="Times New Roman" w:eastAsia="仿宋_GB2312"/>
          <w:sz w:val="32"/>
          <w:szCs w:val="32"/>
          <w:lang w:val="en-US" w:eastAsia="zh-CN"/>
        </w:rPr>
        <w:t>11.11</w:t>
      </w:r>
      <w:r>
        <w:rPr>
          <w:rFonts w:hint="eastAsia" w:ascii="Times New Roman" w:hAnsi="Times New Roman" w:eastAsia="仿宋_GB2312"/>
          <w:sz w:val="32"/>
          <w:szCs w:val="32"/>
        </w:rPr>
        <w:t>%，主要包括办公费、印刷费、咨询费、手续费</w:t>
      </w:r>
      <w:r>
        <w:rPr>
          <w:rFonts w:ascii="Times New Roman" w:hAnsi="Times New Roman" w:eastAsia="仿宋_GB2312"/>
          <w:sz w:val="32"/>
          <w:szCs w:val="32"/>
        </w:rPr>
        <w:t>……</w:t>
      </w:r>
      <w:r>
        <w:rPr>
          <w:rFonts w:hint="eastAsia" w:ascii="Times New Roman" w:hAnsi="Times New Roman" w:eastAsia="仿宋_GB2312"/>
          <w:sz w:val="32"/>
          <w:szCs w:val="32"/>
        </w:rPr>
        <w:t>。</w:t>
      </w:r>
    </w:p>
    <w:p>
      <w:pPr>
        <w:pStyle w:val="11"/>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4.76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4.76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1"/>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万元，因预算数为0，无法计算预算完成百分比。决算数与预算数一致，与上年相比持平，原因是上年及本年均无因公出国（境）支出。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bookmarkStart w:id="6" w:name="_GoBack"/>
      <w:bookmarkEnd w:id="6"/>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4.76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4.76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年初预算数的主要原因是勤俭节约精准预算</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与上年相比增加</w:t>
      </w:r>
      <w:r>
        <w:rPr>
          <w:rFonts w:hint="eastAsia" w:ascii="Times New Roman" w:hAnsi="Times New Roman" w:eastAsia="仿宋_GB2312"/>
          <w:sz w:val="32"/>
          <w:szCs w:val="32"/>
          <w:lang w:val="en-US" w:eastAsia="zh-CN"/>
        </w:rPr>
        <w:t>0.29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6.49</w:t>
      </w:r>
      <w:r>
        <w:rPr>
          <w:rFonts w:hint="eastAsia" w:ascii="Times New Roman" w:hAnsi="Times New Roman" w:eastAsia="仿宋_GB2312"/>
          <w:sz w:val="32"/>
          <w:szCs w:val="32"/>
        </w:rPr>
        <w:t>%,增长的主要原因是</w:t>
      </w:r>
      <w:r>
        <w:rPr>
          <w:rFonts w:hint="eastAsia" w:ascii="Times New Roman" w:hAnsi="Times New Roman" w:eastAsia="仿宋_GB2312"/>
          <w:sz w:val="32"/>
          <w:szCs w:val="32"/>
          <w:lang w:val="en-US" w:eastAsia="zh-CN"/>
        </w:rPr>
        <w:t>今年结了去年的招待费</w:t>
      </w:r>
      <w:r>
        <w:rPr>
          <w:rFonts w:hint="eastAsia" w:ascii="Times New Roman" w:hAnsi="Times New Roman" w:eastAsia="仿宋_GB2312"/>
          <w:sz w:val="32"/>
          <w:szCs w:val="32"/>
        </w:rPr>
        <w:t>。</w:t>
      </w:r>
    </w:p>
    <w:p>
      <w:pPr>
        <w:ind w:firstLine="640" w:firstLineChars="200"/>
        <w:rPr>
          <w:rFonts w:hint="eastAsia"/>
        </w:rPr>
      </w:pPr>
      <w:r>
        <w:rPr>
          <w:rFonts w:hint="eastAsia" w:ascii="Times New Roman" w:hAnsi="Times New Roman" w:eastAsia="仿宋_GB2312" w:cs="黑体"/>
          <w:color w:val="000000"/>
          <w:kern w:val="0"/>
          <w:sz w:val="32"/>
          <w:szCs w:val="32"/>
          <w:lang w:val="en-US" w:eastAsia="zh-CN" w:bidi="ar-SA"/>
        </w:rPr>
        <w:t>公务用车购置费支出预算为0万元，支出决算为0万元，因预算数为0，无法计算预算完成百分比。决算数与预算数一致，与上年相比持平，原因是上年及本年均无公务用车购置费支出。</w:t>
      </w:r>
    </w:p>
    <w:p>
      <w:pPr>
        <w:pStyle w:val="11"/>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公务用车运行维护费支出预算为0万元，支出决算为0万元，因预算数为0，无法计算预算完成百分比。决算数与预算数一致，与上年相比持平，原因是上年及本年均无公务用车</w:t>
      </w:r>
      <w:r>
        <w:rPr>
          <w:rFonts w:hint="eastAsia" w:ascii="Times New Roman" w:hAnsi="Times New Roman" w:eastAsia="仿宋_GB2312"/>
          <w:sz w:val="32"/>
          <w:szCs w:val="32"/>
          <w:lang w:eastAsia="zh-CN"/>
        </w:rPr>
        <w:t>运行维护费</w:t>
      </w:r>
      <w:r>
        <w:rPr>
          <w:rFonts w:hint="eastAsia" w:ascii="Times New Roman" w:hAnsi="Times New Roman" w:eastAsia="仿宋_GB2312"/>
          <w:sz w:val="32"/>
          <w:szCs w:val="32"/>
        </w:rPr>
        <w:t>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4.76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4.76</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88</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582</w:t>
      </w:r>
      <w:r>
        <w:rPr>
          <w:rFonts w:hint="eastAsia" w:ascii="Times New Roman" w:hAnsi="Times New Roman" w:eastAsia="仿宋_GB2312"/>
          <w:sz w:val="32"/>
          <w:szCs w:val="32"/>
        </w:rPr>
        <w:t>人次，主要是各项业务交流和执法案件调查发生的接待支出</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单位本级及下属事业单位</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heme="minorEastAsia" w:hAnsiTheme="minorEastAsia" w:eastAsiaTheme="minorEastAsia" w:cstheme="minorEastAsia"/>
          <w:sz w:val="28"/>
          <w:szCs w:val="28"/>
        </w:rPr>
        <w:t>本单位无政府性基金收支。</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年度机关运行经费支出171.6万元比</w:t>
      </w:r>
      <w:r>
        <w:rPr>
          <w:rFonts w:hint="eastAsia" w:ascii="Times New Roman" w:hAnsi="Times New Roman" w:eastAsia="仿宋_GB2312"/>
          <w:sz w:val="32"/>
          <w:szCs w:val="32"/>
          <w:lang w:eastAsia="zh-CN"/>
        </w:rPr>
        <w:t>上年决算数增加</w:t>
      </w:r>
      <w:r>
        <w:rPr>
          <w:rFonts w:hint="eastAsia" w:ascii="Times New Roman" w:hAnsi="Times New Roman" w:eastAsia="仿宋_GB2312"/>
          <w:sz w:val="32"/>
          <w:szCs w:val="32"/>
          <w:lang w:val="en-US" w:eastAsia="zh-CN"/>
        </w:rPr>
        <w:t>134.86</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367</w:t>
      </w:r>
      <w:r>
        <w:rPr>
          <w:rFonts w:hint="eastAsia" w:ascii="Times New Roman" w:hAnsi="Times New Roman" w:eastAsia="仿宋_GB2312"/>
          <w:sz w:val="32"/>
          <w:szCs w:val="32"/>
        </w:rPr>
        <w:t>%。主要原因是：主要是因为</w:t>
      </w:r>
      <w:r>
        <w:rPr>
          <w:rFonts w:hint="eastAsia" w:ascii="Times New Roman" w:hAnsi="Times New Roman" w:eastAsia="仿宋_GB2312"/>
          <w:sz w:val="32"/>
          <w:szCs w:val="32"/>
          <w:lang w:val="en-US" w:eastAsia="zh-CN"/>
        </w:rPr>
        <w:t>增加</w:t>
      </w:r>
      <w:r>
        <w:rPr>
          <w:rFonts w:hint="eastAsia" w:asciiTheme="minorEastAsia" w:hAnsiTheme="minorEastAsia" w:eastAsiaTheme="minorEastAsia" w:cstheme="minorEastAsia"/>
          <w:sz w:val="28"/>
          <w:szCs w:val="28"/>
          <w:lang w:eastAsia="zh-CN"/>
        </w:rPr>
        <w:t>了</w:t>
      </w:r>
      <w:r>
        <w:rPr>
          <w:rFonts w:hint="eastAsia" w:ascii="Times New Roman" w:hAnsi="Times New Roman" w:eastAsia="仿宋_GB2312"/>
          <w:sz w:val="32"/>
          <w:szCs w:val="32"/>
          <w:lang w:eastAsia="zh-CN"/>
        </w:rPr>
        <w:t>食品药品监督检查费用</w:t>
      </w:r>
      <w:r>
        <w:rPr>
          <w:rFonts w:hint="eastAsia" w:asciiTheme="minorEastAsia" w:hAnsiTheme="minorEastAsia" w:eastAsiaTheme="minorEastAsia" w:cstheme="minorEastAsia"/>
          <w:sz w:val="28"/>
          <w:szCs w:val="28"/>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没有</w:t>
      </w:r>
      <w:r>
        <w:rPr>
          <w:rFonts w:hint="eastAsia" w:ascii="Times New Roman" w:hAnsi="Times New Roman" w:eastAsia="仿宋_GB2312"/>
          <w:sz w:val="32"/>
          <w:szCs w:val="32"/>
        </w:rPr>
        <w:t>召开</w:t>
      </w:r>
      <w:r>
        <w:rPr>
          <w:rFonts w:hint="eastAsia" w:ascii="Times New Roman" w:hAnsi="Times New Roman" w:eastAsia="仿宋_GB2312"/>
          <w:sz w:val="32"/>
          <w:szCs w:val="32"/>
          <w:lang w:val="en-US" w:eastAsia="zh-CN"/>
        </w:rPr>
        <w:t>并</w:t>
      </w:r>
      <w:r>
        <w:rPr>
          <w:rFonts w:hint="eastAsia" w:ascii="Times New Roman" w:hAnsi="Times New Roman" w:eastAsia="仿宋_GB2312"/>
          <w:sz w:val="32"/>
          <w:szCs w:val="32"/>
        </w:rPr>
        <w:t>会议；开支培训费</w:t>
      </w:r>
      <w:r>
        <w:rPr>
          <w:rFonts w:hint="eastAsia" w:ascii="Times New Roman" w:hAnsi="Times New Roman" w:eastAsia="仿宋_GB2312"/>
          <w:sz w:val="32"/>
          <w:szCs w:val="32"/>
          <w:lang w:val="en-US" w:eastAsia="zh-CN"/>
        </w:rPr>
        <w:t>0.09</w:t>
      </w:r>
      <w:r>
        <w:rPr>
          <w:rFonts w:hint="eastAsia" w:ascii="Times New Roman" w:hAnsi="Times New Roman" w:eastAsia="仿宋_GB2312"/>
          <w:sz w:val="32"/>
          <w:szCs w:val="32"/>
        </w:rPr>
        <w:t>万元，开展食品药品监督检查培训，人数</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人次，内容为开展食品药品监督检查培训；</w:t>
      </w:r>
      <w:r>
        <w:rPr>
          <w:rFonts w:hint="eastAsia" w:ascii="Times New Roman" w:hAnsi="Times New Roman" w:eastAsia="仿宋_GB2312"/>
          <w:sz w:val="32"/>
          <w:szCs w:val="32"/>
          <w:lang w:val="en-US" w:eastAsia="zh-CN"/>
        </w:rPr>
        <w:t>未</w:t>
      </w:r>
      <w:r>
        <w:rPr>
          <w:rFonts w:hint="eastAsia" w:ascii="Times New Roman" w:hAnsi="Times New Roman" w:eastAsia="仿宋_GB2312"/>
          <w:sz w:val="32"/>
          <w:szCs w:val="32"/>
        </w:rPr>
        <w:t>举办节庆、晚会、论坛、</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赛事活动。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233.4</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233.4</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133.4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57.16</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55.4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23.74</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57.16</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23.74</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（1）绩效管理评价工作开展情况。</w:t>
      </w:r>
    </w:p>
    <w:p>
      <w:pPr>
        <w:autoSpaceDE w:val="0"/>
        <w:autoSpaceDN w:val="0"/>
        <w:adjustRightInd w:val="0"/>
        <w:ind w:firstLine="640" w:firstLineChars="200"/>
        <w:jc w:val="left"/>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根据预算绩效管理要求，我部门组织对2022 年度一般公共预算项目支出全面开展绩效自评，其中，一级项目2个，共涉及资金556.5 万元，一般公共预算项目支出316.5万元占总额的56.87%，农林水预算项目支出240万元占总额的43.13%</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（2）部门决算中项目绩效自评结果</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食品安全监督抽检项目绩效自评综述：根据年初设定的绩效目标，项目绩效自评得分为100分。项目全年预算数为556.5万元，执行数为556.5万元，完成预算的100%。项目绩效目标完成情况：一是开展检查食品经营安全企业户数达400户；二是食品违法案件立案数达80件。</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（3）部门整体支出绩效自评结果拟应用和公开情况</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评价结论：新田县市场监督管理局财政资金的管理使用比较规范，贯彻落实厉行节约、严控“三公”经费、降低一般运行经费、加强项目支出管理等，成绩显著，2022年县市场监督管理局财政资金绩效使用综合自我评价100分。</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1"/>
        <w:ind w:firstLine="640"/>
        <w:jc w:val="center"/>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发现的主要问题及原因：一是我县市场监督管理局人员多，刚性支出大；职能多，监管对象多，监管执法成本大，县级财政保障不足，经费缺口大。；二是办公设施设备陈旧，有的工作人员上班还没有配置电脑，严重影响了正常工作。由于县市场监督管理局工作经费严重短缺，无法购置新的电脑等办</w:t>
      </w:r>
    </w:p>
    <w:p>
      <w:pPr>
        <w:pStyle w:val="11"/>
        <w:jc w:val="both"/>
        <w:rPr>
          <w:sz w:val="72"/>
          <w:szCs w:val="72"/>
        </w:rPr>
      </w:pPr>
      <w:r>
        <w:rPr>
          <w:rFonts w:hint="eastAsia" w:ascii="Times New Roman" w:hAnsi="Times New Roman" w:eastAsia="仿宋_GB2312" w:cs="黑体"/>
          <w:color w:val="000000"/>
          <w:kern w:val="0"/>
          <w:sz w:val="32"/>
          <w:szCs w:val="32"/>
          <w:lang w:val="en-US" w:eastAsia="zh-CN" w:bidi="ar-SA"/>
        </w:rPr>
        <w:t>公设备；下一步改进措施：建议改善办公条件和办公环境，以提高工作效率。</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1"/>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第四部分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名词解释</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一、收入科目</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财政拨款收入：指财政当年拨付的资金。</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二、支出科目</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1.基本支出：指为保障机构正常运转、完成日常工作任务而发生的人员支出和公用支出。</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2.项目支出：指在基本支出之外为完成特定行政任务和事业发展目标所发生的支出。</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3.年末结转和结余：指本年度或以前年度预算安排、因客观条件发生变化无法按原计划实施，需延迟到以后年度按有关规定继续使用的资金。</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三、“三公”经费</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四、机关运行经费</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11"/>
        <w:ind w:firstLine="640" w:firstLineChars="200"/>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第五部分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附件</w:t>
      </w:r>
    </w:p>
    <w:p>
      <w:pPr>
        <w:ind w:firstLine="560" w:firstLineChars="200"/>
        <w:jc w:val="center"/>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202</w:t>
      </w:r>
      <w:r>
        <w:rPr>
          <w:rFonts w:hint="eastAsia" w:asciiTheme="minorEastAsia" w:hAnsiTheme="minorEastAsia" w:cstheme="minorEastAsia"/>
          <w:b/>
          <w:color w:val="000000"/>
          <w:kern w:val="0"/>
          <w:sz w:val="28"/>
          <w:szCs w:val="28"/>
          <w:lang w:val="en-US" w:eastAsia="zh-CN"/>
        </w:rPr>
        <w:t>2</w:t>
      </w:r>
      <w:r>
        <w:rPr>
          <w:rFonts w:hint="eastAsia" w:asciiTheme="minorEastAsia" w:hAnsiTheme="minorEastAsia" w:eastAsiaTheme="minorEastAsia" w:cstheme="minorEastAsia"/>
          <w:b/>
          <w:color w:val="000000"/>
          <w:kern w:val="0"/>
          <w:sz w:val="28"/>
          <w:szCs w:val="28"/>
        </w:rPr>
        <w:t>年度部门整体支出绩效评价报告</w:t>
      </w:r>
    </w:p>
    <w:p>
      <w:pPr>
        <w:numPr>
          <w:ilvl w:val="0"/>
          <w:numId w:val="3"/>
        </w:numPr>
        <w:spacing w:line="570" w:lineRule="exact"/>
        <w:outlineLvl w:val="0"/>
        <w:rPr>
          <w:rFonts w:eastAsia="黑体"/>
          <w:sz w:val="32"/>
          <w:szCs w:val="32"/>
          <w:highlight w:val="none"/>
        </w:rPr>
      </w:pPr>
      <w:r>
        <w:rPr>
          <w:rFonts w:eastAsia="黑体"/>
          <w:sz w:val="32"/>
          <w:szCs w:val="32"/>
          <w:highlight w:val="none"/>
        </w:rPr>
        <w:t>部门（单位）基本情况</w:t>
      </w:r>
    </w:p>
    <w:p>
      <w:pPr>
        <w:spacing w:line="570" w:lineRule="exact"/>
        <w:ind w:firstLine="640" w:firstLineChars="200"/>
        <w:outlineLvl w:val="1"/>
        <w:rPr>
          <w:rFonts w:hint="eastAsia" w:eastAsia="仿宋_GB2312"/>
          <w:color w:val="000000"/>
          <w:sz w:val="32"/>
          <w:szCs w:val="32"/>
          <w:highlight w:val="none"/>
        </w:rPr>
      </w:pPr>
      <w:r>
        <w:rPr>
          <w:rFonts w:hint="eastAsia" w:eastAsia="仿宋_GB2312"/>
          <w:color w:val="000000"/>
          <w:sz w:val="32"/>
          <w:szCs w:val="32"/>
          <w:highlight w:val="none"/>
        </w:rPr>
        <w:t>（一）部门基本情况</w:t>
      </w:r>
    </w:p>
    <w:p>
      <w:pPr>
        <w:spacing w:line="570" w:lineRule="exact"/>
        <w:ind w:firstLine="640" w:firstLineChars="200"/>
        <w:outlineLvl w:val="1"/>
        <w:rPr>
          <w:rFonts w:hint="eastAsia" w:eastAsia="仿宋_GB2312"/>
          <w:color w:val="000000"/>
          <w:sz w:val="32"/>
          <w:szCs w:val="32"/>
          <w:highlight w:val="none"/>
        </w:rPr>
      </w:pPr>
      <w:r>
        <w:rPr>
          <w:rFonts w:hint="eastAsia" w:eastAsia="仿宋_GB2312"/>
          <w:color w:val="000000"/>
          <w:sz w:val="32"/>
          <w:szCs w:val="32"/>
          <w:highlight w:val="none"/>
        </w:rPr>
        <w:t>本部门18个内设机构、1个所属单位、1个挂靠机构、5个派出机构（除龙泉直属分局独立核算外）,全部列入了本部门预算。</w:t>
      </w:r>
    </w:p>
    <w:p>
      <w:pPr>
        <w:spacing w:line="570" w:lineRule="exact"/>
        <w:ind w:firstLine="640" w:firstLineChars="200"/>
        <w:outlineLvl w:val="1"/>
        <w:rPr>
          <w:rFonts w:hint="eastAsia" w:eastAsia="仿宋_GB2312"/>
          <w:color w:val="000000"/>
          <w:sz w:val="32"/>
          <w:szCs w:val="32"/>
          <w:highlight w:val="none"/>
        </w:rPr>
      </w:pPr>
      <w:r>
        <w:rPr>
          <w:rFonts w:hint="eastAsia" w:eastAsia="仿宋_GB2312"/>
          <w:color w:val="000000"/>
          <w:sz w:val="32"/>
          <w:szCs w:val="32"/>
          <w:highlight w:val="none"/>
        </w:rPr>
        <w:t>本部门现人员编制169人，实有在职人员12</w:t>
      </w:r>
      <w:r>
        <w:rPr>
          <w:rFonts w:hint="eastAsia" w:eastAsia="仿宋_GB2312"/>
          <w:color w:val="000000"/>
          <w:sz w:val="32"/>
          <w:szCs w:val="32"/>
          <w:highlight w:val="none"/>
          <w:lang w:val="en-US" w:eastAsia="zh-CN"/>
        </w:rPr>
        <w:t>1</w:t>
      </w:r>
      <w:r>
        <w:rPr>
          <w:rFonts w:hint="eastAsia" w:eastAsia="仿宋_GB2312"/>
          <w:color w:val="000000"/>
          <w:sz w:val="32"/>
          <w:szCs w:val="32"/>
          <w:highlight w:val="none"/>
        </w:rPr>
        <w:t>人，退休人员7</w:t>
      </w:r>
      <w:r>
        <w:rPr>
          <w:rFonts w:hint="eastAsia" w:eastAsia="仿宋_GB2312"/>
          <w:color w:val="000000"/>
          <w:sz w:val="32"/>
          <w:szCs w:val="32"/>
          <w:highlight w:val="none"/>
          <w:lang w:val="en-US" w:eastAsia="zh-CN"/>
        </w:rPr>
        <w:t>6</w:t>
      </w:r>
      <w:r>
        <w:rPr>
          <w:rFonts w:hint="eastAsia" w:eastAsia="仿宋_GB2312"/>
          <w:color w:val="000000"/>
          <w:sz w:val="32"/>
          <w:szCs w:val="32"/>
          <w:highlight w:val="none"/>
        </w:rPr>
        <w:t>人，临聘人员3人，车辆编制12台，实有车辆9台。</w:t>
      </w:r>
    </w:p>
    <w:p>
      <w:pPr>
        <w:spacing w:line="570" w:lineRule="exact"/>
        <w:ind w:firstLine="640" w:firstLineChars="200"/>
        <w:outlineLvl w:val="1"/>
        <w:rPr>
          <w:rFonts w:hint="eastAsia" w:eastAsia="仿宋_GB2312"/>
          <w:color w:val="000000"/>
          <w:sz w:val="32"/>
          <w:szCs w:val="32"/>
          <w:highlight w:val="none"/>
        </w:rPr>
      </w:pPr>
      <w:r>
        <w:rPr>
          <w:rFonts w:hint="eastAsia" w:eastAsia="仿宋_GB2312"/>
          <w:color w:val="000000"/>
          <w:sz w:val="32"/>
          <w:szCs w:val="32"/>
          <w:highlight w:val="none"/>
        </w:rPr>
        <w:t>（二）部门年度整体支出绩效目标，项目支出绩效目标</w:t>
      </w:r>
    </w:p>
    <w:p>
      <w:pPr>
        <w:spacing w:line="570" w:lineRule="exact"/>
        <w:ind w:firstLine="640" w:firstLineChars="200"/>
        <w:outlineLvl w:val="1"/>
        <w:rPr>
          <w:rFonts w:hint="eastAsia" w:eastAsia="仿宋_GB2312"/>
          <w:color w:val="000000"/>
          <w:sz w:val="32"/>
          <w:szCs w:val="32"/>
          <w:highlight w:val="none"/>
        </w:rPr>
      </w:pPr>
      <w:r>
        <w:rPr>
          <w:rFonts w:hint="eastAsia" w:eastAsia="仿宋_GB2312"/>
          <w:color w:val="000000"/>
          <w:sz w:val="32"/>
          <w:szCs w:val="32"/>
          <w:highlight w:val="none"/>
        </w:rPr>
        <w:t>本部门主要负责食品、药品、化妆品、医疗器械、计量器具及特种设备的监管；负责对各类市场经济秩序、商标、广告的监管；负责市场主体的登记注册、消费者权益保护工作。重点工作是保障食品、药品、特种设备零事故。</w:t>
      </w:r>
    </w:p>
    <w:p>
      <w:pPr>
        <w:pStyle w:val="12"/>
        <w:spacing w:line="570" w:lineRule="exact"/>
        <w:ind w:firstLine="640"/>
        <w:outlineLvl w:val="0"/>
        <w:rPr>
          <w:rFonts w:ascii="Times New Roman" w:hAnsi="Times New Roman" w:eastAsia="黑体"/>
          <w:sz w:val="32"/>
          <w:szCs w:val="32"/>
          <w:highlight w:val="none"/>
        </w:rPr>
      </w:pPr>
      <w:r>
        <w:rPr>
          <w:rFonts w:ascii="Times New Roman" w:hAnsi="Times New Roman" w:eastAsia="黑体"/>
          <w:sz w:val="32"/>
          <w:szCs w:val="32"/>
          <w:highlight w:val="none"/>
        </w:rPr>
        <w:t>二、一般公共预算支出情况</w:t>
      </w:r>
    </w:p>
    <w:p>
      <w:pPr>
        <w:pStyle w:val="12"/>
        <w:spacing w:line="570" w:lineRule="exact"/>
        <w:ind w:firstLine="640"/>
        <w:outlineLvl w:val="1"/>
        <w:rPr>
          <w:rFonts w:ascii="Times New Roman" w:hAnsi="Times New Roman" w:eastAsia="仿宋_GB2312"/>
          <w:sz w:val="32"/>
          <w:szCs w:val="32"/>
          <w:highlight w:val="none"/>
        </w:rPr>
      </w:pPr>
      <w:r>
        <w:rPr>
          <w:rFonts w:ascii="Times New Roman" w:hAnsi="Times New Roman" w:eastAsia="仿宋_GB2312"/>
          <w:sz w:val="32"/>
          <w:szCs w:val="32"/>
          <w:highlight w:val="none"/>
        </w:rPr>
        <w:t>（一）基本支出情况</w:t>
      </w:r>
    </w:p>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我部门基本支出的范围和主要用途包括部门机关的人员经费和日常公用经费。具体包括：工资福利支出、对个人和家庭的补助、商品和服务支出。基本支出的管理和使用情况如下：</w:t>
      </w:r>
    </w:p>
    <w:p>
      <w:pPr>
        <w:widowControl/>
        <w:spacing w:line="500" w:lineRule="atLeast"/>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　　　　　基本支出本年预算指标可用情况   （单位：万元）</w:t>
      </w:r>
    </w:p>
    <w:tbl>
      <w:tblPr>
        <w:tblStyle w:val="7"/>
        <w:tblW w:w="9052" w:type="dxa"/>
        <w:tblInd w:w="108" w:type="dxa"/>
        <w:tblLayout w:type="fixed"/>
        <w:tblCellMar>
          <w:top w:w="0" w:type="dxa"/>
          <w:left w:w="0" w:type="dxa"/>
          <w:bottom w:w="0" w:type="dxa"/>
          <w:right w:w="0" w:type="dxa"/>
        </w:tblCellMar>
      </w:tblPr>
      <w:tblGrid>
        <w:gridCol w:w="2960"/>
        <w:gridCol w:w="1823"/>
        <w:gridCol w:w="1982"/>
        <w:gridCol w:w="2287"/>
      </w:tblGrid>
      <w:tr>
        <w:tblPrEx>
          <w:tblCellMar>
            <w:top w:w="0" w:type="dxa"/>
            <w:left w:w="0" w:type="dxa"/>
            <w:bottom w:w="0" w:type="dxa"/>
            <w:right w:w="0" w:type="dxa"/>
          </w:tblCellMar>
        </w:tblPrEx>
        <w:trPr>
          <w:trHeight w:val="481" w:hRule="exact"/>
        </w:trPr>
        <w:tc>
          <w:tcPr>
            <w:tcW w:w="296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预算项目</w:t>
            </w:r>
          </w:p>
        </w:tc>
        <w:tc>
          <w:tcPr>
            <w:tcW w:w="182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本年预算</w:t>
            </w:r>
          </w:p>
        </w:tc>
        <w:tc>
          <w:tcPr>
            <w:tcW w:w="1982"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上年结余</w:t>
            </w:r>
          </w:p>
        </w:tc>
        <w:tc>
          <w:tcPr>
            <w:tcW w:w="228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本年可用指标</w:t>
            </w:r>
          </w:p>
        </w:tc>
      </w:tr>
      <w:tr>
        <w:tblPrEx>
          <w:tblCellMar>
            <w:top w:w="0" w:type="dxa"/>
            <w:left w:w="0" w:type="dxa"/>
            <w:bottom w:w="0" w:type="dxa"/>
            <w:right w:w="0" w:type="dxa"/>
          </w:tblCellMar>
        </w:tblPrEx>
        <w:trPr>
          <w:trHeight w:val="481" w:hRule="exact"/>
        </w:trPr>
        <w:tc>
          <w:tcPr>
            <w:tcW w:w="296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工资福利支出</w:t>
            </w:r>
          </w:p>
        </w:tc>
        <w:tc>
          <w:tcPr>
            <w:tcW w:w="182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1368.00</w:t>
            </w:r>
          </w:p>
        </w:tc>
        <w:tc>
          <w:tcPr>
            <w:tcW w:w="198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2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1368.00</w:t>
            </w:r>
          </w:p>
        </w:tc>
      </w:tr>
      <w:tr>
        <w:tblPrEx>
          <w:tblCellMar>
            <w:top w:w="0" w:type="dxa"/>
            <w:left w:w="0" w:type="dxa"/>
            <w:bottom w:w="0" w:type="dxa"/>
            <w:right w:w="0" w:type="dxa"/>
          </w:tblCellMar>
        </w:tblPrEx>
        <w:trPr>
          <w:trHeight w:val="481" w:hRule="exact"/>
        </w:trPr>
        <w:tc>
          <w:tcPr>
            <w:tcW w:w="296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商品和服务支出</w:t>
            </w:r>
          </w:p>
        </w:tc>
        <w:tc>
          <w:tcPr>
            <w:tcW w:w="182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171.36</w:t>
            </w:r>
          </w:p>
        </w:tc>
        <w:tc>
          <w:tcPr>
            <w:tcW w:w="198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0</w:t>
            </w:r>
          </w:p>
        </w:tc>
        <w:tc>
          <w:tcPr>
            <w:tcW w:w="22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171.36</w:t>
            </w:r>
          </w:p>
        </w:tc>
      </w:tr>
      <w:tr>
        <w:tblPrEx>
          <w:tblCellMar>
            <w:top w:w="0" w:type="dxa"/>
            <w:left w:w="0" w:type="dxa"/>
            <w:bottom w:w="0" w:type="dxa"/>
            <w:right w:w="0" w:type="dxa"/>
          </w:tblCellMar>
        </w:tblPrEx>
        <w:trPr>
          <w:trHeight w:val="481" w:hRule="exact"/>
        </w:trPr>
        <w:tc>
          <w:tcPr>
            <w:tcW w:w="296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对个人和家庭补助</w:t>
            </w:r>
          </w:p>
        </w:tc>
        <w:tc>
          <w:tcPr>
            <w:tcW w:w="182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4.81</w:t>
            </w:r>
          </w:p>
        </w:tc>
        <w:tc>
          <w:tcPr>
            <w:tcW w:w="198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2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4.81</w:t>
            </w:r>
          </w:p>
        </w:tc>
      </w:tr>
      <w:tr>
        <w:tblPrEx>
          <w:tblCellMar>
            <w:top w:w="0" w:type="dxa"/>
            <w:left w:w="0" w:type="dxa"/>
            <w:bottom w:w="0" w:type="dxa"/>
            <w:right w:w="0" w:type="dxa"/>
          </w:tblCellMar>
        </w:tblPrEx>
        <w:trPr>
          <w:trHeight w:val="481" w:hRule="exact"/>
        </w:trPr>
        <w:tc>
          <w:tcPr>
            <w:tcW w:w="296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合 计</w:t>
            </w:r>
          </w:p>
        </w:tc>
        <w:tc>
          <w:tcPr>
            <w:tcW w:w="182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1544.17</w:t>
            </w:r>
          </w:p>
        </w:tc>
        <w:tc>
          <w:tcPr>
            <w:tcW w:w="198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2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1544.17</w:t>
            </w:r>
          </w:p>
        </w:tc>
      </w:tr>
    </w:tbl>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根据本年预算和上年结余情况，本年基本支出预算可用指标</w:t>
      </w:r>
      <w:r>
        <w:rPr>
          <w:rFonts w:hint="eastAsia" w:ascii="仿宋_GB2312" w:hAnsi="Calibri" w:eastAsia="仿宋_GB2312" w:cs="Times New Roman"/>
          <w:kern w:val="2"/>
          <w:sz w:val="32"/>
          <w:szCs w:val="32"/>
          <w:highlight w:val="none"/>
          <w:lang w:val="en-US" w:eastAsia="zh-CN" w:bidi="ar-SA"/>
        </w:rPr>
        <w:t>1544.17</w:t>
      </w:r>
      <w:r>
        <w:rPr>
          <w:rFonts w:hint="eastAsia" w:ascii="仿宋_GB2312" w:hAnsi="Calibri" w:eastAsia="仿宋_GB2312" w:cs="Times New Roman"/>
          <w:kern w:val="2"/>
          <w:sz w:val="32"/>
          <w:szCs w:val="32"/>
          <w:highlight w:val="none"/>
          <w:lang w:val="zh-CN" w:eastAsia="zh-CN" w:bidi="ar-SA"/>
        </w:rPr>
        <w:t>万元。</w:t>
      </w:r>
    </w:p>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本年基本支出预算执行情况       （单位：万元）</w:t>
      </w:r>
    </w:p>
    <w:tbl>
      <w:tblPr>
        <w:tblStyle w:val="7"/>
        <w:tblW w:w="0" w:type="auto"/>
        <w:tblInd w:w="164" w:type="dxa"/>
        <w:tblLayout w:type="fixed"/>
        <w:tblCellMar>
          <w:top w:w="0" w:type="dxa"/>
          <w:left w:w="0" w:type="dxa"/>
          <w:bottom w:w="0" w:type="dxa"/>
          <w:right w:w="0" w:type="dxa"/>
        </w:tblCellMar>
      </w:tblPr>
      <w:tblGrid>
        <w:gridCol w:w="2865"/>
        <w:gridCol w:w="2164"/>
        <w:gridCol w:w="2164"/>
        <w:gridCol w:w="1571"/>
      </w:tblGrid>
      <w:tr>
        <w:tblPrEx>
          <w:tblCellMar>
            <w:top w:w="0" w:type="dxa"/>
            <w:left w:w="0" w:type="dxa"/>
            <w:bottom w:w="0" w:type="dxa"/>
            <w:right w:w="0" w:type="dxa"/>
          </w:tblCellMar>
        </w:tblPrEx>
        <w:trPr>
          <w:trHeight w:val="454" w:hRule="exact"/>
        </w:trPr>
        <w:tc>
          <w:tcPr>
            <w:tcW w:w="28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预算项目</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预算可用指标</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本年决算金额</w:t>
            </w:r>
          </w:p>
        </w:tc>
        <w:tc>
          <w:tcPr>
            <w:tcW w:w="15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差额</w:t>
            </w:r>
          </w:p>
        </w:tc>
      </w:tr>
      <w:tr>
        <w:tblPrEx>
          <w:tblCellMar>
            <w:top w:w="0" w:type="dxa"/>
            <w:left w:w="0" w:type="dxa"/>
            <w:bottom w:w="0" w:type="dxa"/>
            <w:right w:w="0" w:type="dxa"/>
          </w:tblCellMar>
        </w:tblPrEx>
        <w:trPr>
          <w:trHeight w:val="454" w:hRule="exac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工资福利支出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1368.00</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1368.00</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r>
      <w:tr>
        <w:tblPrEx>
          <w:tblCellMar>
            <w:top w:w="0" w:type="dxa"/>
            <w:left w:w="0" w:type="dxa"/>
            <w:bottom w:w="0" w:type="dxa"/>
            <w:right w:w="0" w:type="dxa"/>
          </w:tblCellMar>
        </w:tblPrEx>
        <w:trPr>
          <w:trHeight w:val="454" w:hRule="exac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商品和服务支出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171.36</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171.36</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0</w:t>
            </w:r>
          </w:p>
        </w:tc>
      </w:tr>
      <w:tr>
        <w:tblPrEx>
          <w:tblCellMar>
            <w:top w:w="0" w:type="dxa"/>
            <w:left w:w="0" w:type="dxa"/>
            <w:bottom w:w="0" w:type="dxa"/>
            <w:right w:w="0" w:type="dxa"/>
          </w:tblCellMar>
        </w:tblPrEx>
        <w:trPr>
          <w:trHeight w:val="454" w:hRule="exac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对个人和家庭补助</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4.81</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4.81</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r>
      <w:tr>
        <w:tblPrEx>
          <w:tblCellMar>
            <w:top w:w="0" w:type="dxa"/>
            <w:left w:w="0" w:type="dxa"/>
            <w:bottom w:w="0" w:type="dxa"/>
            <w:right w:w="0" w:type="dxa"/>
          </w:tblCellMar>
        </w:tblPrEx>
        <w:trPr>
          <w:trHeight w:val="454" w:hRule="exac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合 计</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1544.17</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1544.17</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en-US" w:eastAsia="zh-CN" w:bidi="ar-SA"/>
              </w:rPr>
              <w:t>0</w:t>
            </w:r>
          </w:p>
        </w:tc>
      </w:tr>
    </w:tbl>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从上表可以反映，202</w:t>
      </w:r>
      <w:r>
        <w:rPr>
          <w:rFonts w:hint="eastAsia" w:ascii="仿宋_GB2312" w:hAnsi="Calibri" w:eastAsia="仿宋_GB2312" w:cs="Times New Roman"/>
          <w:kern w:val="2"/>
          <w:sz w:val="32"/>
          <w:szCs w:val="32"/>
          <w:highlight w:val="none"/>
          <w:lang w:val="en-US" w:eastAsia="zh-CN" w:bidi="ar-SA"/>
        </w:rPr>
        <w:t>2</w:t>
      </w:r>
      <w:r>
        <w:rPr>
          <w:rFonts w:hint="eastAsia" w:ascii="仿宋_GB2312" w:hAnsi="Calibri" w:eastAsia="仿宋_GB2312" w:cs="Times New Roman"/>
          <w:kern w:val="2"/>
          <w:sz w:val="32"/>
          <w:szCs w:val="32"/>
          <w:highlight w:val="none"/>
          <w:lang w:val="zh-CN" w:eastAsia="zh-CN" w:bidi="ar-SA"/>
        </w:rPr>
        <w:t>年我部门基本支出与预算基本一致。</w:t>
      </w:r>
    </w:p>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2、“三公”经费使用管理情况。</w:t>
      </w:r>
    </w:p>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202</w:t>
      </w:r>
      <w:r>
        <w:rPr>
          <w:rFonts w:hint="eastAsia" w:ascii="仿宋_GB2312" w:hAnsi="Calibri" w:eastAsia="仿宋_GB2312" w:cs="Times New Roman"/>
          <w:kern w:val="2"/>
          <w:sz w:val="32"/>
          <w:szCs w:val="32"/>
          <w:highlight w:val="none"/>
          <w:lang w:val="en-US" w:eastAsia="zh-CN" w:bidi="ar-SA"/>
        </w:rPr>
        <w:t>2</w:t>
      </w:r>
      <w:r>
        <w:rPr>
          <w:rFonts w:hint="eastAsia" w:ascii="仿宋_GB2312" w:hAnsi="Calibri" w:eastAsia="仿宋_GB2312" w:cs="Times New Roman"/>
          <w:kern w:val="2"/>
          <w:sz w:val="32"/>
          <w:szCs w:val="32"/>
          <w:highlight w:val="none"/>
          <w:lang w:val="zh-CN" w:eastAsia="zh-CN" w:bidi="ar-SA"/>
        </w:rPr>
        <w:t>年“三公”经费预算情况          （单位：万元）</w:t>
      </w:r>
    </w:p>
    <w:tbl>
      <w:tblPr>
        <w:tblStyle w:val="7"/>
        <w:tblW w:w="0" w:type="auto"/>
        <w:tblInd w:w="108" w:type="dxa"/>
        <w:tblLayout w:type="fixed"/>
        <w:tblCellMar>
          <w:top w:w="0" w:type="dxa"/>
          <w:left w:w="0" w:type="dxa"/>
          <w:bottom w:w="0" w:type="dxa"/>
          <w:right w:w="0" w:type="dxa"/>
        </w:tblCellMar>
      </w:tblPr>
      <w:tblGrid>
        <w:gridCol w:w="2488"/>
        <w:gridCol w:w="2173"/>
        <w:gridCol w:w="2173"/>
        <w:gridCol w:w="2173"/>
      </w:tblGrid>
      <w:tr>
        <w:tblPrEx>
          <w:tblCellMar>
            <w:top w:w="0" w:type="dxa"/>
            <w:left w:w="0" w:type="dxa"/>
            <w:bottom w:w="0" w:type="dxa"/>
            <w:right w:w="0" w:type="dxa"/>
          </w:tblCellMar>
        </w:tblPrEx>
        <w:trPr>
          <w:trHeight w:val="454" w:hRule="exact"/>
        </w:trPr>
        <w:tc>
          <w:tcPr>
            <w:tcW w:w="248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费用项目</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基本支出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项目支出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合计</w:t>
            </w:r>
          </w:p>
        </w:tc>
      </w:tr>
      <w:tr>
        <w:tblPrEx>
          <w:tblCellMar>
            <w:top w:w="0" w:type="dxa"/>
            <w:left w:w="0" w:type="dxa"/>
            <w:bottom w:w="0" w:type="dxa"/>
            <w:right w:w="0" w:type="dxa"/>
          </w:tblCellMar>
        </w:tblPrEx>
        <w:trPr>
          <w:trHeight w:val="554" w:hRule="exac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公务接待费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4.76</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4.76</w:t>
            </w:r>
          </w:p>
        </w:tc>
      </w:tr>
      <w:tr>
        <w:tblPrEx>
          <w:tblCellMar>
            <w:top w:w="0" w:type="dxa"/>
            <w:left w:w="0" w:type="dxa"/>
            <w:bottom w:w="0" w:type="dxa"/>
            <w:right w:w="0" w:type="dxa"/>
          </w:tblCellMar>
        </w:tblPrEx>
        <w:trPr>
          <w:trHeight w:val="454" w:hRule="exac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公车运行维护费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r>
      <w:tr>
        <w:tblPrEx>
          <w:tblCellMar>
            <w:top w:w="0" w:type="dxa"/>
            <w:left w:w="0" w:type="dxa"/>
            <w:bottom w:w="0" w:type="dxa"/>
            <w:right w:w="0" w:type="dxa"/>
          </w:tblCellMar>
        </w:tblPrEx>
        <w:trPr>
          <w:trHeight w:val="454" w:hRule="exac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因公出国费用</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r>
      <w:tr>
        <w:tblPrEx>
          <w:tblCellMar>
            <w:top w:w="0" w:type="dxa"/>
            <w:left w:w="0" w:type="dxa"/>
            <w:bottom w:w="0" w:type="dxa"/>
            <w:right w:w="0" w:type="dxa"/>
          </w:tblCellMar>
        </w:tblPrEx>
        <w:trPr>
          <w:trHeight w:val="454" w:hRule="exac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公务车购置费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r>
      <w:tr>
        <w:tblPrEx>
          <w:tblCellMar>
            <w:top w:w="0" w:type="dxa"/>
            <w:left w:w="0" w:type="dxa"/>
            <w:bottom w:w="0" w:type="dxa"/>
            <w:right w:w="0" w:type="dxa"/>
          </w:tblCellMar>
        </w:tblPrEx>
        <w:trPr>
          <w:trHeight w:val="454" w:hRule="exac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合计</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4.76</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640" w:firstLineChars="200"/>
              <w:jc w:val="left"/>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4.76</w:t>
            </w:r>
          </w:p>
        </w:tc>
      </w:tr>
    </w:tbl>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我部门202</w:t>
      </w:r>
      <w:r>
        <w:rPr>
          <w:rFonts w:hint="eastAsia" w:ascii="仿宋_GB2312" w:hAnsi="Calibri" w:eastAsia="仿宋_GB2312" w:cs="Times New Roman"/>
          <w:kern w:val="2"/>
          <w:sz w:val="32"/>
          <w:szCs w:val="32"/>
          <w:highlight w:val="none"/>
          <w:lang w:val="en-US" w:eastAsia="zh-CN" w:bidi="ar-SA"/>
        </w:rPr>
        <w:t>2</w:t>
      </w:r>
      <w:r>
        <w:rPr>
          <w:rFonts w:hint="eastAsia" w:ascii="仿宋_GB2312" w:hAnsi="Calibri" w:eastAsia="仿宋_GB2312" w:cs="Times New Roman"/>
          <w:kern w:val="2"/>
          <w:sz w:val="32"/>
          <w:szCs w:val="32"/>
          <w:highlight w:val="none"/>
          <w:lang w:val="zh-CN" w:eastAsia="zh-CN" w:bidi="ar-SA"/>
        </w:rPr>
        <w:t>年“三公”经费预算金额为</w:t>
      </w:r>
      <w:r>
        <w:rPr>
          <w:rFonts w:hint="eastAsia" w:ascii="仿宋_GB2312" w:hAnsi="Calibri" w:eastAsia="仿宋_GB2312" w:cs="Times New Roman"/>
          <w:kern w:val="2"/>
          <w:sz w:val="32"/>
          <w:szCs w:val="32"/>
          <w:highlight w:val="none"/>
          <w:lang w:val="en-US" w:eastAsia="zh-CN" w:bidi="ar-SA"/>
        </w:rPr>
        <w:t>4.76</w:t>
      </w:r>
      <w:r>
        <w:rPr>
          <w:rFonts w:hint="eastAsia" w:ascii="仿宋_GB2312" w:hAnsi="Calibri" w:eastAsia="仿宋_GB2312" w:cs="Times New Roman"/>
          <w:kern w:val="2"/>
          <w:sz w:val="32"/>
          <w:szCs w:val="32"/>
          <w:highlight w:val="none"/>
          <w:lang w:val="zh-CN" w:eastAsia="zh-CN" w:bidi="ar-SA"/>
        </w:rPr>
        <w:t>万元，全部为财政拨款资金，并在新田政府网站进行了公示。</w:t>
      </w:r>
    </w:p>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我部门202</w:t>
      </w:r>
      <w:r>
        <w:rPr>
          <w:rFonts w:hint="eastAsia" w:ascii="仿宋_GB2312" w:hAnsi="Calibri" w:eastAsia="仿宋_GB2312" w:cs="Times New Roman"/>
          <w:kern w:val="2"/>
          <w:sz w:val="32"/>
          <w:szCs w:val="32"/>
          <w:highlight w:val="none"/>
          <w:lang w:val="en-US" w:eastAsia="zh-CN" w:bidi="ar-SA"/>
        </w:rPr>
        <w:t>2</w:t>
      </w:r>
      <w:r>
        <w:rPr>
          <w:rFonts w:hint="eastAsia" w:ascii="仿宋_GB2312" w:hAnsi="Calibri" w:eastAsia="仿宋_GB2312" w:cs="Times New Roman"/>
          <w:kern w:val="2"/>
          <w:sz w:val="32"/>
          <w:szCs w:val="32"/>
          <w:highlight w:val="none"/>
          <w:lang w:val="zh-CN" w:eastAsia="zh-CN" w:bidi="ar-SA"/>
        </w:rPr>
        <w:t>年度“三公”经费预算</w:t>
      </w:r>
      <w:r>
        <w:rPr>
          <w:rFonts w:hint="eastAsia" w:ascii="仿宋_GB2312" w:hAnsi="Calibri" w:eastAsia="仿宋_GB2312" w:cs="Times New Roman"/>
          <w:kern w:val="2"/>
          <w:sz w:val="32"/>
          <w:szCs w:val="32"/>
          <w:highlight w:val="none"/>
          <w:lang w:val="en-US" w:eastAsia="zh-CN" w:bidi="ar-SA"/>
        </w:rPr>
        <w:t>4.5</w:t>
      </w:r>
      <w:r>
        <w:rPr>
          <w:rFonts w:hint="eastAsia" w:ascii="仿宋_GB2312" w:hAnsi="Calibri" w:eastAsia="仿宋_GB2312" w:cs="Times New Roman"/>
          <w:kern w:val="2"/>
          <w:sz w:val="32"/>
          <w:szCs w:val="32"/>
          <w:highlight w:val="none"/>
          <w:lang w:val="zh-CN" w:eastAsia="zh-CN" w:bidi="ar-SA"/>
        </w:rPr>
        <w:t>万元，实际支出</w:t>
      </w:r>
      <w:r>
        <w:rPr>
          <w:rFonts w:hint="eastAsia" w:ascii="仿宋_GB2312" w:hAnsi="Calibri" w:eastAsia="仿宋_GB2312" w:cs="Times New Roman"/>
          <w:kern w:val="2"/>
          <w:sz w:val="32"/>
          <w:szCs w:val="32"/>
          <w:highlight w:val="none"/>
          <w:lang w:val="en-US" w:eastAsia="zh-CN" w:bidi="ar-SA"/>
        </w:rPr>
        <w:t>4.76</w:t>
      </w:r>
      <w:r>
        <w:rPr>
          <w:rFonts w:hint="eastAsia" w:ascii="仿宋_GB2312" w:hAnsi="Calibri" w:eastAsia="仿宋_GB2312" w:cs="Times New Roman"/>
          <w:kern w:val="2"/>
          <w:sz w:val="32"/>
          <w:szCs w:val="32"/>
          <w:highlight w:val="none"/>
          <w:lang w:val="zh-CN" w:eastAsia="zh-CN" w:bidi="ar-SA"/>
        </w:rPr>
        <w:t>万元，增加</w:t>
      </w:r>
      <w:r>
        <w:rPr>
          <w:rFonts w:hint="eastAsia" w:ascii="仿宋_GB2312" w:hAnsi="Calibri" w:eastAsia="仿宋_GB2312" w:cs="Times New Roman"/>
          <w:kern w:val="2"/>
          <w:sz w:val="32"/>
          <w:szCs w:val="32"/>
          <w:highlight w:val="none"/>
          <w:lang w:val="en-US" w:eastAsia="zh-CN" w:bidi="ar-SA"/>
        </w:rPr>
        <w:t>0.26</w:t>
      </w:r>
      <w:r>
        <w:rPr>
          <w:rFonts w:hint="eastAsia" w:ascii="仿宋_GB2312" w:hAnsi="Calibri" w:eastAsia="仿宋_GB2312" w:cs="Times New Roman"/>
          <w:kern w:val="2"/>
          <w:sz w:val="32"/>
          <w:szCs w:val="32"/>
          <w:highlight w:val="none"/>
          <w:lang w:val="zh-CN" w:eastAsia="zh-CN" w:bidi="ar-SA"/>
        </w:rPr>
        <w:t>万元。超额率</w:t>
      </w:r>
      <w:r>
        <w:rPr>
          <w:rFonts w:hint="eastAsia" w:ascii="仿宋_GB2312" w:hAnsi="Calibri" w:eastAsia="仿宋_GB2312" w:cs="Times New Roman"/>
          <w:kern w:val="2"/>
          <w:sz w:val="32"/>
          <w:szCs w:val="32"/>
          <w:highlight w:val="none"/>
          <w:lang w:val="en-US" w:eastAsia="zh-CN" w:bidi="ar-SA"/>
        </w:rPr>
        <w:t>5.7</w:t>
      </w:r>
      <w:r>
        <w:rPr>
          <w:rFonts w:hint="eastAsia" w:ascii="仿宋_GB2312" w:hAnsi="Calibri" w:eastAsia="仿宋_GB2312" w:cs="Times New Roman"/>
          <w:kern w:val="2"/>
          <w:sz w:val="32"/>
          <w:szCs w:val="32"/>
          <w:highlight w:val="none"/>
          <w:lang w:val="zh-CN" w:eastAsia="zh-CN" w:bidi="ar-SA"/>
        </w:rPr>
        <w:t>%；主要是上年度的招待费到本年度一季度才报账的。全年未购置公务用车，“三公”经费总体控制较好。</w:t>
      </w:r>
    </w:p>
    <w:p>
      <w:pPr>
        <w:widowControl/>
        <w:spacing w:line="500" w:lineRule="atLeast"/>
        <w:ind w:firstLine="640" w:firstLineChars="200"/>
        <w:jc w:val="left"/>
        <w:rPr>
          <w:rFonts w:hint="eastAsia" w:ascii="仿宋_GB2312" w:hAnsi="Calibri" w:eastAsia="仿宋_GB2312" w:cs="Times New Roman"/>
          <w:kern w:val="2"/>
          <w:sz w:val="32"/>
          <w:szCs w:val="32"/>
          <w:highlight w:val="none"/>
          <w:lang w:val="zh-CN" w:eastAsia="zh-CN" w:bidi="ar-SA"/>
        </w:rPr>
      </w:pPr>
      <w:r>
        <w:rPr>
          <w:rFonts w:hint="eastAsia" w:ascii="仿宋_GB2312" w:hAnsi="Calibri" w:eastAsia="仿宋_GB2312" w:cs="Times New Roman"/>
          <w:kern w:val="2"/>
          <w:sz w:val="32"/>
          <w:szCs w:val="32"/>
          <w:highlight w:val="none"/>
          <w:lang w:val="zh-CN" w:eastAsia="zh-CN" w:bidi="ar-SA"/>
        </w:rPr>
        <w:t>“三公”经费预决算情况             （单位：万元）</w:t>
      </w:r>
    </w:p>
    <w:tbl>
      <w:tblPr>
        <w:tblStyle w:val="7"/>
        <w:tblpPr w:leftFromText="180" w:rightFromText="180" w:vertAnchor="text" w:horzAnchor="page" w:tblpX="1295" w:tblpY="135"/>
        <w:tblOverlap w:val="never"/>
        <w:tblW w:w="9980" w:type="dxa"/>
        <w:tblInd w:w="0" w:type="dxa"/>
        <w:tblLayout w:type="fixed"/>
        <w:tblCellMar>
          <w:top w:w="0" w:type="dxa"/>
          <w:left w:w="0" w:type="dxa"/>
          <w:bottom w:w="0" w:type="dxa"/>
          <w:right w:w="0" w:type="dxa"/>
        </w:tblCellMar>
      </w:tblPr>
      <w:tblGrid>
        <w:gridCol w:w="1624"/>
        <w:gridCol w:w="1336"/>
        <w:gridCol w:w="1395"/>
        <w:gridCol w:w="1440"/>
        <w:gridCol w:w="1350"/>
        <w:gridCol w:w="1440"/>
        <w:gridCol w:w="1395"/>
      </w:tblGrid>
      <w:tr>
        <w:tblPrEx>
          <w:tblCellMar>
            <w:top w:w="0" w:type="dxa"/>
            <w:left w:w="0" w:type="dxa"/>
            <w:bottom w:w="0" w:type="dxa"/>
            <w:right w:w="0" w:type="dxa"/>
          </w:tblCellMar>
        </w:tblPrEx>
        <w:trPr>
          <w:trHeight w:val="454" w:hRule="exact"/>
        </w:trPr>
        <w:tc>
          <w:tcPr>
            <w:tcW w:w="1624"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费用项目</w:t>
            </w:r>
          </w:p>
        </w:tc>
        <w:tc>
          <w:tcPr>
            <w:tcW w:w="2731"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预算金额</w:t>
            </w:r>
          </w:p>
        </w:tc>
        <w:tc>
          <w:tcPr>
            <w:tcW w:w="2790"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决算金额</w:t>
            </w:r>
          </w:p>
        </w:tc>
        <w:tc>
          <w:tcPr>
            <w:tcW w:w="2835"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增加额（预-决）</w:t>
            </w:r>
          </w:p>
        </w:tc>
      </w:tr>
      <w:tr>
        <w:tblPrEx>
          <w:tblCellMar>
            <w:top w:w="0" w:type="dxa"/>
            <w:left w:w="0" w:type="dxa"/>
            <w:bottom w:w="0" w:type="dxa"/>
            <w:right w:w="0" w:type="dxa"/>
          </w:tblCellMar>
        </w:tblPrEx>
        <w:trPr>
          <w:trHeight w:val="1262" w:hRule="exact"/>
        </w:trPr>
        <w:tc>
          <w:tcPr>
            <w:tcW w:w="162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p>
        </w:tc>
        <w:tc>
          <w:tcPr>
            <w:tcW w:w="13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基本支出</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项目支出</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基本支出</w:t>
            </w:r>
          </w:p>
        </w:tc>
        <w:tc>
          <w:tcPr>
            <w:tcW w:w="13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项目支出</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基本支出</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项目支出</w:t>
            </w:r>
          </w:p>
        </w:tc>
      </w:tr>
      <w:tr>
        <w:tblPrEx>
          <w:tblCellMar>
            <w:top w:w="0" w:type="dxa"/>
            <w:left w:w="0" w:type="dxa"/>
            <w:bottom w:w="0" w:type="dxa"/>
            <w:right w:w="0" w:type="dxa"/>
          </w:tblCellMar>
        </w:tblPrEx>
        <w:trPr>
          <w:trHeight w:val="584" w:hRule="exact"/>
        </w:trPr>
        <w:tc>
          <w:tcPr>
            <w:tcW w:w="162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公务接待</w:t>
            </w:r>
          </w:p>
        </w:tc>
        <w:tc>
          <w:tcPr>
            <w:tcW w:w="13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28"/>
                <w:szCs w:val="28"/>
                <w:highlight w:val="none"/>
                <w:lang w:val="en-US" w:eastAsia="zh-CN" w:bidi="ar-SA"/>
              </w:rPr>
            </w:pPr>
            <w:r>
              <w:rPr>
                <w:rFonts w:hint="eastAsia" w:ascii="仿宋_GB2312" w:hAnsi="Calibri" w:eastAsia="仿宋_GB2312" w:cs="Times New Roman"/>
                <w:kern w:val="2"/>
                <w:sz w:val="28"/>
                <w:szCs w:val="28"/>
                <w:highlight w:val="none"/>
                <w:lang w:val="en-US" w:eastAsia="zh-CN" w:bidi="ar-SA"/>
              </w:rPr>
              <w:t>4.5</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28"/>
                <w:szCs w:val="28"/>
                <w:highlight w:val="none"/>
                <w:lang w:val="en-US" w:eastAsia="zh-CN" w:bidi="ar-SA"/>
              </w:rPr>
            </w:pPr>
            <w:r>
              <w:rPr>
                <w:rFonts w:hint="eastAsia" w:ascii="仿宋_GB2312" w:hAnsi="Calibri" w:eastAsia="仿宋_GB2312" w:cs="Times New Roman"/>
                <w:kern w:val="2"/>
                <w:sz w:val="28"/>
                <w:szCs w:val="28"/>
                <w:highlight w:val="none"/>
                <w:lang w:val="en-US" w:eastAsia="zh-CN" w:bidi="ar-SA"/>
              </w:rPr>
              <w:t>4.76</w:t>
            </w:r>
          </w:p>
        </w:tc>
        <w:tc>
          <w:tcPr>
            <w:tcW w:w="13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28"/>
                <w:szCs w:val="28"/>
                <w:highlight w:val="none"/>
                <w:lang w:val="en-US" w:eastAsia="zh-CN" w:bidi="ar-SA"/>
              </w:rPr>
            </w:pPr>
            <w:r>
              <w:rPr>
                <w:rFonts w:hint="eastAsia" w:ascii="仿宋_GB2312" w:hAnsi="Calibri" w:eastAsia="仿宋_GB2312" w:cs="Times New Roman"/>
                <w:kern w:val="2"/>
                <w:sz w:val="28"/>
                <w:szCs w:val="28"/>
                <w:highlight w:val="none"/>
                <w:lang w:val="zh-CN" w:eastAsia="zh-CN" w:bidi="ar-SA"/>
              </w:rPr>
              <w:t>-</w:t>
            </w:r>
            <w:r>
              <w:rPr>
                <w:rFonts w:hint="eastAsia" w:ascii="仿宋_GB2312" w:hAnsi="Calibri" w:eastAsia="仿宋_GB2312" w:cs="Times New Roman"/>
                <w:kern w:val="2"/>
                <w:sz w:val="28"/>
                <w:szCs w:val="28"/>
                <w:highlight w:val="none"/>
                <w:lang w:val="en-US" w:eastAsia="zh-CN" w:bidi="ar-SA"/>
              </w:rPr>
              <w:t>0.26</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p>
        </w:tc>
      </w:tr>
      <w:tr>
        <w:tblPrEx>
          <w:tblCellMar>
            <w:top w:w="0" w:type="dxa"/>
            <w:left w:w="0" w:type="dxa"/>
            <w:bottom w:w="0" w:type="dxa"/>
            <w:right w:w="0" w:type="dxa"/>
          </w:tblCellMar>
        </w:tblPrEx>
        <w:trPr>
          <w:trHeight w:val="509" w:hRule="exact"/>
        </w:trPr>
        <w:tc>
          <w:tcPr>
            <w:tcW w:w="162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公车运行</w:t>
            </w:r>
          </w:p>
        </w:tc>
        <w:tc>
          <w:tcPr>
            <w:tcW w:w="13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p>
        </w:tc>
      </w:tr>
      <w:tr>
        <w:tblPrEx>
          <w:tblCellMar>
            <w:top w:w="0" w:type="dxa"/>
            <w:left w:w="0" w:type="dxa"/>
            <w:bottom w:w="0" w:type="dxa"/>
            <w:right w:w="0" w:type="dxa"/>
          </w:tblCellMar>
        </w:tblPrEx>
        <w:trPr>
          <w:trHeight w:val="554" w:hRule="exact"/>
        </w:trPr>
        <w:tc>
          <w:tcPr>
            <w:tcW w:w="162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公车购置</w:t>
            </w:r>
          </w:p>
        </w:tc>
        <w:tc>
          <w:tcPr>
            <w:tcW w:w="13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p>
        </w:tc>
      </w:tr>
      <w:tr>
        <w:tblPrEx>
          <w:tblCellMar>
            <w:top w:w="0" w:type="dxa"/>
            <w:left w:w="0" w:type="dxa"/>
            <w:bottom w:w="0" w:type="dxa"/>
            <w:right w:w="0" w:type="dxa"/>
          </w:tblCellMar>
        </w:tblPrEx>
        <w:trPr>
          <w:trHeight w:val="479" w:hRule="exact"/>
        </w:trPr>
        <w:tc>
          <w:tcPr>
            <w:tcW w:w="162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因公出国</w:t>
            </w:r>
          </w:p>
        </w:tc>
        <w:tc>
          <w:tcPr>
            <w:tcW w:w="13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0</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p>
        </w:tc>
      </w:tr>
      <w:tr>
        <w:tblPrEx>
          <w:tblCellMar>
            <w:top w:w="0" w:type="dxa"/>
            <w:left w:w="0" w:type="dxa"/>
            <w:bottom w:w="0" w:type="dxa"/>
            <w:right w:w="0" w:type="dxa"/>
          </w:tblCellMar>
        </w:tblPrEx>
        <w:trPr>
          <w:trHeight w:val="634" w:hRule="exact"/>
        </w:trPr>
        <w:tc>
          <w:tcPr>
            <w:tcW w:w="162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r>
              <w:rPr>
                <w:rFonts w:hint="eastAsia" w:ascii="仿宋_GB2312" w:hAnsi="Calibri" w:eastAsia="仿宋_GB2312" w:cs="Times New Roman"/>
                <w:kern w:val="2"/>
                <w:sz w:val="28"/>
                <w:szCs w:val="28"/>
                <w:highlight w:val="none"/>
                <w:lang w:val="zh-CN" w:eastAsia="zh-CN" w:bidi="ar-SA"/>
              </w:rPr>
              <w:t>合计</w:t>
            </w:r>
          </w:p>
        </w:tc>
        <w:tc>
          <w:tcPr>
            <w:tcW w:w="13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default" w:ascii="仿宋_GB2312" w:hAnsi="Calibri" w:eastAsia="仿宋_GB2312" w:cs="Times New Roman"/>
                <w:kern w:val="2"/>
                <w:sz w:val="28"/>
                <w:szCs w:val="28"/>
                <w:highlight w:val="none"/>
                <w:lang w:val="en-US" w:eastAsia="zh-CN" w:bidi="ar-SA"/>
              </w:rPr>
            </w:pPr>
            <w:r>
              <w:rPr>
                <w:rFonts w:hint="eastAsia" w:ascii="仿宋_GB2312" w:hAnsi="Calibri" w:eastAsia="仿宋_GB2312" w:cs="Times New Roman"/>
                <w:kern w:val="2"/>
                <w:sz w:val="28"/>
                <w:szCs w:val="28"/>
                <w:highlight w:val="none"/>
                <w:lang w:val="en-US" w:eastAsia="zh-CN" w:bidi="ar-SA"/>
              </w:rPr>
              <w:t>4.5</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28"/>
                <w:szCs w:val="28"/>
                <w:highlight w:val="none"/>
                <w:lang w:val="en-US" w:eastAsia="zh-CN" w:bidi="ar-SA"/>
              </w:rPr>
            </w:pPr>
            <w:r>
              <w:rPr>
                <w:rFonts w:hint="eastAsia" w:ascii="仿宋_GB2312" w:hAnsi="Calibri" w:eastAsia="仿宋_GB2312" w:cs="Times New Roman"/>
                <w:kern w:val="2"/>
                <w:sz w:val="28"/>
                <w:szCs w:val="28"/>
                <w:highlight w:val="none"/>
                <w:lang w:val="en-US" w:eastAsia="zh-CN" w:bidi="ar-SA"/>
              </w:rPr>
              <w:t>4.76</w:t>
            </w:r>
          </w:p>
        </w:tc>
        <w:tc>
          <w:tcPr>
            <w:tcW w:w="13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center"/>
              <w:rPr>
                <w:rFonts w:hint="eastAsia" w:ascii="仿宋_GB2312" w:hAnsi="Calibri" w:eastAsia="仿宋_GB2312" w:cs="Times New Roman"/>
                <w:kern w:val="2"/>
                <w:sz w:val="28"/>
                <w:szCs w:val="28"/>
                <w:highlight w:val="none"/>
                <w:lang w:val="zh-CN" w:eastAsia="zh-CN" w:bidi="ar-SA"/>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jc w:val="center"/>
              <w:rPr>
                <w:rFonts w:hint="default" w:ascii="仿宋_GB2312" w:hAnsi="Calibri" w:eastAsia="仿宋_GB2312" w:cs="Times New Roman"/>
                <w:kern w:val="2"/>
                <w:sz w:val="28"/>
                <w:szCs w:val="28"/>
                <w:highlight w:val="none"/>
                <w:lang w:val="en-US" w:eastAsia="zh-CN" w:bidi="ar-SA"/>
              </w:rPr>
            </w:pPr>
            <w:r>
              <w:rPr>
                <w:rFonts w:hint="eastAsia" w:ascii="仿宋_GB2312" w:hAnsi="Calibri" w:eastAsia="仿宋_GB2312" w:cs="Times New Roman"/>
                <w:kern w:val="2"/>
                <w:sz w:val="28"/>
                <w:szCs w:val="28"/>
                <w:highlight w:val="none"/>
                <w:lang w:val="zh-CN" w:eastAsia="zh-CN" w:bidi="ar-SA"/>
              </w:rPr>
              <w:t>-</w:t>
            </w:r>
            <w:r>
              <w:rPr>
                <w:rFonts w:hint="eastAsia" w:ascii="仿宋_GB2312" w:hAnsi="Calibri" w:eastAsia="仿宋_GB2312" w:cs="Times New Roman"/>
                <w:kern w:val="2"/>
                <w:sz w:val="28"/>
                <w:szCs w:val="28"/>
                <w:highlight w:val="none"/>
                <w:lang w:val="en-US" w:eastAsia="zh-CN" w:bidi="ar-SA"/>
              </w:rPr>
              <w:t>0.26</w:t>
            </w:r>
          </w:p>
        </w:tc>
        <w:tc>
          <w:tcPr>
            <w:tcW w:w="13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500" w:lineRule="atLeast"/>
              <w:ind w:firstLine="560" w:firstLineChars="200"/>
              <w:jc w:val="left"/>
              <w:rPr>
                <w:rFonts w:hint="eastAsia" w:ascii="仿宋_GB2312" w:hAnsi="Calibri" w:eastAsia="仿宋_GB2312" w:cs="Times New Roman"/>
                <w:kern w:val="2"/>
                <w:sz w:val="28"/>
                <w:szCs w:val="28"/>
                <w:highlight w:val="none"/>
                <w:lang w:val="zh-CN" w:eastAsia="zh-CN" w:bidi="ar-SA"/>
              </w:rPr>
            </w:pPr>
          </w:p>
        </w:tc>
      </w:tr>
    </w:tbl>
    <w:p>
      <w:pPr>
        <w:pStyle w:val="12"/>
        <w:numPr>
          <w:ilvl w:val="0"/>
          <w:numId w:val="4"/>
        </w:numPr>
        <w:spacing w:line="570" w:lineRule="exact"/>
        <w:ind w:firstLine="640"/>
        <w:outlineLvl w:val="1"/>
        <w:rPr>
          <w:rFonts w:ascii="Times New Roman" w:hAnsi="Times New Roman" w:eastAsia="仿宋_GB2312"/>
          <w:sz w:val="32"/>
          <w:szCs w:val="32"/>
          <w:highlight w:val="none"/>
        </w:rPr>
      </w:pPr>
      <w:r>
        <w:rPr>
          <w:rFonts w:ascii="Times New Roman" w:hAnsi="Times New Roman" w:eastAsia="仿宋_GB2312"/>
          <w:sz w:val="32"/>
          <w:szCs w:val="32"/>
          <w:highlight w:val="none"/>
        </w:rPr>
        <w:t>项目支出情况</w:t>
      </w:r>
    </w:p>
    <w:p>
      <w:pPr>
        <w:pStyle w:val="12"/>
        <w:spacing w:line="570" w:lineRule="exact"/>
        <w:ind w:firstLine="640"/>
        <w:jc w:val="left"/>
        <w:outlineLvl w:val="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市场监管工作经费资金556.5万元安排落实情况：1、“两网”（药品监督和供应）建设经费4万元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2、标准化食堂建设“互联网+明厨亮灶”奖补经费30万元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3、产业发展引导基金200万元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4、工业产品监督抽检样品购买经费20万元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5、工业企业产品质量定期检验经费15万元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6、检验鉴定专项经费20万元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7、农产品、食品抽检购买服务经费150万元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8、食品安全示范县和农产品质量安全县创建（双安双创）经费24万元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9、监督管理事务上级补助资金52.4万元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10、重点业务工作经费41万元</w:t>
      </w:r>
      <w:r>
        <w:rPr>
          <w:rFonts w:hint="eastAsia" w:ascii="Times New Roman" w:hAnsi="Times New Roman" w:eastAsia="仿宋_GB2312"/>
          <w:sz w:val="32"/>
          <w:szCs w:val="32"/>
          <w:highlight w:val="none"/>
          <w:lang w:eastAsia="zh-CN"/>
        </w:rPr>
        <w:t>。</w:t>
      </w:r>
    </w:p>
    <w:p>
      <w:pPr>
        <w:pStyle w:val="12"/>
        <w:numPr>
          <w:ilvl w:val="0"/>
          <w:numId w:val="0"/>
        </w:numPr>
        <w:spacing w:line="570" w:lineRule="exact"/>
        <w:ind w:left="640" w:leftChars="0"/>
        <w:jc w:val="left"/>
        <w:outlineLvl w:val="0"/>
        <w:rPr>
          <w:rFonts w:hint="eastAsia" w:ascii="Times New Roman" w:hAnsi="Times New Roman" w:eastAsia="黑体"/>
          <w:sz w:val="32"/>
          <w:szCs w:val="32"/>
          <w:highlight w:val="none"/>
        </w:rPr>
      </w:pPr>
      <w:r>
        <w:rPr>
          <w:rFonts w:hint="eastAsia" w:ascii="Times New Roman" w:hAnsi="Times New Roman" w:eastAsia="黑体"/>
          <w:sz w:val="32"/>
          <w:szCs w:val="32"/>
          <w:highlight w:val="none"/>
          <w:lang w:eastAsia="zh-CN"/>
        </w:rPr>
        <w:t>三、</w:t>
      </w:r>
      <w:r>
        <w:rPr>
          <w:rFonts w:ascii="Times New Roman" w:hAnsi="Times New Roman" w:eastAsia="黑体"/>
          <w:sz w:val="32"/>
          <w:szCs w:val="32"/>
          <w:highlight w:val="none"/>
        </w:rPr>
        <w:t>政府性基金预算支出情况</w:t>
      </w:r>
      <w:r>
        <w:rPr>
          <w:rFonts w:hint="eastAsia" w:ascii="Times New Roman" w:hAnsi="Times New Roman" w:eastAsia="黑体"/>
          <w:sz w:val="32"/>
          <w:szCs w:val="32"/>
          <w:highlight w:val="none"/>
        </w:rPr>
        <w:t>。</w:t>
      </w:r>
    </w:p>
    <w:p>
      <w:pPr>
        <w:pStyle w:val="12"/>
        <w:numPr>
          <w:ilvl w:val="0"/>
          <w:numId w:val="0"/>
        </w:numPr>
        <w:spacing w:line="570" w:lineRule="exact"/>
        <w:ind w:left="640" w:leftChars="0"/>
        <w:jc w:val="left"/>
        <w:outlineLvl w:val="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我单位无政府性基金预算支出情况</w:t>
      </w:r>
    </w:p>
    <w:p>
      <w:pPr>
        <w:pStyle w:val="12"/>
        <w:numPr>
          <w:ilvl w:val="0"/>
          <w:numId w:val="0"/>
        </w:numPr>
        <w:spacing w:line="570" w:lineRule="exact"/>
        <w:ind w:left="640" w:leftChars="0"/>
        <w:jc w:val="left"/>
        <w:outlineLvl w:val="0"/>
        <w:rPr>
          <w:rFonts w:hint="eastAsia" w:ascii="Times New Roman" w:hAnsi="Times New Roman" w:eastAsia="黑体"/>
          <w:sz w:val="32"/>
          <w:szCs w:val="32"/>
          <w:highlight w:val="none"/>
        </w:rPr>
      </w:pPr>
      <w:r>
        <w:rPr>
          <w:rFonts w:hint="eastAsia" w:ascii="Times New Roman" w:hAnsi="Times New Roman" w:eastAsia="黑体"/>
          <w:sz w:val="32"/>
          <w:szCs w:val="32"/>
          <w:highlight w:val="none"/>
          <w:lang w:eastAsia="zh-CN"/>
        </w:rPr>
        <w:t>四、</w:t>
      </w:r>
      <w:r>
        <w:rPr>
          <w:rFonts w:ascii="Times New Roman" w:hAnsi="Times New Roman" w:eastAsia="黑体"/>
          <w:sz w:val="32"/>
          <w:szCs w:val="32"/>
          <w:highlight w:val="none"/>
        </w:rPr>
        <w:t>国有资本经营预算支出情况</w:t>
      </w:r>
      <w:r>
        <w:rPr>
          <w:rFonts w:hint="eastAsia" w:ascii="Times New Roman" w:hAnsi="Times New Roman" w:eastAsia="黑体"/>
          <w:sz w:val="32"/>
          <w:szCs w:val="32"/>
          <w:highlight w:val="none"/>
        </w:rPr>
        <w:t>。</w:t>
      </w:r>
    </w:p>
    <w:p>
      <w:pPr>
        <w:pStyle w:val="12"/>
        <w:numPr>
          <w:ilvl w:val="0"/>
          <w:numId w:val="0"/>
        </w:numPr>
        <w:spacing w:line="570" w:lineRule="exact"/>
        <w:ind w:left="640" w:leftChars="0"/>
        <w:jc w:val="left"/>
        <w:outlineLvl w:val="0"/>
        <w:rPr>
          <w:rFonts w:hint="eastAsia" w:ascii="Times New Roman" w:hAnsi="Times New Roman" w:eastAsia="黑体"/>
          <w:sz w:val="32"/>
          <w:szCs w:val="32"/>
          <w:highlight w:val="none"/>
        </w:rPr>
      </w:pPr>
      <w:r>
        <w:rPr>
          <w:rFonts w:hint="eastAsia" w:ascii="Times New Roman" w:hAnsi="Times New Roman" w:eastAsia="仿宋_GB2312"/>
          <w:color w:val="000000"/>
          <w:sz w:val="32"/>
          <w:szCs w:val="32"/>
          <w:highlight w:val="none"/>
        </w:rPr>
        <w:t>我单位无国有资本经营预算支出情况</w:t>
      </w:r>
    </w:p>
    <w:p>
      <w:pPr>
        <w:pStyle w:val="12"/>
        <w:numPr>
          <w:ilvl w:val="0"/>
          <w:numId w:val="5"/>
        </w:numPr>
        <w:spacing w:line="570" w:lineRule="exact"/>
        <w:ind w:firstLine="640"/>
        <w:jc w:val="left"/>
        <w:outlineLvl w:val="0"/>
        <w:rPr>
          <w:rFonts w:hint="eastAsia" w:ascii="Times New Roman" w:hAnsi="Times New Roman" w:eastAsia="黑体"/>
          <w:sz w:val="32"/>
          <w:szCs w:val="32"/>
          <w:highlight w:val="none"/>
        </w:rPr>
      </w:pPr>
      <w:r>
        <w:rPr>
          <w:rFonts w:ascii="Times New Roman" w:hAnsi="Times New Roman" w:eastAsia="黑体"/>
          <w:sz w:val="32"/>
          <w:szCs w:val="32"/>
          <w:highlight w:val="none"/>
        </w:rPr>
        <w:t>社会保险基金预算支出情况</w:t>
      </w:r>
      <w:r>
        <w:rPr>
          <w:rFonts w:hint="eastAsia" w:ascii="Times New Roman" w:hAnsi="Times New Roman" w:eastAsia="黑体"/>
          <w:sz w:val="32"/>
          <w:szCs w:val="32"/>
          <w:highlight w:val="none"/>
        </w:rPr>
        <w:t>。</w:t>
      </w:r>
    </w:p>
    <w:p>
      <w:pPr>
        <w:pStyle w:val="12"/>
        <w:numPr>
          <w:ilvl w:val="0"/>
          <w:numId w:val="0"/>
        </w:numPr>
        <w:spacing w:line="570" w:lineRule="exact"/>
        <w:ind w:firstLine="640" w:firstLineChars="200"/>
        <w:jc w:val="left"/>
        <w:outlineLvl w:val="0"/>
        <w:rPr>
          <w:rFonts w:hint="eastAsia" w:ascii="Times New Roman" w:hAnsi="Times New Roman" w:eastAsia="黑体"/>
          <w:sz w:val="32"/>
          <w:szCs w:val="32"/>
          <w:highlight w:val="none"/>
        </w:rPr>
      </w:pPr>
      <w:r>
        <w:rPr>
          <w:rFonts w:hint="eastAsia" w:ascii="Times New Roman" w:hAnsi="Times New Roman" w:eastAsia="仿宋_GB2312"/>
          <w:color w:val="000000"/>
          <w:sz w:val="32"/>
          <w:szCs w:val="32"/>
          <w:highlight w:val="none"/>
        </w:rPr>
        <w:t>我单位无社会保险基金预算支出情况</w:t>
      </w:r>
    </w:p>
    <w:p>
      <w:pPr>
        <w:spacing w:line="570" w:lineRule="exact"/>
        <w:ind w:firstLine="645"/>
        <w:jc w:val="left"/>
        <w:outlineLvl w:val="0"/>
        <w:rPr>
          <w:rFonts w:eastAsia="黑体"/>
          <w:sz w:val="32"/>
          <w:szCs w:val="32"/>
          <w:highlight w:val="none"/>
        </w:rPr>
      </w:pPr>
      <w:r>
        <w:rPr>
          <w:rFonts w:eastAsia="黑体"/>
          <w:sz w:val="32"/>
          <w:szCs w:val="32"/>
          <w:highlight w:val="none"/>
        </w:rPr>
        <w:t>六、部门整体支出绩效情况</w:t>
      </w:r>
    </w:p>
    <w:p>
      <w:pPr>
        <w:pStyle w:val="12"/>
        <w:spacing w:line="570" w:lineRule="exact"/>
        <w:ind w:firstLine="640"/>
        <w:jc w:val="left"/>
        <w:outlineLvl w:val="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持续开展优化营商环境行动。一是“宽环境”。推行“容缺受理”制度，简并现场登记环节，将现场审核改为告知承诺制，先领照后审核；将“一审一核”制调整为“一人办结”制，只需跑一个窗口即可办好所有业务。企业开办环节缩减到3个、提交材料精减到6份、办结时限由2个工作日压缩至1个工作日，个体工商户设立登记即来即办。今年来，新设企业614户、新发展个体工商户2377户，市场主体同比增长13.8%；新办理药品经营许可33家，食品经营许可1049户（食品销售835户、餐饮服务156户、单位食堂58户），二是“抓改革”。全面推进一业一照改革，从7月1日起，把市场主体申办营业执照、特种设备使用登记、食药械经营许可等多个事项，按照“1＋X”组合为“一件事”一次办，实现“一个行业、一张执照、一天办结、一码涵盖、一照通行”，并在全国首创将特种设备使用登记纳入改革范围，截止目前，发放“一业一照”营业执照196个。加快电子营业执照推广应用，全程电子化新设立企业279户，占比达46%；三是“优服务”。降低创业成本，推出刻章“政府买单，企业免单”新模式，在企业领取营业执照时，一并发放一套免费的印章，为新办企业节省费用280元，截止目前，已为30家企业提供免费印章刻制服务。全局系统“一件事一次办”办结1604件，办结率100%。完善企业退出服务，建立容错机制，畅通简易注销登记渠道，办理简易注销登记 137户。四是“严监管”。全面推进“双随机、一公开”监管，打通监管“最后一公里”，实现了“双随机、一公开”监管在市场监管领域全覆盖，实施双随机抽查计划25个、抽取检查对象620户，为全县各类市场主体健康发展构建了公平有序的竞争环境。全力推进年报工作，企业、个体工商户、农民专业合作社年报率均达到93%以上，被评为全市年报工作先进单位。按照“谁产生、谁提供、谁负责”的原则，共归集县直相关部门涉企信息2475条，其中行政许可2295条、行政处罚180条。强化信用监管，加大对失信企业的惩戒力度，累计列入经营异常名录862户次，13家企业列入严重违法失信企业名单。49户企业申请移出了经营异常名录和严重违法失信企业名单，11户企业通过信用中国进行了信用修复。</w:t>
      </w:r>
    </w:p>
    <w:p>
      <w:pPr>
        <w:pStyle w:val="12"/>
        <w:spacing w:line="570" w:lineRule="exact"/>
        <w:ind w:firstLine="640"/>
        <w:jc w:val="left"/>
        <w:outlineLvl w:val="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实施质量强县战略，服务高质量发展。一是促进质量提升、加强品牌建设。强化标准体系，7家企业规范了企业产品标准，并公示企业产品执行标准32个。加强地方标准建设，“陶岭三味辣椒”、“新田大豆”两项地方标准正式批准并发布实施。鼓励企业创建品牌商标，今年来，全县商标新申请953件，成功注册764件，有效商标总数达4136件，“新田大豆”“新田豆腐”地理标志证明商标、地理标志产品地方标准申报制定有序推进。举办全面质量培训班2期，全县18家企业参培，推动2家企业参加市政府质量奖评选。落实2020年度知识产权战略推进与质量提升奖补政策，为企业申报奖补资金246.4万元。新田县恒丰粮油有限公司《“米大姐”的乡土情》荣获全省品牌故事大赛征文三等奖。二是开展知识产权促进行动。2021年万人有效发明专利拥有量为1.46件（截至11月），专利获得授权160件，其中发明27件、实用新型46件、外观设计87件，新增发明专利授权同比增长1200%。重点培育湖南省普瑞达内装材料有限公司发明专利“导热胶带及导热双面胶带”申报专利奖。激励企业自主创新，组织金融机构同企业进行洽谈专利商标质押融资工作，完成知识产权质押融资1244万元，同比增长3.7%。</w:t>
      </w:r>
    </w:p>
    <w:p>
      <w:pPr>
        <w:pStyle w:val="12"/>
        <w:spacing w:line="570" w:lineRule="exact"/>
        <w:ind w:firstLine="640"/>
        <w:jc w:val="left"/>
        <w:outlineLvl w:val="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遵循“四个最严”要求，劳守安全发展底线。切实加大市场监管力度，盯紧重要时段、关键领域，全县市场监管领域没有发生系统性、源发性、区域性安全事故。一是加强食品质量安全监管。县委、政府主要负责人亲自调度食品安全工作，大力实施食品安全战略，深入开展“护老”“护苗”“三小”“农村假冒伪劣食品”“冷链食品”“网络食品”“粮食加工品”“放心食用植物油”等攻坚行动，发现问题908个，责令整改418个次，处置风险隐患1100多个，查扣问题食品1500余公斤，立案查处食品违法案57件。坚持问题导向，抽检食品706批次、农产品698批次，不合格66批次，强化信息通报，及时公开抽检信息，依法对不合格产品进行核查处置。采取巡查、驻点监管等形式，确保“两会”、“三考”、“党代会”、“农民丰收节”等重大活动期间的食品安全。二是加强“两品一械”安全监管。深入开展“年关守护”、特殊药品、农村药品、化妆品“线上净网线下清源”、化妆品虚假宣传等专项整治及药品监管领域岁末年初安全百日大会战行动，排查及整改“两品一械”安全风险隐患120条，上报“两品一械”不良反应监测报告520份，立案查处“两品一械”违法案34件。三是加强产品质量安全监管。坚持专项检查与日常检查并重，以落实企业主体责任为抓手，开展重点工业产品、消费品质量安全等专项整治行动，抽检食品相关产品、校服、农资、混泥土、汽柴油、水泥、板材等产品82批次，不合格5批次，对不合格的产品依法处置。结合交通顽瘴痼疾专项整治，严厉查处经销商销售不符合新标准、未获得CCC认证的电动车，出具虚假检验检测报告，以及非法改装、拼装、篡改车辆的行为，立案7起。四是加强特种设备安全监察。以“零事故”为目标，狠抓安全隐患大排查、大整治，持续推进特种设备安全专项整治三年行动，推进气瓶信息化建设，开展年关守护、液化石油气瓶安全等专项整治，以液化石油气充装站、大型游乐设施、电站锅炉、压力管道、起重机械、公众场所电梯等关键特种设备为重点，深化隐患排查治理，发现安全风险隐患120余处，下达《特种设备安全监管指令书》102份，立案查处6起。</w:t>
      </w:r>
    </w:p>
    <w:p>
      <w:pPr>
        <w:pStyle w:val="12"/>
        <w:spacing w:line="570" w:lineRule="exact"/>
        <w:ind w:firstLine="640"/>
        <w:jc w:val="left"/>
        <w:outlineLvl w:val="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多举措营造公平有序市场环境。一是扎实开展普法和依法治理创建工作。严格按照“谁执法谁普法”工作要求大力推动法制宣传教育，通过上门宣传、现场宣传、联防联控宣传等形式开展宪法、民法典、食品药品、医疗器械、化妆品、产品质量、知识产权等法律法规宣传80余次，并向企业大力推广。新田县市场监督管理局荣获“2016-2020年永州市依法治理创建活动先进单位”。二是常态化抓好疫情防控工作。加强冷链食品安全监管，对45家冷链食品经营户实施重点监管，“湘冷链”追溯系统注册率100%，首站赋码率100%；检查各类冷链食品经营单位415户次，发现整改各类问题23个，查处不合格冷冻食品1000余公斤，立案2起。严格落实零售药店“四类药品”监测，全县 118  家零售药店全部使用“监测系统”，录入“四类药品”销售信息  9.6 万条；加强疫情物资监管，开展打击非法制售口罩等防护产品专项行动，对我县2家防疫物资生产企业开展监督检查，销毁不合格额温枪1800把、相关配件6箱，货值达90万元。对重点行业从业人员进行摸排，组织接种新冠疫苗，疫苗接种率达100%。三是加强消费者权益保护。开展“守护安全，消费畅通”年主题活动，设立“学雷锋消费维权岗”，进一步畅通消费者投诉举报渠道，切实维护消费者合法权益。今年来，受理电话、短信、来人来访364次，申诉举报187起，办结187起，办结率为100%，成功为为消费者挽回经济损失21.9万元，其中一起床上用品虚假宣传特色案，为36名村民挽回5万多元损失，4起案例被市消委评为特色案例。针对投诉热点、难点、发布消费警示4期，有效地维护了市场稳定。新田县消费者委员会荣获2021年度全市消委组织工作考核先进单位，陈保国被评为湖南省消费维权先进个人。四是继续加大计量免费检定力度。对全县商场超市、集贸市场、加油站、医院、烤烟收购点1642台计量器具进行免费检定，合格率达到97%以上，收缴不合格计量器具9件，并集中销毁。五是着力加强价费监管。强化价格服务和监管职责，不断优化市场消费环境，突出节假日等重点时段、特殊时期价格行为监管，开展重点民生商品、教育、医疗、养老价格收费等专项行动，规范转供电环节收费行为，开展涉企收费专项检查，检查收费单位350余家，责令退费20余万元，立案查处不正当价格违法案5件。六是规范行业市场秩序。深入开展“2021年关守护”、打非治违、2021年民生领域案件查办“铁拳”行动，严厉打击假冒伪劣、虚假宣传、“短斤少两”，强化反垄断与反不正当竞争执法，整治欺行霸市行业乱象，盯紧食品药品、保健食品、婴学用品、钢筋电缆等重点产品以及校园及周边、农村、城乡结合部等重点区域，大力开展各类专项整治行动；加强猪肉质量价格监管，全县猪肉质量得到保障。今年来，共立案124件，罚没入库81.48万余元，收缴假冒伪劣三无产品2200余公斤，其中查处虚假宣传案3件、无证无照经营案10件、虚假违法广告案5件、商标侵权案4件、认证认可案1件。</w:t>
      </w:r>
    </w:p>
    <w:p>
      <w:pPr>
        <w:pStyle w:val="12"/>
        <w:spacing w:line="570" w:lineRule="exact"/>
        <w:ind w:firstLine="640"/>
        <w:jc w:val="left"/>
        <w:outlineLvl w:val="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坚持党建引领，加强队伍能力建设。一是突出政治建设。坚持把党的政治建设摆在首位，开展党史学习教育，党组理论学习中心组集中学习12次，开展党史学习教育专题学习4次、主题党日活动12次、专题讲座1次，4名同志吸收为中共预备党员，2人被评为全县优秀党务工作者，为15名“光荣在党50年”老党员代表颁发了纪念章。二是突出能力建设。通过轮训学习、网络培训、专题培训班、跟班学习等形式，259人次参加各类培训，全面提升干部职工业务素质和依法办事水平。三是突出作风建设。以“我为群众办实事”主题教育为契机，在全局上下开展整治违规吃喝、吃拿卡要、损害营商环境问题专项整治、干部队伍突出问题等专项整治，截止目前，通报问责4人次，干部队伍作风突出问题专项整治成效明显。</w:t>
      </w:r>
    </w:p>
    <w:p>
      <w:pPr>
        <w:pStyle w:val="12"/>
        <w:spacing w:line="570" w:lineRule="exact"/>
        <w:ind w:firstLine="640"/>
        <w:jc w:val="left"/>
        <w:outlineLvl w:val="0"/>
        <w:rPr>
          <w:rFonts w:ascii="Times New Roman" w:hAnsi="Times New Roman" w:eastAsia="黑体"/>
          <w:sz w:val="32"/>
          <w:szCs w:val="32"/>
          <w:highlight w:val="none"/>
        </w:rPr>
      </w:pPr>
      <w:r>
        <w:rPr>
          <w:rFonts w:ascii="Times New Roman" w:hAnsi="Times New Roman" w:eastAsia="黑体"/>
          <w:sz w:val="32"/>
          <w:szCs w:val="32"/>
          <w:highlight w:val="none"/>
        </w:rPr>
        <w:t>七、存在的问题及原因分析</w:t>
      </w:r>
    </w:p>
    <w:p>
      <w:pPr>
        <w:spacing w:line="570" w:lineRule="exact"/>
        <w:ind w:firstLine="640" w:firstLineChars="200"/>
        <w:jc w:val="left"/>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（1）我县市场监督管理局人员多，刚性支出大；职能多，监管对象多，监管执法成本大，县级财政保障不足，经费缺口大。</w:t>
      </w:r>
    </w:p>
    <w:p>
      <w:pPr>
        <w:spacing w:line="570" w:lineRule="exact"/>
        <w:ind w:firstLine="640" w:firstLineChars="200"/>
        <w:jc w:val="left"/>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（2）办公设施设备陈旧，有的工作人员上班还没有配置电脑，严重影响了正常工作。由于县市场监督管理局工作经费严重短缺，无法购置新的电脑等办公设备。</w:t>
      </w:r>
    </w:p>
    <w:p>
      <w:pPr>
        <w:spacing w:line="600" w:lineRule="exact"/>
        <w:ind w:firstLine="640" w:firstLineChars="200"/>
        <w:rPr>
          <w:rFonts w:ascii="Times New Roman" w:hAnsi="Times New Roman" w:eastAsia="黑体" w:cs="Times New Roman"/>
          <w:kern w:val="2"/>
          <w:sz w:val="32"/>
          <w:szCs w:val="32"/>
          <w:highlight w:val="none"/>
          <w:lang w:val="en-US" w:eastAsia="zh-CN" w:bidi="ar-SA"/>
        </w:rPr>
      </w:pPr>
      <w:r>
        <w:rPr>
          <w:rFonts w:ascii="Times New Roman" w:hAnsi="Times New Roman" w:eastAsia="黑体" w:cs="Times New Roman"/>
          <w:kern w:val="2"/>
          <w:sz w:val="32"/>
          <w:szCs w:val="32"/>
          <w:highlight w:val="none"/>
          <w:lang w:val="en-US" w:eastAsia="zh-CN" w:bidi="ar-SA"/>
        </w:rPr>
        <w:t>八、下一步改进措施</w:t>
      </w:r>
    </w:p>
    <w:p>
      <w:pPr>
        <w:spacing w:line="570" w:lineRule="exact"/>
        <w:ind w:firstLine="640" w:firstLineChars="200"/>
        <w:jc w:val="left"/>
        <w:outlineLvl w:val="0"/>
        <w:rPr>
          <w:rFonts w:hint="eastAsia"/>
          <w:lang w:val="en-US" w:eastAsia="zh-CN"/>
        </w:rPr>
      </w:pPr>
      <w:r>
        <w:rPr>
          <w:rFonts w:hint="eastAsia" w:ascii="Times New Roman" w:hAnsi="Times New Roman" w:eastAsia="仿宋_GB2312" w:cs="Times New Roman"/>
          <w:kern w:val="2"/>
          <w:sz w:val="32"/>
          <w:szCs w:val="32"/>
          <w:highlight w:val="none"/>
          <w:lang w:val="en-US" w:eastAsia="zh-CN" w:bidi="ar-SA"/>
        </w:rPr>
        <w:t>建议财政部门将县市场监督管理局购置执法车辆的经费约80万元纳入财政预算，同时改善办公条件和办公环境，以提高工作效率。</w:t>
      </w:r>
    </w:p>
    <w:p>
      <w:pPr>
        <w:numPr>
          <w:ilvl w:val="0"/>
          <w:numId w:val="0"/>
        </w:numPr>
        <w:spacing w:line="570" w:lineRule="exact"/>
        <w:ind w:firstLine="640" w:firstLineChars="200"/>
        <w:jc w:val="left"/>
        <w:outlineLvl w:val="0"/>
        <w:rPr>
          <w:rFonts w:hint="eastAsia" w:ascii="Times New Roman" w:hAnsi="Times New Roman" w:eastAsia="仿宋_GB2312" w:cs="Times New Roman"/>
          <w:b w:val="0"/>
          <w:bCs w:val="0"/>
          <w:kern w:val="2"/>
          <w:sz w:val="32"/>
          <w:szCs w:val="32"/>
          <w:highlight w:val="none"/>
          <w:lang w:val="en-US" w:eastAsia="zh-CN" w:bidi="ar-SA"/>
        </w:rPr>
      </w:pPr>
      <w:r>
        <w:rPr>
          <w:rFonts w:hint="eastAsia" w:eastAsia="黑体"/>
          <w:sz w:val="32"/>
          <w:szCs w:val="32"/>
          <w:highlight w:val="none"/>
          <w:lang w:eastAsia="zh-CN"/>
        </w:rPr>
        <w:t>九、</w:t>
      </w:r>
      <w:r>
        <w:rPr>
          <w:rFonts w:eastAsia="黑体"/>
          <w:sz w:val="32"/>
          <w:szCs w:val="32"/>
          <w:highlight w:val="none"/>
        </w:rPr>
        <w:t>部门整体支出绩效自评结果拟应用和公开情况</w:t>
      </w:r>
    </w:p>
    <w:p>
      <w:pPr>
        <w:numPr>
          <w:ilvl w:val="0"/>
          <w:numId w:val="0"/>
        </w:numPr>
        <w:spacing w:line="570" w:lineRule="exact"/>
        <w:ind w:firstLine="640" w:firstLineChars="200"/>
        <w:jc w:val="left"/>
        <w:outlineLvl w:val="0"/>
        <w:rPr>
          <w:rFonts w:hint="eastAsia"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val="0"/>
          <w:bCs w:val="0"/>
          <w:kern w:val="2"/>
          <w:sz w:val="32"/>
          <w:szCs w:val="32"/>
          <w:highlight w:val="none"/>
          <w:lang w:val="en-US" w:eastAsia="zh-CN" w:bidi="ar-SA"/>
        </w:rPr>
        <w:t>评价结论：新田县市场监督管理局财政资金的管理使用比较规范，贯彻落实厉行节约、严控“三公”经费、降低一般运行经费、加强项目支出管理等，成绩显著，2022年县市场监督管理局财政资金绩效使用综合自我评价100分。</w:t>
      </w:r>
    </w:p>
    <w:p>
      <w:pPr>
        <w:spacing w:after="120" w:afterLines="50" w:line="600" w:lineRule="exact"/>
        <w:rPr>
          <w:rFonts w:eastAsia="黑体"/>
          <w:sz w:val="32"/>
          <w:szCs w:val="32"/>
          <w:highlight w:val="none"/>
        </w:rPr>
      </w:pPr>
    </w:p>
    <w:p>
      <w:pPr>
        <w:spacing w:after="120" w:afterLines="50" w:line="600" w:lineRule="exact"/>
        <w:rPr>
          <w:rFonts w:eastAsia="黑体"/>
          <w:sz w:val="32"/>
          <w:szCs w:val="32"/>
          <w:highlight w:val="none"/>
        </w:rPr>
      </w:pPr>
    </w:p>
    <w:p>
      <w:pPr>
        <w:spacing w:line="570" w:lineRule="exact"/>
        <w:ind w:firstLine="5120" w:firstLineChars="1600"/>
        <w:jc w:val="left"/>
        <w:rPr>
          <w:rFonts w:hint="eastAsia" w:eastAsia="仿宋_GB2312"/>
          <w:sz w:val="32"/>
          <w:szCs w:val="32"/>
          <w:highlight w:val="none"/>
          <w:lang w:val="zh-CN"/>
        </w:rPr>
      </w:pPr>
      <w:r>
        <w:rPr>
          <w:rFonts w:hint="eastAsia" w:eastAsia="仿宋_GB2312"/>
          <w:sz w:val="32"/>
          <w:szCs w:val="32"/>
          <w:highlight w:val="none"/>
          <w:lang w:val="zh-CN"/>
        </w:rPr>
        <w:t>新田县市场监督管理局</w:t>
      </w:r>
    </w:p>
    <w:p>
      <w:pPr>
        <w:spacing w:line="570" w:lineRule="exact"/>
        <w:ind w:firstLine="5440" w:firstLineChars="1700"/>
        <w:jc w:val="left"/>
        <w:rPr>
          <w:rFonts w:hint="eastAsia" w:eastAsia="仿宋_GB2312"/>
          <w:sz w:val="32"/>
          <w:szCs w:val="32"/>
          <w:highlight w:val="none"/>
          <w:lang w:val="zh-CN"/>
        </w:rPr>
      </w:pPr>
      <w:r>
        <w:rPr>
          <w:rFonts w:hint="eastAsia" w:eastAsia="仿宋_GB2312"/>
          <w:sz w:val="32"/>
          <w:szCs w:val="32"/>
          <w:highlight w:val="none"/>
          <w:lang w:val="zh-CN"/>
        </w:rPr>
        <w:t>202</w:t>
      </w:r>
      <w:r>
        <w:rPr>
          <w:rFonts w:hint="eastAsia" w:eastAsia="仿宋_GB2312"/>
          <w:sz w:val="32"/>
          <w:szCs w:val="32"/>
          <w:highlight w:val="none"/>
          <w:lang w:val="en-US" w:eastAsia="zh-CN"/>
        </w:rPr>
        <w:t>3</w:t>
      </w:r>
      <w:r>
        <w:rPr>
          <w:rFonts w:hint="eastAsia" w:eastAsia="仿宋_GB2312"/>
          <w:sz w:val="32"/>
          <w:szCs w:val="32"/>
          <w:highlight w:val="none"/>
          <w:lang w:val="zh-CN"/>
        </w:rPr>
        <w:t>年</w:t>
      </w:r>
      <w:r>
        <w:rPr>
          <w:rFonts w:hint="eastAsia" w:eastAsia="仿宋_GB2312"/>
          <w:sz w:val="32"/>
          <w:szCs w:val="32"/>
          <w:highlight w:val="none"/>
          <w:lang w:val="en-US" w:eastAsia="zh-CN"/>
        </w:rPr>
        <w:t>7</w:t>
      </w:r>
      <w:r>
        <w:rPr>
          <w:rFonts w:hint="eastAsia" w:eastAsia="仿宋_GB2312"/>
          <w:sz w:val="32"/>
          <w:szCs w:val="32"/>
          <w:highlight w:val="none"/>
          <w:lang w:val="zh-CN"/>
        </w:rPr>
        <w:t>月5日</w:t>
      </w:r>
    </w:p>
    <w:p>
      <w:pPr>
        <w:spacing w:after="120" w:afterLines="50" w:line="600" w:lineRule="exact"/>
        <w:rPr>
          <w:rFonts w:eastAsia="黑体"/>
          <w:sz w:val="32"/>
          <w:szCs w:val="32"/>
          <w:highlight w:val="none"/>
        </w:rPr>
      </w:pPr>
    </w:p>
    <w:p>
      <w:pPr>
        <w:tabs>
          <w:tab w:val="left" w:pos="5070"/>
        </w:tabs>
        <w:spacing w:after="120" w:afterLines="50" w:line="600" w:lineRule="exact"/>
        <w:rPr>
          <w:rFonts w:hint="eastAsia" w:eastAsia="黑体"/>
          <w:sz w:val="32"/>
          <w:szCs w:val="32"/>
          <w:highlight w:val="none"/>
          <w:lang w:eastAsia="zh-CN"/>
        </w:rPr>
      </w:pPr>
    </w:p>
    <w:p>
      <w:pPr>
        <w:pStyle w:val="11"/>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A29AF"/>
    <w:multiLevelType w:val="singleLevel"/>
    <w:tmpl w:val="891A29AF"/>
    <w:lvl w:ilvl="0" w:tentative="0">
      <w:start w:val="7"/>
      <w:numFmt w:val="chineseCounting"/>
      <w:suff w:val="nothing"/>
      <w:lvlText w:val="%1、"/>
      <w:lvlJc w:val="left"/>
      <w:rPr>
        <w:rFonts w:hint="eastAsia"/>
      </w:rPr>
    </w:lvl>
  </w:abstractNum>
  <w:abstractNum w:abstractNumId="1">
    <w:nsid w:val="E0A47922"/>
    <w:multiLevelType w:val="singleLevel"/>
    <w:tmpl w:val="E0A47922"/>
    <w:lvl w:ilvl="0" w:tentative="0">
      <w:start w:val="5"/>
      <w:numFmt w:val="chineseCounting"/>
      <w:suff w:val="nothing"/>
      <w:lvlText w:val="%1、"/>
      <w:lvlJc w:val="left"/>
      <w:rPr>
        <w:rFonts w:hint="eastAsia"/>
      </w:rPr>
    </w:lvl>
  </w:abstractNum>
  <w:abstractNum w:abstractNumId="2">
    <w:nsid w:val="1F6359D0"/>
    <w:multiLevelType w:val="singleLevel"/>
    <w:tmpl w:val="1F6359D0"/>
    <w:lvl w:ilvl="0" w:tentative="0">
      <w:start w:val="1"/>
      <w:numFmt w:val="decimal"/>
      <w:suff w:val="nothing"/>
      <w:lvlText w:val="%1、"/>
      <w:lvlJc w:val="left"/>
    </w:lvl>
  </w:abstractNum>
  <w:abstractNum w:abstractNumId="3">
    <w:nsid w:val="57EB91F6"/>
    <w:multiLevelType w:val="singleLevel"/>
    <w:tmpl w:val="57EB91F6"/>
    <w:lvl w:ilvl="0" w:tentative="0">
      <w:start w:val="1"/>
      <w:numFmt w:val="chineseCounting"/>
      <w:suff w:val="nothing"/>
      <w:lvlText w:val="%1、"/>
      <w:lvlJc w:val="left"/>
      <w:pPr>
        <w:ind w:left="640" w:firstLine="0"/>
      </w:pPr>
      <w:rPr>
        <w:rFonts w:hint="eastAsia"/>
      </w:rPr>
    </w:lvl>
  </w:abstractNum>
  <w:abstractNum w:abstractNumId="4">
    <w:nsid w:val="6BA4A569"/>
    <w:multiLevelType w:val="singleLevel"/>
    <w:tmpl w:val="6BA4A569"/>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DMyODA1YTRhODQ1ZDg5ZDE2MzZmZjZmNmU5OTk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B558B"/>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C327A7"/>
    <w:rsid w:val="0457318F"/>
    <w:rsid w:val="08870F04"/>
    <w:rsid w:val="09AA26F7"/>
    <w:rsid w:val="13FA1CE9"/>
    <w:rsid w:val="1B1B7066"/>
    <w:rsid w:val="1ECC422C"/>
    <w:rsid w:val="1F4F0EF6"/>
    <w:rsid w:val="1FC317B4"/>
    <w:rsid w:val="24F26AD5"/>
    <w:rsid w:val="256013F3"/>
    <w:rsid w:val="29D04996"/>
    <w:rsid w:val="33E57C26"/>
    <w:rsid w:val="3A775E23"/>
    <w:rsid w:val="3E2A0D74"/>
    <w:rsid w:val="3EEF14B8"/>
    <w:rsid w:val="3EF81910"/>
    <w:rsid w:val="3F564E89"/>
    <w:rsid w:val="3FE457A9"/>
    <w:rsid w:val="426D5D1D"/>
    <w:rsid w:val="445D24CC"/>
    <w:rsid w:val="48066AE7"/>
    <w:rsid w:val="48E15F16"/>
    <w:rsid w:val="4DDE7197"/>
    <w:rsid w:val="4FE63789"/>
    <w:rsid w:val="571E3494"/>
    <w:rsid w:val="5777D4F5"/>
    <w:rsid w:val="5F8F08CA"/>
    <w:rsid w:val="5FC6BB1E"/>
    <w:rsid w:val="5FF720F1"/>
    <w:rsid w:val="609B351E"/>
    <w:rsid w:val="64A54408"/>
    <w:rsid w:val="6753700F"/>
    <w:rsid w:val="68893CF7"/>
    <w:rsid w:val="6EF96718"/>
    <w:rsid w:val="6F9B0B8C"/>
    <w:rsid w:val="719D7059"/>
    <w:rsid w:val="737D59BA"/>
    <w:rsid w:val="76050F57"/>
    <w:rsid w:val="76F44A46"/>
    <w:rsid w:val="77B06588"/>
    <w:rsid w:val="77C37683"/>
    <w:rsid w:val="79FF515B"/>
    <w:rsid w:val="7E22564A"/>
    <w:rsid w:val="7E9F11B4"/>
    <w:rsid w:val="7E9F31B9"/>
    <w:rsid w:val="7ECA3027"/>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hAnsi="宋体"/>
      <w:b/>
      <w:bCs/>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14888</Words>
  <Characters>17148</Characters>
  <Lines>63</Lines>
  <Paragraphs>18</Paragraphs>
  <TotalTime>0</TotalTime>
  <ScaleCrop>false</ScaleCrop>
  <LinksUpToDate>false</LinksUpToDate>
  <CharactersWithSpaces>17997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WPS_1668157542</cp:lastModifiedBy>
  <cp:lastPrinted>2023-08-15T09:28:00Z</cp:lastPrinted>
  <dcterms:modified xsi:type="dcterms:W3CDTF">2023-10-08T08:29:45Z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9CBD656651D1438DA1CA1A97416BFE73_12</vt:lpwstr>
  </property>
</Properties>
</file>