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cstheme="minorEastAsia"/>
          <w:b/>
          <w:color w:val="000000" w:themeColor="text1"/>
          <w:kern w:val="0"/>
          <w:sz w:val="36"/>
          <w:szCs w:val="36"/>
          <w:highlight w:val="none"/>
          <w14:textFill>
            <w14:solidFill>
              <w14:schemeClr w14:val="tx1"/>
            </w14:solidFill>
          </w14:textFill>
        </w:rPr>
      </w:pPr>
      <w:bookmarkStart w:id="0" w:name="_GoBack"/>
      <w:r>
        <w:rPr>
          <w:rFonts w:hint="eastAsia" w:asciiTheme="minorEastAsia" w:hAnsiTheme="minorEastAsia" w:cstheme="minorEastAsia"/>
          <w:b/>
          <w:color w:val="000000" w:themeColor="text1"/>
          <w:kern w:val="0"/>
          <w:sz w:val="36"/>
          <w:szCs w:val="36"/>
          <w:highlight w:val="none"/>
          <w:lang w:eastAsia="zh-CN"/>
          <w14:textFill>
            <w14:solidFill>
              <w14:schemeClr w14:val="tx1"/>
            </w14:solidFill>
          </w14:textFill>
        </w:rPr>
        <w:t>202</w:t>
      </w:r>
      <w:r>
        <w:rPr>
          <w:rFonts w:hint="eastAsia" w:asciiTheme="minorEastAsia" w:hAnsiTheme="minorEastAsia" w:cstheme="minorEastAsia"/>
          <w:b/>
          <w:color w:val="000000" w:themeColor="text1"/>
          <w:kern w:val="0"/>
          <w:sz w:val="36"/>
          <w:szCs w:val="36"/>
          <w:highlight w:val="none"/>
          <w:lang w:val="en-US" w:eastAsia="zh-CN"/>
          <w14:textFill>
            <w14:solidFill>
              <w14:schemeClr w14:val="tx1"/>
            </w14:solidFill>
          </w14:textFill>
        </w:rPr>
        <w:t>2</w:t>
      </w:r>
      <w:r>
        <w:rPr>
          <w:rFonts w:hint="eastAsia" w:asciiTheme="minorEastAsia" w:hAnsiTheme="minorEastAsia" w:eastAsiaTheme="minorEastAsia" w:cstheme="minorEastAsia"/>
          <w:b/>
          <w:color w:val="000000" w:themeColor="text1"/>
          <w:kern w:val="0"/>
          <w:sz w:val="36"/>
          <w:szCs w:val="36"/>
          <w:highlight w:val="none"/>
          <w14:textFill>
            <w14:solidFill>
              <w14:schemeClr w14:val="tx1"/>
            </w14:solidFill>
          </w14:textFill>
        </w:rPr>
        <w:t>年度部门整体支出绩效评价报告</w:t>
      </w:r>
    </w:p>
    <w:bookmarkEnd w:id="0"/>
    <w:p>
      <w:pPr>
        <w:jc w:val="center"/>
        <w:rPr>
          <w:rFonts w:hint="eastAsia" w:asciiTheme="minorEastAsia" w:hAnsiTheme="minorEastAsia" w:eastAsiaTheme="minorEastAsia" w:cstheme="minorEastAsia"/>
          <w:b/>
          <w:color w:val="000000" w:themeColor="text1"/>
          <w:kern w:val="0"/>
          <w:sz w:val="36"/>
          <w:szCs w:val="36"/>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firstLine="600" w:firstLineChars="200"/>
        <w:jc w:val="both"/>
        <w:textAlignment w:val="auto"/>
        <w:outlineLvl w:val="9"/>
        <w:rPr>
          <w:rFonts w:hint="eastAsia" w:ascii="仿宋" w:hAnsi="仿宋" w:eastAsia="仿宋" w:cs="仿宋"/>
          <w:b/>
          <w:bCs/>
          <w:sz w:val="30"/>
          <w:szCs w:val="30"/>
        </w:rPr>
      </w:pPr>
      <w:r>
        <w:rPr>
          <w:rFonts w:hint="eastAsia" w:ascii="仿宋" w:hAnsi="仿宋" w:eastAsia="仿宋" w:cs="仿宋"/>
          <w:b/>
          <w:bCs/>
          <w:sz w:val="30"/>
          <w:szCs w:val="30"/>
        </w:rPr>
        <w:t>一、部门概况</w:t>
      </w:r>
    </w:p>
    <w:p>
      <w:pPr>
        <w:pStyle w:val="17"/>
        <w:autoSpaceDE w:val="0"/>
        <w:spacing w:before="0" w:beforeAutospacing="0" w:after="0" w:afterAutospacing="0" w:line="580" w:lineRule="exact"/>
        <w:ind w:firstLine="600" w:firstLineChars="200"/>
        <w:jc w:val="both"/>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 1、组织机构设置及人员情况</w:t>
      </w:r>
    </w:p>
    <w:p>
      <w:pPr>
        <w:pStyle w:val="17"/>
        <w:autoSpaceDE w:val="0"/>
        <w:spacing w:before="0" w:beforeAutospacing="0" w:after="0" w:afterAutospacing="0" w:line="580" w:lineRule="exact"/>
        <w:ind w:firstLine="600"/>
        <w:jc w:val="both"/>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（1）组织机构设置情况</w:t>
      </w:r>
    </w:p>
    <w:p>
      <w:pPr>
        <w:pStyle w:val="17"/>
        <w:autoSpaceDE w:val="0"/>
        <w:spacing w:before="0" w:beforeAutospacing="0" w:after="0" w:afterAutospacing="0" w:line="580" w:lineRule="exact"/>
        <w:ind w:firstLine="960" w:firstLineChars="300"/>
        <w:jc w:val="both"/>
        <w:rPr>
          <w:rFonts w:hint="eastAsia" w:ascii="仿宋" w:hAnsi="仿宋" w:eastAsia="仿宋" w:cs="仿宋"/>
          <w:kern w:val="2"/>
          <w:sz w:val="30"/>
          <w:szCs w:val="30"/>
          <w:lang w:val="en-US" w:eastAsia="zh-CN" w:bidi="ar-SA"/>
        </w:rPr>
      </w:pPr>
      <w:r>
        <w:rPr>
          <w:rFonts w:hint="eastAsia" w:ascii="Times New Roman" w:hAnsi="Times New Roman" w:eastAsia="仿宋_GB2312" w:cs="仿宋_GB2312"/>
          <w:bCs/>
          <w:kern w:val="0"/>
          <w:sz w:val="32"/>
          <w:szCs w:val="32"/>
          <w:lang w:val="en-US" w:eastAsia="zh-CN"/>
        </w:rPr>
        <w:t>新田县公安局于1949年成立，设5个内设机构：指挥中心、政工室、警务督察大队、警务保障室、法制办；10个大队：刑侦大队、国保大队、治安大队、经侦大队、人口大队、禁毒大队、网安大队、巡逻大队、图侦大队、反恐大队；2个所属机构：看守所、拘留所；11个运行派出所：城西派出所、城东派出所、新圩派出所、枧头派出所、石羊派出所、大坪塘派出所、骥村派出所、金盆派出所、陶岭派出所、新隆派出所（由新圩派出所代管）、门楼下派出所</w:t>
      </w:r>
      <w:r>
        <w:rPr>
          <w:rFonts w:hint="default" w:ascii="Times New Roman" w:hAnsi="Times New Roman" w:eastAsia="仿宋_GB2312" w:cs="仿宋_GB2312"/>
          <w:bCs/>
          <w:kern w:val="0"/>
          <w:sz w:val="32"/>
          <w:szCs w:val="32"/>
          <w:lang w:val="en-US" w:eastAsia="zh-CN"/>
        </w:rPr>
        <w:t>。</w:t>
      </w:r>
      <w:r>
        <w:rPr>
          <w:rFonts w:hint="eastAsia" w:ascii="仿宋" w:hAnsi="仿宋" w:eastAsia="仿宋" w:cs="仿宋"/>
          <w:kern w:val="2"/>
          <w:sz w:val="30"/>
          <w:szCs w:val="30"/>
          <w:lang w:val="en-US" w:eastAsia="zh-CN" w:bidi="ar-SA"/>
        </w:rPr>
        <w:t>　　</w:t>
      </w:r>
    </w:p>
    <w:p>
      <w:pPr>
        <w:pStyle w:val="17"/>
        <w:autoSpaceDE w:val="0"/>
        <w:spacing w:before="0" w:beforeAutospacing="0" w:after="0" w:afterAutospacing="0" w:line="580" w:lineRule="exact"/>
        <w:ind w:firstLine="300" w:firstLineChars="100"/>
        <w:jc w:val="both"/>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（2）人员情况</w:t>
      </w:r>
    </w:p>
    <w:p>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textAlignment w:val="auto"/>
        <w:rPr>
          <w:rFonts w:hint="eastAsia" w:ascii="仿宋" w:hAnsi="仿宋" w:eastAsia="仿宋" w:cs="仿宋"/>
          <w:kern w:val="2"/>
          <w:sz w:val="30"/>
          <w:szCs w:val="30"/>
          <w:lang w:val="en-US" w:eastAsia="zh-CN" w:bidi="ar-SA"/>
        </w:rPr>
      </w:pPr>
      <w:r>
        <w:rPr>
          <w:rFonts w:hint="eastAsia" w:ascii="仿宋_GB2312" w:eastAsia="仿宋_GB2312"/>
          <w:b w:val="0"/>
          <w:bCs w:val="0"/>
          <w:color w:val="000000"/>
          <w:sz w:val="30"/>
          <w:szCs w:val="30"/>
          <w:lang w:val="en-US" w:eastAsia="zh-CN"/>
        </w:rPr>
        <w:t>2022年单位编制数为199人（未包含交警）</w:t>
      </w:r>
      <w:r>
        <w:rPr>
          <w:rFonts w:hint="eastAsia" w:ascii="仿宋_GB2312" w:eastAsia="仿宋_GB2312"/>
          <w:b w:val="0"/>
          <w:bCs w:val="0"/>
          <w:color w:val="000000"/>
          <w:sz w:val="30"/>
          <w:szCs w:val="30"/>
        </w:rPr>
        <w:t>，</w:t>
      </w:r>
      <w:r>
        <w:rPr>
          <w:rFonts w:hint="eastAsia" w:ascii="仿宋_GB2312" w:eastAsia="仿宋_GB2312"/>
          <w:b w:val="0"/>
          <w:bCs w:val="0"/>
          <w:color w:val="000000"/>
          <w:sz w:val="30"/>
          <w:szCs w:val="30"/>
          <w:lang w:eastAsia="zh-CN"/>
        </w:rPr>
        <w:t>实有在职人数是</w:t>
      </w:r>
      <w:r>
        <w:rPr>
          <w:rFonts w:hint="eastAsia" w:ascii="仿宋_GB2312" w:eastAsia="仿宋_GB2312"/>
          <w:b w:val="0"/>
          <w:bCs w:val="0"/>
          <w:color w:val="000000"/>
          <w:sz w:val="30"/>
          <w:szCs w:val="30"/>
          <w:lang w:val="en-US" w:eastAsia="zh-CN"/>
        </w:rPr>
        <w:t>178人（未包含交警）</w:t>
      </w:r>
      <w:r>
        <w:rPr>
          <w:rFonts w:hint="eastAsia" w:ascii="仿宋_GB2312" w:eastAsia="仿宋_GB2312"/>
          <w:b w:val="0"/>
          <w:bCs w:val="0"/>
          <w:color w:val="000000"/>
          <w:sz w:val="30"/>
          <w:szCs w:val="30"/>
        </w:rPr>
        <w:t>，另有</w:t>
      </w:r>
      <w:r>
        <w:rPr>
          <w:rFonts w:hint="eastAsia" w:ascii="仿宋_GB2312" w:eastAsia="仿宋_GB2312"/>
          <w:b w:val="0"/>
          <w:bCs w:val="0"/>
          <w:color w:val="000000"/>
          <w:sz w:val="30"/>
          <w:szCs w:val="30"/>
          <w:lang w:eastAsia="zh-CN"/>
        </w:rPr>
        <w:t>辅警和农村辅警共计</w:t>
      </w:r>
      <w:r>
        <w:rPr>
          <w:rFonts w:hint="eastAsia" w:ascii="仿宋_GB2312" w:eastAsia="仿宋_GB2312"/>
          <w:b w:val="0"/>
          <w:bCs w:val="0"/>
          <w:color w:val="000000"/>
          <w:sz w:val="30"/>
          <w:szCs w:val="30"/>
          <w:lang w:val="en-US" w:eastAsia="zh-CN"/>
        </w:rPr>
        <w:t>484</w:t>
      </w:r>
      <w:r>
        <w:rPr>
          <w:rFonts w:hint="eastAsia" w:ascii="仿宋_GB2312" w:eastAsia="仿宋_GB2312"/>
          <w:b w:val="0"/>
          <w:bCs w:val="0"/>
          <w:color w:val="000000"/>
          <w:sz w:val="30"/>
          <w:szCs w:val="30"/>
        </w:rPr>
        <w:t>人。</w:t>
      </w:r>
      <w:r>
        <w:rPr>
          <w:rFonts w:hint="eastAsia" w:ascii="仿宋_GB2312" w:eastAsia="仿宋_GB2312"/>
          <w:b w:val="0"/>
          <w:bCs w:val="0"/>
          <w:color w:val="000000"/>
          <w:sz w:val="30"/>
          <w:szCs w:val="30"/>
          <w:lang w:eastAsia="zh-CN"/>
        </w:rPr>
        <w:t>退休人员</w:t>
      </w:r>
      <w:r>
        <w:rPr>
          <w:rFonts w:hint="eastAsia" w:ascii="仿宋_GB2312" w:eastAsia="仿宋_GB2312"/>
          <w:b w:val="0"/>
          <w:bCs w:val="0"/>
          <w:color w:val="000000"/>
          <w:sz w:val="30"/>
          <w:szCs w:val="30"/>
          <w:lang w:val="en-US" w:eastAsia="zh-CN"/>
        </w:rPr>
        <w:t>75人。</w:t>
      </w:r>
      <w:r>
        <w:rPr>
          <w:rFonts w:hint="eastAsia" w:ascii="仿宋" w:hAnsi="仿宋" w:eastAsia="仿宋" w:cs="仿宋"/>
          <w:kern w:val="2"/>
          <w:sz w:val="30"/>
          <w:szCs w:val="30"/>
          <w:lang w:val="en-US" w:eastAsia="zh-CN" w:bidi="ar-SA"/>
        </w:rPr>
        <w:t>　</w:t>
      </w:r>
    </w:p>
    <w:p>
      <w:pPr>
        <w:pStyle w:val="17"/>
        <w:autoSpaceDE w:val="0"/>
        <w:spacing w:before="0" w:beforeAutospacing="0" w:after="0" w:afterAutospacing="0" w:line="580" w:lineRule="exact"/>
        <w:ind w:firstLine="480"/>
        <w:jc w:val="both"/>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　2、主要工作职能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）贯彻执行国家有关公安工作的方针、政策和法律、法规，起草全县公安规范性文件，指导、监督、检查全县公安工作。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）掌握影响稳定、危害国内安全和社会治安的情况，分析形势，制定对策；防范处置邪教、非法宗教组织的违法犯罪活动。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）承办案件的侦查工作，协调、处置重大案件（事件）、治安事故和骚乱。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）依法查处危害社会治安秩序的行为；依法管理户口、居民身份证、枪支弹药、危险爆炸物品、特种行业和公共场所等工作。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）依法管理国籍工作，负责出境、入境和外国人在境内居留、旅行的有关管理工作；协调涉外案件的查处。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）组织实施全县消防工作，依法实行消防监督。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7</w:t>
      </w:r>
      <w:r>
        <w:rPr>
          <w:rFonts w:hint="eastAsia" w:ascii="仿宋" w:hAnsi="仿宋" w:eastAsia="仿宋" w:cs="仿宋"/>
          <w:sz w:val="32"/>
          <w:szCs w:val="32"/>
          <w:lang w:eastAsia="zh-CN"/>
        </w:rPr>
        <w:t>）维护全县道路交通安全、交通秩序以及机动车辆、驾驶员管理工作；处理道路交通事故；管理县公安交通管理大队。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8</w:t>
      </w:r>
      <w:r>
        <w:rPr>
          <w:rFonts w:hint="eastAsia" w:ascii="仿宋" w:hAnsi="仿宋" w:eastAsia="仿宋" w:cs="仿宋"/>
          <w:sz w:val="32"/>
          <w:szCs w:val="32"/>
          <w:lang w:eastAsia="zh-CN"/>
        </w:rPr>
        <w:t>）负责对全县国家机关、社会团体、企事业单位和重点建设工程的治安保卫工作以及群众性治安保卫组织的治安防范工作。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9</w:t>
      </w:r>
      <w:r>
        <w:rPr>
          <w:rFonts w:hint="eastAsia" w:ascii="仿宋" w:hAnsi="仿宋" w:eastAsia="仿宋" w:cs="仿宋"/>
          <w:sz w:val="32"/>
          <w:szCs w:val="32"/>
          <w:lang w:eastAsia="zh-CN"/>
        </w:rPr>
        <w:t>）负责全县公共信息网络的安全保卫工作。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10</w:t>
      </w:r>
      <w:r>
        <w:rPr>
          <w:rFonts w:hint="eastAsia" w:ascii="仿宋" w:hAnsi="仿宋" w:eastAsia="仿宋" w:cs="仿宋"/>
          <w:sz w:val="32"/>
          <w:szCs w:val="32"/>
          <w:lang w:eastAsia="zh-CN"/>
        </w:rPr>
        <w:t>）负责全县公安机关依法承担的执行刑罚和监督、考察工作；直接管理县看守所、拘留所。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11</w:t>
      </w:r>
      <w:r>
        <w:rPr>
          <w:rFonts w:hint="eastAsia" w:ascii="仿宋" w:hAnsi="仿宋" w:eastAsia="仿宋" w:cs="仿宋"/>
          <w:sz w:val="32"/>
          <w:szCs w:val="32"/>
          <w:lang w:eastAsia="zh-CN"/>
        </w:rPr>
        <w:t>）组织实施对来新的党和国家领导人以及重要外宾、重要会议的安全警卫工作。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12</w:t>
      </w:r>
      <w:r>
        <w:rPr>
          <w:rFonts w:hint="eastAsia" w:ascii="仿宋" w:hAnsi="仿宋" w:eastAsia="仿宋" w:cs="仿宋"/>
          <w:sz w:val="32"/>
          <w:szCs w:val="32"/>
          <w:lang w:eastAsia="zh-CN"/>
        </w:rPr>
        <w:t>）负责全县</w:t>
      </w:r>
      <w:r>
        <w:rPr>
          <w:rFonts w:hint="eastAsia" w:ascii="仿宋" w:hAnsi="仿宋" w:eastAsia="仿宋" w:cs="仿宋"/>
          <w:color w:val="auto"/>
          <w:sz w:val="32"/>
          <w:szCs w:val="32"/>
          <w:lang w:eastAsia="zh-CN"/>
        </w:rPr>
        <w:t>禁毒、缉毒执法和整治外流贩毒工作。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13</w:t>
      </w:r>
      <w:r>
        <w:rPr>
          <w:rFonts w:hint="eastAsia" w:ascii="仿宋" w:hAnsi="仿宋" w:eastAsia="仿宋" w:cs="仿宋"/>
          <w:sz w:val="32"/>
          <w:szCs w:val="32"/>
          <w:lang w:eastAsia="zh-CN"/>
        </w:rPr>
        <w:t>）组织实施公安科学技术工作；规划公安信息技术、刑事技术、网络安全技术和行动技术、指挥系统等建设。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14</w:t>
      </w:r>
      <w:r>
        <w:rPr>
          <w:rFonts w:hint="eastAsia" w:ascii="仿宋" w:hAnsi="仿宋" w:eastAsia="仿宋" w:cs="仿宋"/>
          <w:sz w:val="32"/>
          <w:szCs w:val="32"/>
          <w:lang w:eastAsia="zh-CN"/>
        </w:rPr>
        <w:t>）负责全县公安机关装备、被装配备的计划、申报、分配、管理工作；负责申报公安业务经费的专项拨款的分配计划并监督、管理使用情况。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15</w:t>
      </w:r>
      <w:r>
        <w:rPr>
          <w:rFonts w:hint="eastAsia" w:ascii="仿宋" w:hAnsi="仿宋" w:eastAsia="仿宋" w:cs="仿宋"/>
          <w:sz w:val="32"/>
          <w:szCs w:val="32"/>
          <w:lang w:eastAsia="zh-CN"/>
        </w:rPr>
        <w:t>）对武警中队执行公安任务及相关业务建设实施领导和指挥。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16</w:t>
      </w:r>
      <w:r>
        <w:rPr>
          <w:rFonts w:hint="eastAsia" w:ascii="仿宋" w:hAnsi="仿宋" w:eastAsia="仿宋" w:cs="仿宋"/>
          <w:sz w:val="32"/>
          <w:szCs w:val="32"/>
          <w:lang w:eastAsia="zh-CN"/>
        </w:rPr>
        <w:t>）负责全县公安队伍建设和思想政治工作；组织和管理公安机关人员培训、教育、奖惩及公安宣传工作；负责全县公安民警警衔管理和警察证件管理；按规定权限管理干部。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17</w:t>
      </w:r>
      <w:r>
        <w:rPr>
          <w:rFonts w:hint="eastAsia" w:ascii="仿宋" w:hAnsi="仿宋" w:eastAsia="仿宋" w:cs="仿宋"/>
          <w:sz w:val="32"/>
          <w:szCs w:val="32"/>
          <w:lang w:eastAsia="zh-CN"/>
        </w:rPr>
        <w:t>）制定全县公安队伍监督管理工作规章制度，负责全县公安机关监督工作；按规定全县实施对干部的监督；指导、督促、检查全县公安机关的执法活动；查处全县公安队伍的各类违纪案件。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18</w:t>
      </w:r>
      <w:r>
        <w:rPr>
          <w:rFonts w:hint="eastAsia" w:ascii="仿宋" w:hAnsi="仿宋" w:eastAsia="仿宋" w:cs="仿宋"/>
          <w:sz w:val="32"/>
          <w:szCs w:val="32"/>
          <w:lang w:eastAsia="zh-CN"/>
        </w:rPr>
        <w:t>）森林公安局列入公</w:t>
      </w:r>
      <w:r>
        <w:rPr>
          <w:rFonts w:hint="eastAsia" w:ascii="仿宋" w:hAnsi="仿宋" w:eastAsia="仿宋" w:cs="仿宋"/>
          <w:color w:val="auto"/>
          <w:sz w:val="32"/>
          <w:szCs w:val="32"/>
          <w:lang w:eastAsia="zh-CN"/>
        </w:rPr>
        <w:t>安机构序列，受县自然资源局和县公安局双重领导，业务工</w:t>
      </w:r>
      <w:r>
        <w:rPr>
          <w:rFonts w:hint="eastAsia" w:ascii="仿宋" w:hAnsi="仿宋" w:eastAsia="仿宋" w:cs="仿宋"/>
          <w:sz w:val="32"/>
          <w:szCs w:val="32"/>
          <w:lang w:eastAsia="zh-CN"/>
        </w:rPr>
        <w:t>作以县公安局领导为主。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19</w:t>
      </w:r>
      <w:r>
        <w:rPr>
          <w:rFonts w:hint="eastAsia" w:ascii="仿宋" w:hAnsi="仿宋" w:eastAsia="仿宋" w:cs="仿宋"/>
          <w:sz w:val="32"/>
          <w:szCs w:val="32"/>
          <w:lang w:eastAsia="zh-CN"/>
        </w:rPr>
        <w:t>）按机构改革的总体要求，负责对下属单位机构设置、职能配置和人员编制配备等提出调整完善意见，报机构编制部门明确。</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楷体_GB2312" w:hAnsi="仿宋" w:eastAsia="楷体_GB2312"/>
          <w:b/>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20</w:t>
      </w:r>
      <w:r>
        <w:rPr>
          <w:rFonts w:hint="eastAsia" w:ascii="仿宋" w:hAnsi="仿宋" w:eastAsia="仿宋" w:cs="仿宋"/>
          <w:sz w:val="32"/>
          <w:szCs w:val="32"/>
          <w:lang w:eastAsia="zh-CN"/>
        </w:rPr>
        <w:t>）承担县委、县人民政府和上级公安机关交办的其他事项。</w:t>
      </w:r>
      <w:r>
        <w:rPr>
          <w:rFonts w:hint="eastAsia" w:ascii="仿宋" w:hAnsi="仿宋" w:eastAsia="仿宋" w:cs="仿宋"/>
          <w:kern w:val="2"/>
          <w:sz w:val="30"/>
          <w:szCs w:val="30"/>
          <w:lang w:val="en-US" w:eastAsia="zh-CN" w:bidi="ar-SA"/>
        </w:rPr>
        <w:br w:type="textWrapping"/>
      </w:r>
      <w:r>
        <w:rPr>
          <w:rFonts w:hint="eastAsia" w:ascii="仿宋" w:hAnsi="仿宋" w:eastAsia="仿宋" w:cs="仿宋"/>
          <w:kern w:val="2"/>
          <w:sz w:val="30"/>
          <w:szCs w:val="30"/>
          <w:lang w:val="en-US" w:eastAsia="zh-CN" w:bidi="ar-SA"/>
        </w:rPr>
        <w:t>　</w:t>
      </w:r>
      <w:r>
        <w:rPr>
          <w:rFonts w:hint="eastAsia" w:ascii="仿宋" w:hAnsi="仿宋" w:eastAsia="仿宋" w:cs="仿宋"/>
          <w:b/>
          <w:bCs/>
          <w:kern w:val="2"/>
          <w:sz w:val="30"/>
          <w:szCs w:val="30"/>
          <w:lang w:val="en-US" w:eastAsia="zh-CN" w:bidi="ar-SA"/>
        </w:rPr>
        <w:t>　</w:t>
      </w:r>
      <w:r>
        <w:rPr>
          <w:rFonts w:hint="eastAsia" w:ascii="仿宋" w:hAnsi="仿宋" w:eastAsia="仿宋" w:cs="仿宋"/>
          <w:kern w:val="2"/>
          <w:sz w:val="30"/>
          <w:szCs w:val="30"/>
          <w:lang w:val="en-US" w:eastAsia="zh-CN" w:bidi="ar-SA"/>
        </w:rPr>
        <w:t>3、</w:t>
      </w:r>
      <w:r>
        <w:rPr>
          <w:rFonts w:hint="eastAsia" w:ascii="楷体_GB2312" w:hAnsi="仿宋" w:eastAsia="楷体_GB2312"/>
          <w:b/>
          <w:sz w:val="32"/>
          <w:szCs w:val="32"/>
        </w:rPr>
        <w:t>当年取得的主要事业成效。</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_GB2312" w:hAnsi="宋体" w:eastAsia="仿宋_GB2312"/>
          <w:color w:val="000000"/>
          <w:sz w:val="30"/>
          <w:szCs w:val="30"/>
        </w:rPr>
      </w:pPr>
      <w:r>
        <w:rPr>
          <w:rFonts w:hint="eastAsia" w:ascii="仿宋_GB2312" w:hAnsi="宋体" w:eastAsia="仿宋_GB2312"/>
          <w:color w:val="000000"/>
          <w:sz w:val="30"/>
          <w:szCs w:val="30"/>
          <w:lang w:val="en-US" w:eastAsia="zh-CN"/>
        </w:rPr>
        <w:t>2022</w:t>
      </w:r>
      <w:r>
        <w:rPr>
          <w:rFonts w:hint="eastAsia" w:ascii="仿宋_GB2312" w:hAnsi="宋体" w:eastAsia="仿宋_GB2312"/>
          <w:color w:val="000000"/>
          <w:sz w:val="30"/>
          <w:szCs w:val="30"/>
        </w:rPr>
        <w:t>年，县公安局在县委、县政府和县政法委的正确领导下，继续强化主业意识、服务意识和大局意识，强力推进“基础信息化、警务实战化、执法规范化、队伍正规化”四项建设，不断提升维稳保安、服务发展的能力水平。</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_GB2312" w:hAnsi="宋体" w:eastAsia="仿宋_GB2312"/>
          <w:color w:val="000000"/>
          <w:sz w:val="30"/>
          <w:szCs w:val="30"/>
        </w:rPr>
      </w:pPr>
      <w:r>
        <w:rPr>
          <w:rFonts w:hint="eastAsia" w:ascii="仿宋_GB2312" w:hAnsi="宋体" w:eastAsia="仿宋_GB2312"/>
          <w:color w:val="000000"/>
          <w:sz w:val="30"/>
          <w:szCs w:val="30"/>
        </w:rPr>
        <w:t>1、深入推进基础信息化，全面提升打防管控能力。一是转变警务、勤务指挥模式。努力实现警务调度指挥扁平化，接处警工作高效化，提高应急指挥效率和应急处置能力。二是完善基础信息采集管理。将基础信息采集融入社区警务、巡逻盘查、现场勘查、执法办案等日常警务工作，实现全警采集、全警录入、全警应用、全警受益的工作目标。三是狠抓信息化建设与应用。加快推进社会治安视频监控系统、治安卡口、“三台合一”信息平台、警用地理信息、社区警务系统的升级改造与建设，提升公安信息化实战应用效能。</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_GB2312" w:hAnsi="宋体" w:eastAsia="仿宋_GB2312"/>
          <w:color w:val="000000"/>
          <w:sz w:val="30"/>
          <w:szCs w:val="30"/>
        </w:rPr>
      </w:pPr>
      <w:r>
        <w:rPr>
          <w:rFonts w:hint="eastAsia" w:ascii="仿宋_GB2312" w:hAnsi="宋体" w:eastAsia="仿宋_GB2312"/>
          <w:color w:val="000000"/>
          <w:sz w:val="30"/>
          <w:szCs w:val="30"/>
        </w:rPr>
        <w:t>2、深入推进警务实战化，全面提升维稳保安效能。一是提升维稳保安水平。强化反恐应急处突演练、重点人员控制和专案侦察，全力做好情报预警研判、矛盾排查化解、虚拟社会管理、突发事件处置等工作。二是突出侦破打击效能。紧紧抓住群众反映强烈的“盗抢”、“黄赌”等治安突出问题，继续强化打击主业。就当前而言，要聚全警之智、集全局之力，在第一阶段战果排名全市第3位的基础上，持续深入推进全市公安机关严打整治“百日会战”专项行动，确保打出声威、打出实效，坚决用我们的辛苦指数换取全县人民的幸福指数。三是坚持立体化防控体系。积极争取党委、政府重视，大力推进全县“七张网”建设和“网格化”建设，积极打造城区“5分钟治安防控圈”。四是构建社会化防控道路。突出抓好道路交通安全社会化、禁毒工作社会化、消防安全网格化等建设，努力提升矛盾纠纷排查化解、基础信息采集等工作的社会化参与程度。</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_GB2312" w:hAnsi="宋体" w:eastAsia="仿宋_GB2312"/>
          <w:color w:val="000000"/>
          <w:sz w:val="30"/>
          <w:szCs w:val="30"/>
        </w:rPr>
      </w:pPr>
      <w:r>
        <w:rPr>
          <w:rFonts w:hint="eastAsia" w:ascii="仿宋_GB2312" w:hAnsi="宋体" w:eastAsia="仿宋_GB2312"/>
          <w:color w:val="000000"/>
          <w:sz w:val="30"/>
          <w:szCs w:val="30"/>
        </w:rPr>
        <w:t>3、深入推进执法规范化，全面提升执法公信力。一是提升执法水平。深化大学法、大培训、大练兵制度，不断提升全警的执法能力和水平。二是规范执法行为。继续开展执法不作为专项整治，加强监管场所管理，全面推进执法信息化建设应用。三是强化执法监督。深入推进警务公开，全面接受执法监督，不断改进执法工作。</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 w:hAnsi="仿宋" w:eastAsia="仿宋" w:cs="仿宋"/>
          <w:b/>
          <w:bCs/>
          <w:sz w:val="30"/>
          <w:szCs w:val="30"/>
        </w:rPr>
      </w:pPr>
      <w:r>
        <w:rPr>
          <w:rFonts w:hint="eastAsia" w:ascii="仿宋_GB2312" w:hAnsi="宋体" w:eastAsia="仿宋_GB2312"/>
          <w:color w:val="000000"/>
          <w:sz w:val="30"/>
          <w:szCs w:val="30"/>
        </w:rPr>
        <w:t>4、深入推进队伍正规化，全面提升队伍凝聚力。一是坚持从严治警。修改完善各项规章制度及精细化管理考核，以铁腕手段整肃队伍顽固疾症，做到用制度管权、按制度办事、靠制度管人。二是坚持素质强警。坚持问题导向，着力抓好各类紧贴实战的战术演练、技能培训。三是坚持从优待警。认真落实优警励警措施，树立正确的用人导向。四是坚持文化育警。努力营造风清气正、干事创业的警营氛围。</w:t>
      </w:r>
    </w:p>
    <w:p>
      <w:pPr>
        <w:keepNext w:val="0"/>
        <w:keepLines w:val="0"/>
        <w:pageBreakBefore w:val="0"/>
        <w:widowControl w:val="0"/>
        <w:numPr>
          <w:ilvl w:val="0"/>
          <w:numId w:val="1"/>
        </w:numPr>
        <w:kinsoku/>
        <w:wordWrap/>
        <w:overflowPunct/>
        <w:topLinePunct w:val="0"/>
        <w:autoSpaceDE/>
        <w:autoSpaceDN/>
        <w:bidi w:val="0"/>
        <w:adjustRightInd w:val="0"/>
        <w:snapToGrid w:val="0"/>
        <w:spacing w:line="500" w:lineRule="exact"/>
        <w:ind w:left="0" w:leftChars="0" w:right="0" w:rightChars="0" w:firstLine="600" w:firstLineChars="200"/>
        <w:jc w:val="both"/>
        <w:textAlignment w:val="auto"/>
        <w:outlineLvl w:val="9"/>
        <w:rPr>
          <w:rFonts w:hint="eastAsia" w:ascii="仿宋" w:hAnsi="仿宋" w:eastAsia="仿宋" w:cs="仿宋"/>
          <w:b/>
          <w:bCs/>
          <w:sz w:val="30"/>
          <w:szCs w:val="30"/>
        </w:rPr>
      </w:pPr>
      <w:r>
        <w:rPr>
          <w:rFonts w:hint="eastAsia" w:ascii="仿宋" w:hAnsi="仿宋" w:eastAsia="仿宋" w:cs="仿宋"/>
          <w:b/>
          <w:bCs/>
          <w:sz w:val="30"/>
          <w:szCs w:val="30"/>
        </w:rPr>
        <w:t>部门整体支出使用情况</w:t>
      </w:r>
    </w:p>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firstLine="600" w:firstLineChars="200"/>
        <w:jc w:val="both"/>
        <w:textAlignment w:val="auto"/>
        <w:outlineLvl w:val="9"/>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2022年度我局年初收入预算总额为7092.89万元，其中县财政拔入7092.89万元。全年完成实际支出7092.89万元，其中，人员经费支出2942.84万元，公用经费1530.57万元，项目支出2619.48万元。</w:t>
      </w:r>
    </w:p>
    <w:p>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300" w:firstLineChars="100"/>
        <w:jc w:val="both"/>
        <w:textAlignment w:val="auto"/>
        <w:outlineLvl w:val="9"/>
        <w:rPr>
          <w:rFonts w:hint="eastAsia" w:ascii="仿宋" w:hAnsi="仿宋" w:eastAsia="仿宋" w:cs="仿宋"/>
          <w:b/>
          <w:bCs/>
          <w:sz w:val="30"/>
          <w:szCs w:val="30"/>
        </w:rPr>
      </w:pPr>
      <w:r>
        <w:rPr>
          <w:rFonts w:hint="eastAsia" w:ascii="仿宋" w:hAnsi="仿宋" w:eastAsia="仿宋" w:cs="仿宋"/>
          <w:b/>
          <w:bCs/>
          <w:sz w:val="30"/>
          <w:szCs w:val="30"/>
          <w:lang w:val="en-US" w:eastAsia="zh-CN"/>
        </w:rPr>
        <w:t xml:space="preserve">  </w:t>
      </w:r>
      <w:r>
        <w:rPr>
          <w:rFonts w:hint="eastAsia" w:ascii="仿宋" w:hAnsi="仿宋" w:eastAsia="仿宋" w:cs="仿宋"/>
          <w:b/>
          <w:bCs/>
          <w:sz w:val="30"/>
          <w:szCs w:val="30"/>
          <w:lang w:eastAsia="zh-CN"/>
        </w:rPr>
        <w:t>三</w:t>
      </w:r>
      <w:r>
        <w:rPr>
          <w:rFonts w:hint="eastAsia" w:ascii="仿宋" w:hAnsi="仿宋" w:eastAsia="仿宋" w:cs="仿宋"/>
          <w:b/>
          <w:bCs/>
          <w:sz w:val="30"/>
          <w:szCs w:val="30"/>
        </w:rPr>
        <w:t>、部门整体支出绩效情况</w:t>
      </w:r>
    </w:p>
    <w:p>
      <w:pPr>
        <w:keepNext w:val="0"/>
        <w:keepLines w:val="0"/>
        <w:pageBreakBefore w:val="0"/>
        <w:widowControl w:val="0"/>
        <w:kinsoku/>
        <w:wordWrap/>
        <w:overflowPunct/>
        <w:topLinePunct w:val="0"/>
        <w:autoSpaceDE/>
        <w:autoSpaceDN/>
        <w:bidi w:val="0"/>
        <w:adjustRightInd/>
        <w:spacing w:line="560" w:lineRule="exact"/>
        <w:ind w:firstLine="641"/>
        <w:textAlignment w:val="auto"/>
        <w:rPr>
          <w:rFonts w:hint="eastAsia" w:ascii="仿宋_GB2312" w:hAnsi="宋体" w:eastAsia="仿宋_GB2312"/>
          <w:color w:val="000000"/>
          <w:sz w:val="30"/>
          <w:szCs w:val="30"/>
        </w:rPr>
      </w:pPr>
      <w:r>
        <w:rPr>
          <w:rFonts w:hint="eastAsia" w:ascii="仿宋_GB2312" w:hAnsi="宋体" w:eastAsia="仿宋_GB2312"/>
          <w:color w:val="000000"/>
          <w:sz w:val="30"/>
          <w:szCs w:val="30"/>
          <w:lang w:val="en-US" w:eastAsia="zh-CN"/>
        </w:rPr>
        <w:t>2022</w:t>
      </w:r>
      <w:r>
        <w:rPr>
          <w:rFonts w:hint="eastAsia" w:ascii="仿宋_GB2312" w:hAnsi="宋体" w:eastAsia="仿宋_GB2312"/>
          <w:color w:val="000000"/>
          <w:sz w:val="30"/>
          <w:szCs w:val="30"/>
        </w:rPr>
        <w:t>年，县公安局在县委、县政府和县政法委的正确领导下，</w:t>
      </w:r>
      <w:r>
        <w:rPr>
          <w:rFonts w:hint="eastAsia" w:ascii="仿宋_GB2312" w:hAnsi="宋体" w:eastAsia="仿宋_GB2312"/>
          <w:color w:val="000000"/>
          <w:sz w:val="30"/>
          <w:szCs w:val="30"/>
          <w:lang w:eastAsia="zh-CN"/>
        </w:rPr>
        <w:t>围绕中心，服务大局，以</w:t>
      </w:r>
      <w:r>
        <w:rPr>
          <w:rFonts w:hint="eastAsia" w:ascii="仿宋_GB2312" w:hAnsi="宋体" w:eastAsia="仿宋_GB2312"/>
          <w:color w:val="000000"/>
          <w:sz w:val="30"/>
          <w:szCs w:val="30"/>
        </w:rPr>
        <w:t>“基础信息化、警务实战化、执法规范化、队伍正规化”四项建设</w:t>
      </w:r>
      <w:r>
        <w:rPr>
          <w:rFonts w:hint="eastAsia" w:ascii="仿宋_GB2312" w:hAnsi="宋体" w:eastAsia="仿宋_GB2312"/>
          <w:color w:val="000000"/>
          <w:sz w:val="30"/>
          <w:szCs w:val="30"/>
          <w:lang w:eastAsia="zh-CN"/>
        </w:rPr>
        <w:t>为载体</w:t>
      </w:r>
      <w:r>
        <w:rPr>
          <w:rFonts w:hint="eastAsia" w:ascii="仿宋_GB2312" w:hAnsi="宋体" w:eastAsia="仿宋_GB2312"/>
          <w:color w:val="000000"/>
          <w:sz w:val="30"/>
          <w:szCs w:val="30"/>
        </w:rPr>
        <w:t>，</w:t>
      </w:r>
      <w:r>
        <w:rPr>
          <w:rFonts w:hint="eastAsia" w:ascii="仿宋_GB2312" w:hAnsi="宋体" w:eastAsia="仿宋_GB2312"/>
          <w:color w:val="000000"/>
          <w:sz w:val="30"/>
          <w:szCs w:val="30"/>
          <w:lang w:eastAsia="zh-CN"/>
        </w:rPr>
        <w:t>以改革创新为动力，始终突出侦破打击主业、基础防范主责、法治公安主线、队伍建设主题，各项工作不断取得新的进步，有力维护了全县社会政治和治安大局持续稳定。</w:t>
      </w:r>
      <w:r>
        <w:rPr>
          <w:rFonts w:hint="eastAsia" w:ascii="仿宋_GB2312" w:hAnsi="宋体" w:eastAsia="仿宋_GB2312"/>
          <w:color w:val="000000"/>
          <w:sz w:val="30"/>
          <w:szCs w:val="30"/>
        </w:rPr>
        <w:t>一是提升维稳保安水平。强化反恐应急处突演练、重点人员控制和专案侦察，全力做好情报预警研判、矛盾排查化解、虚拟社会管理、突发事件处置等工作。二是突出侦破打击效能。紧紧抓住群众反映强烈的“盗抢”、“黄赌”等治安突出问题，继续强化打击主业。就当前而言，要聚全警之智、集全局之力，在第一阶段战果排名全市第3位的基础上，持续深入推进全市公安机关严打整治“百日会战”专项行动，确保打出声威、打出实效，坚决用我们的辛苦指数换取全县人民的幸福指数。三是坚持立体化防控体系。积极争取党委、政府重视，大力推进全县“七张网”建设和“网格化”建设，积极打造城区“5分钟治安防控圈”。四是构建社会化防控道路。突出抓好道路交通安全社会化、禁毒工作社会化、消防安全网格化等建设，努力提升矛盾纠纷排查化解、基础信息采集等工作的社会化参与程度。</w:t>
      </w:r>
    </w:p>
    <w:p>
      <w:pPr>
        <w:keepNext w:val="0"/>
        <w:keepLines w:val="0"/>
        <w:pageBreakBefore w:val="0"/>
        <w:widowControl w:val="0"/>
        <w:numPr>
          <w:ilvl w:val="0"/>
          <w:numId w:val="2"/>
        </w:numPr>
        <w:kinsoku/>
        <w:wordWrap/>
        <w:overflowPunct/>
        <w:topLinePunct w:val="0"/>
        <w:autoSpaceDE/>
        <w:autoSpaceDN/>
        <w:bidi w:val="0"/>
        <w:adjustRightInd w:val="0"/>
        <w:snapToGrid w:val="0"/>
        <w:spacing w:line="500" w:lineRule="exact"/>
        <w:ind w:left="0" w:leftChars="0" w:right="0" w:rightChars="0" w:firstLine="600" w:firstLineChars="200"/>
        <w:jc w:val="both"/>
        <w:textAlignment w:val="auto"/>
        <w:outlineLvl w:val="9"/>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绩效自评得分情况及存在的主要问题</w:t>
      </w:r>
    </w:p>
    <w:p>
      <w:pPr>
        <w:pStyle w:val="17"/>
        <w:autoSpaceDE w:val="0"/>
        <w:spacing w:before="0" w:beforeAutospacing="0" w:after="0" w:afterAutospacing="0" w:line="580" w:lineRule="exact"/>
        <w:ind w:firstLine="600" w:firstLineChars="200"/>
        <w:jc w:val="both"/>
        <w:rPr>
          <w:rFonts w:hint="eastAsia" w:ascii="仿宋" w:hAnsi="仿宋" w:eastAsia="仿宋" w:cs="仿宋"/>
          <w:kern w:val="2"/>
          <w:sz w:val="30"/>
          <w:szCs w:val="30"/>
          <w:lang w:val="en-US" w:eastAsia="zh-CN" w:bidi="ar-SA"/>
        </w:rPr>
      </w:pPr>
      <w:r>
        <w:rPr>
          <w:rFonts w:hint="eastAsia" w:ascii="仿宋" w:hAnsi="仿宋" w:eastAsia="仿宋" w:cs="仿宋"/>
          <w:b/>
          <w:bCs/>
          <w:sz w:val="30"/>
          <w:szCs w:val="30"/>
          <w:lang w:val="en-US" w:eastAsia="zh-CN"/>
        </w:rPr>
        <w:t xml:space="preserve"> </w:t>
      </w:r>
      <w:r>
        <w:rPr>
          <w:rFonts w:hint="eastAsia" w:ascii="仿宋" w:hAnsi="仿宋" w:eastAsia="仿宋" w:cs="仿宋"/>
          <w:kern w:val="2"/>
          <w:sz w:val="30"/>
          <w:szCs w:val="30"/>
          <w:lang w:val="en-US" w:eastAsia="zh-CN" w:bidi="ar-SA"/>
        </w:rPr>
        <w:t>在资金预算安排、使用过程中存在以下几个问题：</w:t>
      </w:r>
    </w:p>
    <w:p>
      <w:pPr>
        <w:pStyle w:val="17"/>
        <w:autoSpaceDE w:val="0"/>
        <w:spacing w:before="0" w:beforeAutospacing="0" w:after="0" w:afterAutospacing="0" w:line="580" w:lineRule="exact"/>
        <w:jc w:val="both"/>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　  1、政策性经费支出预算安排不足。国家有政策规定，但预算安排不足，无法满足实际需求，譬如民警加班补助，只预算了总额的一半经费，缺口达100多万，只能调剂其他资金使用。</w:t>
      </w:r>
    </w:p>
    <w:p>
      <w:pPr>
        <w:pStyle w:val="17"/>
        <w:autoSpaceDE w:val="0"/>
        <w:spacing w:before="0" w:beforeAutospacing="0" w:after="0" w:afterAutospacing="0" w:line="580" w:lineRule="exact"/>
        <w:jc w:val="both"/>
        <w:rPr>
          <w:rFonts w:hint="default" w:ascii="仿宋" w:hAnsi="仿宋" w:eastAsia="仿宋" w:cs="仿宋"/>
          <w:b/>
          <w:bCs/>
          <w:sz w:val="30"/>
          <w:szCs w:val="30"/>
          <w:lang w:val="en-US" w:eastAsia="zh-CN"/>
        </w:rPr>
      </w:pPr>
      <w:r>
        <w:rPr>
          <w:rFonts w:hint="eastAsia" w:ascii="仿宋" w:hAnsi="仿宋" w:eastAsia="仿宋" w:cs="仿宋"/>
          <w:kern w:val="2"/>
          <w:sz w:val="30"/>
          <w:szCs w:val="30"/>
          <w:lang w:val="en-US" w:eastAsia="zh-CN" w:bidi="ar-SA"/>
        </w:rPr>
        <w:t>　　2、机关维修需求大，预算无法满足。我局办公大楼1996年建成投入使用，办公用房、机房设备、电缆线路等设备设施已运转使用20年之久，设施设备严重老化，时常影响机关正常运转，维修需求大，财政预算有限，无法满足实际需要。</w:t>
      </w:r>
    </w:p>
    <w:p>
      <w:pPr>
        <w:keepNext w:val="0"/>
        <w:keepLines w:val="0"/>
        <w:pageBreakBefore w:val="0"/>
        <w:widowControl w:val="0"/>
        <w:numPr>
          <w:ilvl w:val="0"/>
          <w:numId w:val="2"/>
        </w:numPr>
        <w:kinsoku/>
        <w:wordWrap/>
        <w:overflowPunct/>
        <w:topLinePunct w:val="0"/>
        <w:autoSpaceDE/>
        <w:autoSpaceDN/>
        <w:bidi w:val="0"/>
        <w:adjustRightInd w:val="0"/>
        <w:snapToGrid w:val="0"/>
        <w:spacing w:line="500" w:lineRule="exact"/>
        <w:ind w:left="0" w:leftChars="0" w:right="0" w:rightChars="0" w:firstLine="600" w:firstLineChars="200"/>
        <w:jc w:val="both"/>
        <w:textAlignment w:val="auto"/>
        <w:outlineLvl w:val="9"/>
        <w:rPr>
          <w:rFonts w:hint="eastAsia" w:ascii="仿宋" w:hAnsi="仿宋" w:eastAsia="仿宋" w:cs="仿宋"/>
          <w:b/>
          <w:bCs/>
          <w:sz w:val="30"/>
          <w:szCs w:val="30"/>
        </w:rPr>
      </w:pPr>
      <w:r>
        <w:rPr>
          <w:rFonts w:hint="eastAsia" w:ascii="仿宋" w:hAnsi="仿宋" w:eastAsia="仿宋" w:cs="仿宋"/>
          <w:b/>
          <w:bCs/>
          <w:sz w:val="30"/>
          <w:szCs w:val="30"/>
        </w:rPr>
        <w:t>改进措施和有关建议</w:t>
      </w:r>
    </w:p>
    <w:p>
      <w:pPr>
        <w:pStyle w:val="17"/>
        <w:autoSpaceDE w:val="0"/>
        <w:spacing w:before="0" w:beforeAutospacing="0" w:after="0" w:afterAutospacing="0" w:line="580" w:lineRule="exact"/>
        <w:ind w:firstLine="600" w:firstLineChars="200"/>
        <w:jc w:val="both"/>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推行政府机关绩效管理制度是深入贯彻落实科学发展观、加快转变经济发展方式的必然要求，是推进政府职能转变、提高政府执行力和公信力的重要举措，是转变机关作风、加强政府勤政廉政建设的重要抓手。近年来，我局高度重视绩效工作，从2012年开展专项支出绩效评价起，力求全面客观评价公安工作绩效情况，搞明白花了多少钱，怎么花的，取得了哪些效果，钱花得值不值。下一步，我局将继续加大工作力度，在探索中总结提升，在实践中规范完善，加强绩效管理，不断提升公安工作绩效，进一步发挥公安工作职能作用，为我县经济发展保驾护航，作出更大贡献。</w:t>
      </w:r>
    </w:p>
    <w:p>
      <w:pPr>
        <w:pStyle w:val="17"/>
        <w:autoSpaceDE w:val="0"/>
        <w:spacing w:before="0" w:beforeAutospacing="0" w:after="0" w:afterAutospacing="0" w:line="580" w:lineRule="exact"/>
        <w:jc w:val="both"/>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　　1、完善绩效评价体系，加强监督检查和考核工作。进一步探索完善项目绩效评价指标体系，研究、关注绩效管理理论与实践发展的新思路、新动向，进一步完善项目绩效评价指标体系，增强绩效评价结果的可比性、可信度。加强对绩效管理工作的跟踪督查，做到绩效管理有依据、按程序、有奖惩，实现绩效管理的规范化、常态化。</w:t>
      </w:r>
    </w:p>
    <w:p>
      <w:pPr>
        <w:pStyle w:val="17"/>
        <w:autoSpaceDE w:val="0"/>
        <w:spacing w:before="0" w:beforeAutospacing="0" w:after="0" w:afterAutospacing="0" w:line="580" w:lineRule="exact"/>
        <w:jc w:val="both"/>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　　2、推动相关制度建设，逐步建立以绩效为导向的预算编制模式。从项目绩效评价制度入手，借鉴其他部门在绩效管理方面的经验和做法，制定机关统一的绩效考评制度，并将其贯彻到预算申请、预算分配、项目实施和绩效考评的全过程。把绩效考评的结果作为编制部门预算的重要依据，建立绩效预算激励机制。在预算管理中，将绩效评价从事后评价向预算编制、审查批准、执行过程等前置环节延伸，建立以绩效为导向的预算编制模式。</w:t>
      </w:r>
    </w:p>
    <w:p>
      <w:pPr>
        <w:pStyle w:val="17"/>
        <w:autoSpaceDE w:val="0"/>
        <w:spacing w:before="0" w:beforeAutospacing="0" w:after="0" w:afterAutospacing="0" w:line="580" w:lineRule="exact"/>
        <w:ind w:firstLine="600" w:firstLineChars="200"/>
        <w:jc w:val="both"/>
        <w:rPr>
          <w:rFonts w:hint="eastAsia" w:ascii="仿宋" w:hAnsi="仿宋" w:eastAsia="仿宋" w:cs="仿宋"/>
          <w:kern w:val="2"/>
          <w:sz w:val="30"/>
          <w:szCs w:val="30"/>
          <w:lang w:val="en-US" w:eastAsia="zh-CN" w:bidi="ar-SA"/>
        </w:rPr>
      </w:pPr>
      <w:r>
        <w:rPr>
          <w:rFonts w:hint="eastAsia" w:ascii="仿宋" w:hAnsi="仿宋" w:eastAsia="仿宋" w:cs="仿宋"/>
          <w:kern w:val="2"/>
          <w:sz w:val="30"/>
          <w:szCs w:val="30"/>
          <w:lang w:val="en-US" w:eastAsia="zh-CN" w:bidi="ar-SA"/>
        </w:rPr>
        <w:t>3、统筹协调，厘定提高资金使用绩效的关节点。切实提高资金使用绩效，找到突破口与关节点。财务工作的关节点很多，比如纵向来看，财务数据按照部门细分是什么情况，按照人均是什么情况；个案是什么情况，不同分类是什么情况。在比较中进行分析，才能凸显数据价值，找到问题的节点。找到问题的节点，才能对症下药，采取得力措施，降低行政运行成本，提高资金使用绩效，真正做到依法理财、科学理财、民主理财。</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Chars="200" w:right="0" w:rightChars="0"/>
        <w:jc w:val="both"/>
        <w:textAlignment w:val="auto"/>
        <w:outlineLvl w:val="9"/>
        <w:rPr>
          <w:rFonts w:hint="eastAsia" w:ascii="仿宋" w:hAnsi="仿宋" w:eastAsia="仿宋" w:cs="仿宋"/>
          <w:b/>
          <w:bCs/>
          <w:sz w:val="30"/>
          <w:szCs w:val="30"/>
        </w:rPr>
      </w:pPr>
    </w:p>
    <w:p>
      <w:pPr>
        <w:widowControl/>
        <w:ind w:firstLine="280" w:firstLineChars="100"/>
        <w:rPr>
          <w:rFonts w:hint="eastAsia" w:ascii="黑体" w:hAnsi="宋体" w:eastAsia="黑体" w:cs="宋体"/>
          <w:bCs/>
          <w:kern w:val="0"/>
          <w:sz w:val="28"/>
          <w:szCs w:val="28"/>
          <w:lang w:eastAsia="zh-CN"/>
        </w:rPr>
      </w:pPr>
      <w:r>
        <w:rPr>
          <w:rFonts w:hint="eastAsia" w:ascii="黑体" w:hAnsi="宋体" w:eastAsia="黑体" w:cs="宋体"/>
          <w:bCs/>
          <w:kern w:val="0"/>
          <w:sz w:val="28"/>
          <w:szCs w:val="28"/>
        </w:rPr>
        <w:t>附</w:t>
      </w:r>
      <w:r>
        <w:rPr>
          <w:rFonts w:hint="eastAsia" w:ascii="黑体" w:hAnsi="宋体" w:eastAsia="黑体" w:cs="宋体"/>
          <w:bCs/>
          <w:kern w:val="0"/>
          <w:sz w:val="28"/>
          <w:szCs w:val="28"/>
          <w:lang w:eastAsia="zh-CN"/>
        </w:rPr>
        <w:t>表：</w:t>
      </w:r>
    </w:p>
    <w:p>
      <w:pPr>
        <w:spacing w:line="560" w:lineRule="exact"/>
        <w:jc w:val="center"/>
        <w:rPr>
          <w:rFonts w:hint="eastAsia"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部门整体支出绩效评价表</w:t>
      </w:r>
    </w:p>
    <w:tbl>
      <w:tblPr>
        <w:tblStyle w:val="6"/>
        <w:tblW w:w="0" w:type="auto"/>
        <w:jc w:val="center"/>
        <w:tblLayout w:type="fixed"/>
        <w:tblCellMar>
          <w:top w:w="0" w:type="dxa"/>
          <w:left w:w="108" w:type="dxa"/>
          <w:bottom w:w="0" w:type="dxa"/>
          <w:right w:w="108" w:type="dxa"/>
        </w:tblCellMar>
      </w:tblPr>
      <w:tblGrid>
        <w:gridCol w:w="372"/>
        <w:gridCol w:w="562"/>
        <w:gridCol w:w="548"/>
        <w:gridCol w:w="545"/>
        <w:gridCol w:w="927"/>
        <w:gridCol w:w="420"/>
        <w:gridCol w:w="2638"/>
        <w:gridCol w:w="3285"/>
        <w:gridCol w:w="585"/>
      </w:tblGrid>
      <w:tr>
        <w:tblPrEx>
          <w:tblCellMar>
            <w:top w:w="0" w:type="dxa"/>
            <w:left w:w="108" w:type="dxa"/>
            <w:bottom w:w="0" w:type="dxa"/>
            <w:right w:w="108" w:type="dxa"/>
          </w:tblCellMar>
        </w:tblPrEx>
        <w:trPr>
          <w:tblHeader/>
          <w:jc w:val="center"/>
        </w:trPr>
        <w:tc>
          <w:tcPr>
            <w:tcW w:w="37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一级指标</w:t>
            </w:r>
          </w:p>
        </w:tc>
        <w:tc>
          <w:tcPr>
            <w:tcW w:w="562"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分值</w:t>
            </w:r>
          </w:p>
        </w:tc>
        <w:tc>
          <w:tcPr>
            <w:tcW w:w="548"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二级指标</w:t>
            </w:r>
          </w:p>
        </w:tc>
        <w:tc>
          <w:tcPr>
            <w:tcW w:w="545"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分值</w:t>
            </w:r>
          </w:p>
        </w:tc>
        <w:tc>
          <w:tcPr>
            <w:tcW w:w="927"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三级</w:t>
            </w:r>
          </w:p>
          <w:p>
            <w:pPr>
              <w:widowControl/>
              <w:jc w:val="center"/>
              <w:rPr>
                <w:rFonts w:eastAsia="仿宋_GB2312"/>
                <w:kern w:val="0"/>
                <w:sz w:val="20"/>
                <w:szCs w:val="20"/>
              </w:rPr>
            </w:pPr>
            <w:r>
              <w:rPr>
                <w:rFonts w:eastAsia="仿宋_GB2312"/>
                <w:kern w:val="0"/>
                <w:sz w:val="20"/>
                <w:szCs w:val="20"/>
              </w:rPr>
              <w:t>指标</w:t>
            </w:r>
          </w:p>
        </w:tc>
        <w:tc>
          <w:tcPr>
            <w:tcW w:w="420"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分值</w:t>
            </w:r>
          </w:p>
        </w:tc>
        <w:tc>
          <w:tcPr>
            <w:tcW w:w="2638"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评价标准</w:t>
            </w:r>
          </w:p>
        </w:tc>
        <w:tc>
          <w:tcPr>
            <w:tcW w:w="3285"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指标说明</w:t>
            </w:r>
          </w:p>
        </w:tc>
        <w:tc>
          <w:tcPr>
            <w:tcW w:w="585"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得分</w:t>
            </w:r>
          </w:p>
        </w:tc>
      </w:tr>
      <w:tr>
        <w:tblPrEx>
          <w:tblCellMar>
            <w:top w:w="0" w:type="dxa"/>
            <w:left w:w="108" w:type="dxa"/>
            <w:bottom w:w="0" w:type="dxa"/>
            <w:right w:w="108" w:type="dxa"/>
          </w:tblCellMar>
        </w:tblPrEx>
        <w:trPr>
          <w:trHeight w:val="1814" w:hRule="atLeast"/>
          <w:jc w:val="center"/>
        </w:trPr>
        <w:tc>
          <w:tcPr>
            <w:tcW w:w="372"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投入</w:t>
            </w:r>
          </w:p>
        </w:tc>
        <w:tc>
          <w:tcPr>
            <w:tcW w:w="56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10</w:t>
            </w:r>
          </w:p>
        </w:tc>
        <w:tc>
          <w:tcPr>
            <w:tcW w:w="548" w:type="dxa"/>
            <w:vMerge w:val="restart"/>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预算配置</w:t>
            </w:r>
          </w:p>
        </w:tc>
        <w:tc>
          <w:tcPr>
            <w:tcW w:w="54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10</w:t>
            </w: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在职人员控制率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nil"/>
              <w:right w:val="nil"/>
            </w:tcBorders>
            <w:noWrap w:val="0"/>
            <w:vAlign w:val="center"/>
          </w:tcPr>
          <w:p>
            <w:pPr>
              <w:widowControl/>
              <w:jc w:val="left"/>
              <w:rPr>
                <w:rFonts w:eastAsia="仿宋_GB2312"/>
                <w:kern w:val="0"/>
                <w:sz w:val="20"/>
                <w:szCs w:val="20"/>
              </w:rPr>
            </w:pPr>
            <w:r>
              <w:rPr>
                <w:rFonts w:eastAsia="仿宋_GB2312"/>
                <w:kern w:val="0"/>
                <w:sz w:val="20"/>
                <w:szCs w:val="20"/>
              </w:rPr>
              <w:t>以100%为标准。在职人员控制率</w:t>
            </w:r>
            <w:r>
              <w:rPr>
                <w:kern w:val="0"/>
                <w:sz w:val="20"/>
                <w:szCs w:val="20"/>
              </w:rPr>
              <w:t>≦</w:t>
            </w:r>
            <w:r>
              <w:rPr>
                <w:rFonts w:eastAsia="仿宋_GB2312"/>
                <w:kern w:val="0"/>
                <w:sz w:val="20"/>
                <w:szCs w:val="20"/>
              </w:rPr>
              <w:t>100%，计5分；每超过一个百分点扣0.5分，扣完为止。</w:t>
            </w:r>
          </w:p>
        </w:tc>
        <w:tc>
          <w:tcPr>
            <w:tcW w:w="3285" w:type="dxa"/>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在职人员控制率=（在职人员数/编制数）×100%，在职人员数：部门（单位）实际在职人数，以</w:t>
            </w:r>
            <w:r>
              <w:rPr>
                <w:rFonts w:hint="eastAsia" w:eastAsia="仿宋_GB2312"/>
                <w:kern w:val="0"/>
                <w:sz w:val="20"/>
                <w:szCs w:val="20"/>
              </w:rPr>
              <w:t>市</w:t>
            </w:r>
            <w:r>
              <w:rPr>
                <w:rFonts w:eastAsia="仿宋_GB2312"/>
                <w:kern w:val="0"/>
                <w:sz w:val="20"/>
                <w:szCs w:val="20"/>
              </w:rPr>
              <w:t>财政</w:t>
            </w:r>
            <w:r>
              <w:rPr>
                <w:rFonts w:hint="eastAsia" w:eastAsia="仿宋_GB2312"/>
                <w:kern w:val="0"/>
                <w:sz w:val="20"/>
                <w:szCs w:val="20"/>
              </w:rPr>
              <w:t>局</w:t>
            </w:r>
            <w:r>
              <w:rPr>
                <w:rFonts w:eastAsia="仿宋_GB2312"/>
                <w:kern w:val="0"/>
                <w:sz w:val="20"/>
                <w:szCs w:val="20"/>
              </w:rPr>
              <w:t>确定的部门决算编制口径为准。</w:t>
            </w:r>
            <w:r>
              <w:rPr>
                <w:rFonts w:eastAsia="仿宋_GB2312"/>
                <w:kern w:val="0"/>
                <w:sz w:val="20"/>
                <w:szCs w:val="20"/>
              </w:rPr>
              <w:br w:type="textWrapping"/>
            </w:r>
            <w:r>
              <w:rPr>
                <w:rFonts w:eastAsia="仿宋_GB2312"/>
                <w:kern w:val="0"/>
                <w:sz w:val="20"/>
                <w:szCs w:val="20"/>
              </w:rPr>
              <w:t>编制数：机构编制部门核定批复的部门（单位）的人员编制数。</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5</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“三公经费”变动率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single" w:color="auto" w:sz="4" w:space="0"/>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“三公经费”变动率</w:t>
            </w:r>
            <w:r>
              <w:rPr>
                <w:kern w:val="0"/>
                <w:sz w:val="20"/>
                <w:szCs w:val="20"/>
              </w:rPr>
              <w:t>≦</w:t>
            </w:r>
            <w:r>
              <w:rPr>
                <w:rFonts w:eastAsia="仿宋_GB2312"/>
                <w:kern w:val="0"/>
                <w:sz w:val="20"/>
                <w:szCs w:val="20"/>
              </w:rPr>
              <w:t>0,计8分；“三公经费”＞0，每超过一个百分点扣0.8分，扣完为止。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“三公经费”变动率=[（本年度“三公经费”预算数-上年度“三公经费”预算数）/上年度“三公经费”预算数]×100%</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5</w:t>
            </w:r>
          </w:p>
        </w:tc>
      </w:tr>
      <w:tr>
        <w:tblPrEx>
          <w:tblCellMar>
            <w:top w:w="0" w:type="dxa"/>
            <w:left w:w="108" w:type="dxa"/>
            <w:bottom w:w="0" w:type="dxa"/>
            <w:right w:w="108" w:type="dxa"/>
          </w:tblCellMar>
        </w:tblPrEx>
        <w:trPr>
          <w:jc w:val="center"/>
        </w:trPr>
        <w:tc>
          <w:tcPr>
            <w:tcW w:w="37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过                                                                                                                                       程</w:t>
            </w:r>
          </w:p>
        </w:tc>
        <w:tc>
          <w:tcPr>
            <w:tcW w:w="56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60</w:t>
            </w:r>
          </w:p>
        </w:tc>
        <w:tc>
          <w:tcPr>
            <w:tcW w:w="548"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预算执行</w:t>
            </w:r>
          </w:p>
        </w:tc>
        <w:tc>
          <w:tcPr>
            <w:tcW w:w="54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20</w:t>
            </w: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预算完成率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100%计满分，每低于5%扣2分，扣完为止。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预算完成率=（上年结转+年初预算+本年追加预算-年末结余）/（上年结转+年初预算+本年追加预算）×100%。</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5</w:t>
            </w:r>
          </w:p>
        </w:tc>
      </w:tr>
      <w:tr>
        <w:tblPrEx>
          <w:tblCellMar>
            <w:top w:w="0" w:type="dxa"/>
            <w:left w:w="108" w:type="dxa"/>
            <w:bottom w:w="0" w:type="dxa"/>
            <w:right w:w="108" w:type="dxa"/>
          </w:tblCellMar>
        </w:tblPrEx>
        <w:trPr>
          <w:trHeight w:val="1273"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预算控制率=0，计5分；0-10%（含），计4分；10-20%（含），计3分；20-30%（含），计2分；大于30%不得分。</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预算控制率=（本年追加预算/年初预算）×100%。</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5</w:t>
            </w:r>
          </w:p>
        </w:tc>
      </w:tr>
      <w:tr>
        <w:tblPrEx>
          <w:tblCellMar>
            <w:top w:w="0" w:type="dxa"/>
            <w:left w:w="108" w:type="dxa"/>
            <w:bottom w:w="0" w:type="dxa"/>
            <w:right w:w="108" w:type="dxa"/>
          </w:tblCellMar>
        </w:tblPrEx>
        <w:trPr>
          <w:trHeight w:val="1325"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新建楼堂馆所面积控制率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100%以下（含）计满分，每超出5%扣2分，扣完为止。没有楼堂馆所项目的部门按满分计算。</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楼堂馆所面积控制率=实际建设面积/批准建设面积×100% 。</w:t>
            </w:r>
            <w:r>
              <w:rPr>
                <w:rFonts w:eastAsia="仿宋_GB2312"/>
                <w:kern w:val="0"/>
                <w:sz w:val="20"/>
                <w:szCs w:val="20"/>
              </w:rPr>
              <w:br w:type="textWrapping"/>
            </w:r>
            <w:r>
              <w:rPr>
                <w:rFonts w:eastAsia="仿宋_GB2312"/>
                <w:kern w:val="0"/>
                <w:sz w:val="20"/>
                <w:szCs w:val="20"/>
              </w:rPr>
              <w:t>该指标以201</w:t>
            </w:r>
            <w:r>
              <w:rPr>
                <w:rFonts w:hint="eastAsia" w:eastAsia="仿宋_GB2312"/>
                <w:kern w:val="0"/>
                <w:sz w:val="20"/>
                <w:szCs w:val="20"/>
              </w:rPr>
              <w:t>7</w:t>
            </w:r>
            <w:r>
              <w:rPr>
                <w:rFonts w:eastAsia="仿宋_GB2312"/>
                <w:kern w:val="0"/>
                <w:sz w:val="20"/>
                <w:szCs w:val="20"/>
              </w:rPr>
              <w:t>年完工的新建楼堂馆所为评价内容。</w:t>
            </w:r>
          </w:p>
        </w:tc>
        <w:tc>
          <w:tcPr>
            <w:tcW w:w="585" w:type="dxa"/>
            <w:tcBorders>
              <w:top w:val="nil"/>
              <w:left w:val="nil"/>
              <w:bottom w:val="single" w:color="auto" w:sz="4" w:space="0"/>
              <w:right w:val="single" w:color="auto" w:sz="4" w:space="0"/>
            </w:tcBorders>
            <w:noWrap w:val="0"/>
            <w:vAlign w:val="center"/>
          </w:tcPr>
          <w:p>
            <w:pPr>
              <w:widowControl/>
              <w:ind w:firstLine="200" w:firstLineChars="100"/>
              <w:jc w:val="left"/>
              <w:rPr>
                <w:rFonts w:hint="eastAsia" w:eastAsia="宋体"/>
                <w:kern w:val="0"/>
                <w:sz w:val="20"/>
                <w:szCs w:val="20"/>
                <w:lang w:val="en-US" w:eastAsia="zh-CN"/>
              </w:rPr>
            </w:pPr>
            <w:r>
              <w:rPr>
                <w:rFonts w:hint="eastAsia"/>
                <w:kern w:val="0"/>
                <w:sz w:val="20"/>
                <w:szCs w:val="20"/>
                <w:lang w:val="en-US" w:eastAsia="zh-CN"/>
              </w:rPr>
              <w:t>5</w:t>
            </w:r>
          </w:p>
        </w:tc>
      </w:tr>
      <w:tr>
        <w:tblPrEx>
          <w:tblCellMar>
            <w:top w:w="0" w:type="dxa"/>
            <w:left w:w="108" w:type="dxa"/>
            <w:bottom w:w="0" w:type="dxa"/>
            <w:right w:w="108" w:type="dxa"/>
          </w:tblCellMar>
        </w:tblPrEx>
        <w:trPr>
          <w:trHeight w:val="1543"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新建楼堂馆所投资概算控制率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100%以下（含）计满分，每超出5%扣2分，扣完为止。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楼堂馆所投资预算控制率=实际投资金额/批准投资金额×100% 。</w:t>
            </w:r>
            <w:r>
              <w:rPr>
                <w:rFonts w:eastAsia="仿宋_GB2312"/>
                <w:kern w:val="0"/>
                <w:sz w:val="20"/>
                <w:szCs w:val="20"/>
              </w:rPr>
              <w:br w:type="textWrapping"/>
            </w:r>
            <w:r>
              <w:rPr>
                <w:rFonts w:eastAsia="仿宋_GB2312"/>
                <w:kern w:val="0"/>
                <w:sz w:val="20"/>
                <w:szCs w:val="20"/>
              </w:rPr>
              <w:t>该指标以201</w:t>
            </w:r>
            <w:r>
              <w:rPr>
                <w:rFonts w:hint="eastAsia" w:eastAsia="仿宋_GB2312"/>
                <w:kern w:val="0"/>
                <w:sz w:val="20"/>
                <w:szCs w:val="20"/>
              </w:rPr>
              <w:t>7</w:t>
            </w:r>
            <w:r>
              <w:rPr>
                <w:rFonts w:eastAsia="仿宋_GB2312"/>
                <w:kern w:val="0"/>
                <w:sz w:val="20"/>
                <w:szCs w:val="20"/>
              </w:rPr>
              <w:t>年完工的新建楼堂馆所为评价内容。</w:t>
            </w:r>
          </w:p>
        </w:tc>
        <w:tc>
          <w:tcPr>
            <w:tcW w:w="585" w:type="dxa"/>
            <w:tcBorders>
              <w:top w:val="nil"/>
              <w:left w:val="nil"/>
              <w:bottom w:val="single" w:color="auto" w:sz="4" w:space="0"/>
              <w:right w:val="single" w:color="auto" w:sz="4" w:space="0"/>
            </w:tcBorders>
            <w:noWrap w:val="0"/>
            <w:vAlign w:val="center"/>
          </w:tcPr>
          <w:p>
            <w:pPr>
              <w:widowControl/>
              <w:jc w:val="left"/>
              <w:rPr>
                <w:kern w:val="0"/>
                <w:sz w:val="20"/>
                <w:szCs w:val="20"/>
                <w:lang w:val="en-US"/>
              </w:rPr>
            </w:pPr>
            <w:r>
              <w:rPr>
                <w:rFonts w:hint="eastAsia"/>
                <w:kern w:val="0"/>
                <w:sz w:val="20"/>
                <w:szCs w:val="20"/>
                <w:lang w:val="en-US" w:eastAsia="zh-CN"/>
              </w:rPr>
              <w:t xml:space="preserve">  5</w:t>
            </w:r>
          </w:p>
        </w:tc>
      </w:tr>
      <w:tr>
        <w:tblPrEx>
          <w:tblCellMar>
            <w:top w:w="0" w:type="dxa"/>
            <w:left w:w="108" w:type="dxa"/>
            <w:bottom w:w="0" w:type="dxa"/>
            <w:right w:w="108" w:type="dxa"/>
          </w:tblCellMar>
        </w:tblPrEx>
        <w:trPr>
          <w:trHeight w:val="1562"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预算管理</w:t>
            </w:r>
          </w:p>
        </w:tc>
        <w:tc>
          <w:tcPr>
            <w:tcW w:w="54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40</w:t>
            </w: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公用经费控制率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8</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100%以下（含）计满分，每超出1%扣1分，扣完为止。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公用经费控制率=（实际支出公用经费总额/预算安排公用经费总额）×100%。</w:t>
            </w:r>
            <w:r>
              <w:rPr>
                <w:rFonts w:eastAsia="仿宋_GB2312"/>
                <w:kern w:val="0"/>
                <w:sz w:val="20"/>
                <w:szCs w:val="20"/>
              </w:rPr>
              <w:br w:type="textWrapping"/>
            </w:r>
            <w:r>
              <w:rPr>
                <w:rFonts w:eastAsia="仿宋_GB2312"/>
                <w:kern w:val="0"/>
                <w:sz w:val="20"/>
                <w:szCs w:val="20"/>
              </w:rPr>
              <w:t>公用经费支出是指部门基本支出中的一般商品和服务支出。</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8</w:t>
            </w:r>
          </w:p>
        </w:tc>
      </w:tr>
      <w:tr>
        <w:tblPrEx>
          <w:tblCellMar>
            <w:top w:w="0" w:type="dxa"/>
            <w:left w:w="108" w:type="dxa"/>
            <w:bottom w:w="0" w:type="dxa"/>
            <w:right w:w="108" w:type="dxa"/>
          </w:tblCellMar>
        </w:tblPrEx>
        <w:trPr>
          <w:trHeight w:val="1073"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“三公经费”控制率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7</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100%以下（含）计满分，每超出1%扣1分，扣完为止。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“三公经费”控制率-（“三公经费”实际支出数/“三公经费”预算安排数）×100%。</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7</w:t>
            </w:r>
          </w:p>
        </w:tc>
      </w:tr>
      <w:tr>
        <w:tblPrEx>
          <w:tblCellMar>
            <w:top w:w="0" w:type="dxa"/>
            <w:left w:w="108" w:type="dxa"/>
            <w:bottom w:w="0" w:type="dxa"/>
            <w:right w:w="108" w:type="dxa"/>
          </w:tblCellMar>
        </w:tblPrEx>
        <w:trPr>
          <w:trHeight w:val="918" w:hRule="atLeast"/>
          <w:jc w:val="center"/>
        </w:trPr>
        <w:tc>
          <w:tcPr>
            <w:tcW w:w="372"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政府采购执行率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100%计满分，每超过（降低）5%扣2分。扣完为止。</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政府采购执行率=（实际政府采购金额/政府采购预算数）×100%</w:t>
            </w:r>
          </w:p>
        </w:tc>
        <w:tc>
          <w:tcPr>
            <w:tcW w:w="585" w:type="dxa"/>
            <w:tcBorders>
              <w:top w:val="nil"/>
              <w:left w:val="nil"/>
              <w:bottom w:val="single" w:color="auto" w:sz="4" w:space="0"/>
              <w:right w:val="single" w:color="auto" w:sz="4" w:space="0"/>
            </w:tcBorders>
            <w:noWrap w:val="0"/>
            <w:vAlign w:val="center"/>
          </w:tcPr>
          <w:p>
            <w:pPr>
              <w:widowControl/>
              <w:ind w:firstLine="200" w:firstLineChars="100"/>
              <w:jc w:val="left"/>
              <w:rPr>
                <w:kern w:val="0"/>
                <w:sz w:val="20"/>
                <w:szCs w:val="20"/>
              </w:rPr>
            </w:pPr>
            <w:r>
              <w:rPr>
                <w:rFonts w:hint="eastAsia"/>
                <w:kern w:val="0"/>
                <w:sz w:val="20"/>
                <w:szCs w:val="20"/>
                <w:lang w:val="en-US" w:eastAsia="zh-CN"/>
              </w:rPr>
              <w:t>6</w:t>
            </w:r>
            <w:r>
              <w:rPr>
                <w:kern w:val="0"/>
                <w:sz w:val="20"/>
                <w:szCs w:val="20"/>
              </w:rPr>
              <w:t>　</w:t>
            </w:r>
          </w:p>
        </w:tc>
      </w:tr>
      <w:tr>
        <w:tblPrEx>
          <w:tblCellMar>
            <w:top w:w="0" w:type="dxa"/>
            <w:left w:w="108" w:type="dxa"/>
            <w:bottom w:w="0" w:type="dxa"/>
            <w:right w:w="108" w:type="dxa"/>
          </w:tblCellMar>
        </w:tblPrEx>
        <w:trPr>
          <w:jc w:val="center"/>
        </w:trPr>
        <w:tc>
          <w:tcPr>
            <w:tcW w:w="372" w:type="dxa"/>
            <w:vMerge w:val="restart"/>
            <w:tcBorders>
              <w:top w:val="single" w:color="auto" w:sz="4" w:space="0"/>
              <w:left w:val="single" w:color="auto" w:sz="4" w:space="0"/>
              <w:bottom w:val="single" w:color="000000" w:sz="4" w:space="0"/>
              <w:right w:val="single" w:color="auto" w:sz="4" w:space="0"/>
            </w:tcBorders>
            <w:noWrap w:val="0"/>
            <w:vAlign w:val="center"/>
          </w:tcPr>
          <w:p>
            <w:pPr>
              <w:jc w:val="left"/>
              <w:rPr>
                <w:rFonts w:eastAsia="仿宋_GB2312"/>
                <w:kern w:val="0"/>
                <w:sz w:val="20"/>
                <w:szCs w:val="20"/>
              </w:rPr>
            </w:pPr>
            <w:r>
              <w:rPr>
                <w:rFonts w:eastAsia="仿宋_GB2312"/>
                <w:kern w:val="0"/>
                <w:sz w:val="20"/>
                <w:szCs w:val="20"/>
              </w:rPr>
              <w:t>过                                                                                                                                       程</w:t>
            </w:r>
          </w:p>
        </w:tc>
        <w:tc>
          <w:tcPr>
            <w:tcW w:w="562" w:type="dxa"/>
            <w:vMerge w:val="restart"/>
            <w:tcBorders>
              <w:top w:val="single" w:color="auto" w:sz="4" w:space="0"/>
              <w:left w:val="single" w:color="auto" w:sz="4" w:space="0"/>
              <w:bottom w:val="single" w:color="000000" w:sz="4" w:space="0"/>
              <w:right w:val="single" w:color="auto" w:sz="4" w:space="0"/>
            </w:tcBorders>
            <w:noWrap w:val="0"/>
            <w:vAlign w:val="center"/>
          </w:tcPr>
          <w:p>
            <w:pPr>
              <w:jc w:val="left"/>
              <w:rPr>
                <w:rFonts w:eastAsia="仿宋_GB2312"/>
                <w:kern w:val="0"/>
                <w:sz w:val="20"/>
                <w:szCs w:val="20"/>
              </w:rPr>
            </w:pPr>
          </w:p>
        </w:tc>
        <w:tc>
          <w:tcPr>
            <w:tcW w:w="548" w:type="dxa"/>
            <w:vMerge w:val="restart"/>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预算管理</w:t>
            </w: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管理制度健全性</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8</w:t>
            </w:r>
          </w:p>
        </w:tc>
        <w:tc>
          <w:tcPr>
            <w:tcW w:w="5923" w:type="dxa"/>
            <w:gridSpan w:val="2"/>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①有内部财务管理制度、会计核算制度等管理制度，2分；</w:t>
            </w:r>
            <w:r>
              <w:rPr>
                <w:rFonts w:eastAsia="仿宋_GB2312"/>
                <w:kern w:val="0"/>
                <w:sz w:val="20"/>
                <w:szCs w:val="20"/>
              </w:rPr>
              <w:br w:type="textWrapping"/>
            </w:r>
            <w:r>
              <w:rPr>
                <w:rFonts w:eastAsia="仿宋_GB2312"/>
                <w:kern w:val="0"/>
                <w:sz w:val="20"/>
                <w:szCs w:val="20"/>
              </w:rPr>
              <w:t>②有本部门厉行节约制度,2分；</w:t>
            </w:r>
            <w:r>
              <w:rPr>
                <w:rFonts w:eastAsia="仿宋_GB2312"/>
                <w:kern w:val="0"/>
                <w:sz w:val="20"/>
                <w:szCs w:val="20"/>
              </w:rPr>
              <w:br w:type="textWrapping"/>
            </w:r>
            <w:r>
              <w:rPr>
                <w:rFonts w:eastAsia="仿宋_GB2312"/>
                <w:kern w:val="0"/>
                <w:sz w:val="20"/>
                <w:szCs w:val="20"/>
              </w:rPr>
              <w:t>③相关管理制度合法、合规、完整，2分；④相关管理制度得到有效执行，2分。</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8</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资金使用合规性</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6</w:t>
            </w:r>
          </w:p>
        </w:tc>
        <w:tc>
          <w:tcPr>
            <w:tcW w:w="5923" w:type="dxa"/>
            <w:gridSpan w:val="2"/>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①支出符合国家财经法规和财务管理制度规定以及有关专项资金管理办法的规定；②资金拨付有完整的审批程序和手续；③项目支出按规定经过评估论证；④支出符合部门预算批复的用途；⑤资金使用无截留、挤占、挪用、虚列支出等情况。</w:t>
            </w:r>
            <w:r>
              <w:rPr>
                <w:rFonts w:eastAsia="仿宋_GB2312"/>
                <w:kern w:val="0"/>
                <w:sz w:val="20"/>
                <w:szCs w:val="20"/>
              </w:rPr>
              <w:br w:type="textWrapping"/>
            </w:r>
            <w:r>
              <w:rPr>
                <w:rFonts w:eastAsia="仿宋_GB2312"/>
                <w:kern w:val="0"/>
                <w:sz w:val="20"/>
                <w:szCs w:val="20"/>
              </w:rPr>
              <w:t>以上情况每出现一例不符合要求的扣1分，扣完为止。</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6</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预决算信息公开性</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 xml:space="preserve">①按规定内容公开预决算信息，1分；②按规定时限公开预决算信息，1分；③基础数据信息和会计信息资料真实，1分；④基础数据信息和会计信息资料完整，1分；⑤基础数据信息和汇集信息资料准确，1分。  </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预决算信息是指与部门预算、执行、决算、监督、绩效等管理相关的信息。</w:t>
            </w:r>
          </w:p>
        </w:tc>
        <w:tc>
          <w:tcPr>
            <w:tcW w:w="585" w:type="dxa"/>
            <w:tcBorders>
              <w:top w:val="nil"/>
              <w:left w:val="nil"/>
              <w:bottom w:val="single" w:color="auto" w:sz="4" w:space="0"/>
              <w:right w:val="single" w:color="auto" w:sz="4" w:space="0"/>
            </w:tcBorders>
            <w:noWrap w:val="0"/>
            <w:vAlign w:val="center"/>
          </w:tcPr>
          <w:p>
            <w:pPr>
              <w:widowControl/>
              <w:ind w:firstLine="200" w:firstLineChars="100"/>
              <w:jc w:val="left"/>
              <w:rPr>
                <w:kern w:val="0"/>
                <w:sz w:val="20"/>
                <w:szCs w:val="20"/>
              </w:rPr>
            </w:pPr>
            <w:r>
              <w:rPr>
                <w:rFonts w:hint="eastAsia"/>
                <w:kern w:val="0"/>
                <w:sz w:val="20"/>
                <w:szCs w:val="20"/>
                <w:lang w:val="en-US" w:eastAsia="zh-CN"/>
              </w:rPr>
              <w:t>5</w:t>
            </w:r>
            <w:r>
              <w:rPr>
                <w:kern w:val="0"/>
                <w:sz w:val="20"/>
                <w:szCs w:val="20"/>
              </w:rPr>
              <w:t>　</w:t>
            </w:r>
          </w:p>
        </w:tc>
      </w:tr>
      <w:tr>
        <w:tblPrEx>
          <w:tblCellMar>
            <w:top w:w="0" w:type="dxa"/>
            <w:left w:w="108" w:type="dxa"/>
            <w:bottom w:w="0" w:type="dxa"/>
            <w:right w:w="108" w:type="dxa"/>
          </w:tblCellMar>
        </w:tblPrEx>
        <w:trPr>
          <w:jc w:val="center"/>
        </w:trPr>
        <w:tc>
          <w:tcPr>
            <w:tcW w:w="37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产出及效率</w:t>
            </w:r>
          </w:p>
        </w:tc>
        <w:tc>
          <w:tcPr>
            <w:tcW w:w="56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30</w:t>
            </w:r>
          </w:p>
        </w:tc>
        <w:tc>
          <w:tcPr>
            <w:tcW w:w="548"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职责履行</w:t>
            </w:r>
          </w:p>
        </w:tc>
        <w:tc>
          <w:tcPr>
            <w:tcW w:w="545"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8</w:t>
            </w:r>
          </w:p>
        </w:tc>
        <w:tc>
          <w:tcPr>
            <w:tcW w:w="927" w:type="dxa"/>
            <w:tcBorders>
              <w:top w:val="nil"/>
              <w:left w:val="nil"/>
              <w:bottom w:val="nil"/>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重点工作实际完成率</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8</w:t>
            </w:r>
          </w:p>
        </w:tc>
        <w:tc>
          <w:tcPr>
            <w:tcW w:w="5923" w:type="dxa"/>
            <w:gridSpan w:val="2"/>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根据绩效办201</w:t>
            </w:r>
            <w:r>
              <w:rPr>
                <w:rFonts w:hint="eastAsia" w:eastAsia="仿宋_GB2312"/>
                <w:kern w:val="0"/>
                <w:sz w:val="20"/>
                <w:szCs w:val="20"/>
              </w:rPr>
              <w:t>7</w:t>
            </w:r>
            <w:r>
              <w:rPr>
                <w:rFonts w:eastAsia="仿宋_GB2312"/>
                <w:kern w:val="0"/>
                <w:sz w:val="20"/>
                <w:szCs w:val="20"/>
              </w:rPr>
              <w:t>年对各部门为民办实事和部门重点工程与重点工作考核分数折算。</w:t>
            </w:r>
            <w:r>
              <w:rPr>
                <w:rFonts w:eastAsia="仿宋_GB2312"/>
                <w:kern w:val="0"/>
                <w:sz w:val="20"/>
                <w:szCs w:val="20"/>
              </w:rPr>
              <w:br w:type="textWrapping"/>
            </w:r>
            <w:r>
              <w:rPr>
                <w:rFonts w:eastAsia="仿宋_GB2312"/>
                <w:kern w:val="0"/>
                <w:sz w:val="20"/>
                <w:szCs w:val="20"/>
              </w:rPr>
              <w:t>该项得分=（绩效办对应部分考核得分/350）*8</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8</w:t>
            </w:r>
          </w:p>
        </w:tc>
      </w:tr>
      <w:tr>
        <w:tblPrEx>
          <w:tblCellMar>
            <w:top w:w="0" w:type="dxa"/>
            <w:left w:w="108" w:type="dxa"/>
            <w:bottom w:w="0" w:type="dxa"/>
            <w:right w:w="108" w:type="dxa"/>
          </w:tblCellMar>
        </w:tblPrEx>
        <w:trPr>
          <w:trHeight w:val="445"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履职 效益</w:t>
            </w:r>
          </w:p>
        </w:tc>
        <w:tc>
          <w:tcPr>
            <w:tcW w:w="54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10</w:t>
            </w:r>
          </w:p>
        </w:tc>
        <w:tc>
          <w:tcPr>
            <w:tcW w:w="927"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经济效益</w:t>
            </w:r>
          </w:p>
        </w:tc>
        <w:tc>
          <w:tcPr>
            <w:tcW w:w="420" w:type="dxa"/>
            <w:vMerge w:val="restart"/>
            <w:tcBorders>
              <w:top w:val="nil"/>
              <w:left w:val="single" w:color="auto" w:sz="4" w:space="0"/>
              <w:bottom w:val="nil"/>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10</w:t>
            </w:r>
          </w:p>
        </w:tc>
        <w:tc>
          <w:tcPr>
            <w:tcW w:w="5923" w:type="dxa"/>
            <w:gridSpan w:val="2"/>
            <w:vMerge w:val="restart"/>
            <w:tcBorders>
              <w:top w:val="single" w:color="auto" w:sz="4" w:space="0"/>
              <w:left w:val="single" w:color="auto" w:sz="4" w:space="0"/>
              <w:bottom w:val="nil"/>
              <w:right w:val="single" w:color="000000" w:sz="4" w:space="0"/>
            </w:tcBorders>
            <w:noWrap w:val="0"/>
            <w:vAlign w:val="center"/>
          </w:tcPr>
          <w:p>
            <w:pPr>
              <w:widowControl/>
              <w:jc w:val="left"/>
              <w:rPr>
                <w:rFonts w:eastAsia="仿宋_GB2312"/>
                <w:kern w:val="0"/>
                <w:sz w:val="20"/>
                <w:szCs w:val="20"/>
              </w:rPr>
            </w:pPr>
            <w:r>
              <w:rPr>
                <w:rFonts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85" w:type="dxa"/>
            <w:tcBorders>
              <w:top w:val="nil"/>
              <w:left w:val="nil"/>
              <w:bottom w:val="nil"/>
              <w:right w:val="single" w:color="auto" w:sz="4" w:space="0"/>
            </w:tcBorders>
            <w:noWrap w:val="0"/>
            <w:vAlign w:val="center"/>
          </w:tcPr>
          <w:p>
            <w:pPr>
              <w:widowControl/>
              <w:jc w:val="left"/>
              <w:rPr>
                <w:rFonts w:hint="eastAsia" w:eastAsia="宋体"/>
                <w:kern w:val="0"/>
                <w:sz w:val="20"/>
                <w:szCs w:val="20"/>
                <w:lang w:val="en-US" w:eastAsia="zh-CN"/>
              </w:rPr>
            </w:pPr>
          </w:p>
        </w:tc>
      </w:tr>
      <w:tr>
        <w:tblPrEx>
          <w:tblCellMar>
            <w:top w:w="0" w:type="dxa"/>
            <w:left w:w="108" w:type="dxa"/>
            <w:bottom w:w="0" w:type="dxa"/>
            <w:right w:w="108" w:type="dxa"/>
          </w:tblCellMar>
        </w:tblPrEx>
        <w:trPr>
          <w:trHeight w:val="383" w:hRule="atLeast"/>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社会效益</w:t>
            </w:r>
          </w:p>
        </w:tc>
        <w:tc>
          <w:tcPr>
            <w:tcW w:w="420" w:type="dxa"/>
            <w:vMerge w:val="continue"/>
            <w:tcBorders>
              <w:top w:val="nil"/>
              <w:left w:val="single" w:color="auto" w:sz="4" w:space="0"/>
              <w:bottom w:val="nil"/>
              <w:right w:val="single" w:color="auto" w:sz="4" w:space="0"/>
            </w:tcBorders>
            <w:noWrap w:val="0"/>
            <w:vAlign w:val="center"/>
          </w:tcPr>
          <w:p>
            <w:pPr>
              <w:widowControl/>
              <w:jc w:val="left"/>
              <w:rPr>
                <w:rFonts w:eastAsia="仿宋_GB2312"/>
                <w:kern w:val="0"/>
                <w:sz w:val="20"/>
                <w:szCs w:val="20"/>
              </w:rPr>
            </w:pPr>
          </w:p>
        </w:tc>
        <w:tc>
          <w:tcPr>
            <w:tcW w:w="5923" w:type="dxa"/>
            <w:gridSpan w:val="2"/>
            <w:vMerge w:val="continue"/>
            <w:tcBorders>
              <w:top w:val="single" w:color="auto" w:sz="4" w:space="0"/>
              <w:left w:val="single" w:color="auto" w:sz="4" w:space="0"/>
              <w:bottom w:val="nil"/>
              <w:right w:val="single" w:color="000000" w:sz="4" w:space="0"/>
            </w:tcBorders>
            <w:noWrap w:val="0"/>
            <w:vAlign w:val="center"/>
          </w:tcPr>
          <w:p>
            <w:pPr>
              <w:widowControl/>
              <w:jc w:val="left"/>
              <w:rPr>
                <w:rFonts w:eastAsia="仿宋_GB2312"/>
                <w:kern w:val="0"/>
                <w:sz w:val="20"/>
                <w:szCs w:val="20"/>
              </w:rPr>
            </w:pPr>
          </w:p>
        </w:tc>
        <w:tc>
          <w:tcPr>
            <w:tcW w:w="585" w:type="dxa"/>
            <w:tcBorders>
              <w:top w:val="nil"/>
              <w:left w:val="nil"/>
              <w:bottom w:val="nil"/>
              <w:right w:val="single" w:color="auto" w:sz="4" w:space="0"/>
            </w:tcBorders>
            <w:noWrap w:val="0"/>
            <w:vAlign w:val="center"/>
          </w:tcPr>
          <w:p>
            <w:pPr>
              <w:widowControl/>
              <w:jc w:val="left"/>
              <w:rPr>
                <w:rFonts w:hint="default" w:eastAsiaTheme="minorEastAsia"/>
                <w:kern w:val="0"/>
                <w:sz w:val="20"/>
                <w:szCs w:val="20"/>
                <w:lang w:val="en-US" w:eastAsia="zh-CN"/>
              </w:rPr>
            </w:pPr>
            <w:r>
              <w:rPr>
                <w:kern w:val="0"/>
                <w:sz w:val="20"/>
                <w:szCs w:val="20"/>
              </w:rPr>
              <w:t>　</w:t>
            </w:r>
            <w:r>
              <w:rPr>
                <w:rFonts w:hint="eastAsia"/>
                <w:kern w:val="0"/>
                <w:sz w:val="20"/>
                <w:szCs w:val="20"/>
                <w:lang w:val="en-US" w:eastAsia="zh-CN"/>
              </w:rPr>
              <w:t>10</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 w:val="20"/>
                <w:szCs w:val="20"/>
              </w:rPr>
            </w:pPr>
          </w:p>
        </w:tc>
        <w:tc>
          <w:tcPr>
            <w:tcW w:w="54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12</w:t>
            </w: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行政效能</w:t>
            </w:r>
          </w:p>
        </w:tc>
        <w:tc>
          <w:tcPr>
            <w:tcW w:w="420" w:type="dxa"/>
            <w:tcBorders>
              <w:top w:val="single" w:color="auto" w:sz="4" w:space="0"/>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single" w:color="auto" w:sz="4" w:space="0"/>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促进部门改进文风会风，加强经费及资产管理，推动网上办事，提高行政效率，降低行政成本效果较好的计6分；一般3分；无效果或者效果不明显0分。</w:t>
            </w:r>
          </w:p>
        </w:tc>
        <w:tc>
          <w:tcPr>
            <w:tcW w:w="3285" w:type="dxa"/>
            <w:tcBorders>
              <w:top w:val="single" w:color="auto" w:sz="4" w:space="0"/>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根据部门自评材料评定。</w:t>
            </w:r>
          </w:p>
        </w:tc>
        <w:tc>
          <w:tcPr>
            <w:tcW w:w="585" w:type="dxa"/>
            <w:tcBorders>
              <w:top w:val="single" w:color="auto" w:sz="4" w:space="0"/>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6</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社会公众或服务对象满意度</w:t>
            </w:r>
          </w:p>
        </w:tc>
        <w:tc>
          <w:tcPr>
            <w:tcW w:w="420" w:type="dxa"/>
            <w:tcBorders>
              <w:top w:val="nil"/>
              <w:left w:val="nil"/>
              <w:bottom w:val="single" w:color="auto" w:sz="4" w:space="0"/>
              <w:right w:val="single" w:color="auto" w:sz="4" w:space="0"/>
            </w:tcBorders>
            <w:noWrap w:val="0"/>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90%（含）以上计6分；</w:t>
            </w:r>
            <w:r>
              <w:rPr>
                <w:rFonts w:eastAsia="仿宋_GB2312"/>
                <w:kern w:val="0"/>
                <w:sz w:val="20"/>
                <w:szCs w:val="20"/>
              </w:rPr>
              <w:br w:type="textWrapping"/>
            </w:r>
            <w:r>
              <w:rPr>
                <w:rFonts w:eastAsia="仿宋_GB2312"/>
                <w:kern w:val="0"/>
                <w:sz w:val="20"/>
                <w:szCs w:val="20"/>
              </w:rPr>
              <w:t>80%（含）-90%，计4分；</w:t>
            </w:r>
            <w:r>
              <w:rPr>
                <w:rFonts w:eastAsia="仿宋_GB2312"/>
                <w:kern w:val="0"/>
                <w:sz w:val="20"/>
                <w:szCs w:val="20"/>
              </w:rPr>
              <w:br w:type="textWrapping"/>
            </w:r>
            <w:r>
              <w:rPr>
                <w:rFonts w:eastAsia="仿宋_GB2312"/>
                <w:kern w:val="0"/>
                <w:sz w:val="20"/>
                <w:szCs w:val="20"/>
              </w:rPr>
              <w:t>70%（含）-80%，计2分；</w:t>
            </w:r>
            <w:r>
              <w:rPr>
                <w:rFonts w:eastAsia="仿宋_GB2312"/>
                <w:kern w:val="0"/>
                <w:sz w:val="20"/>
                <w:szCs w:val="20"/>
              </w:rPr>
              <w:br w:type="textWrapping"/>
            </w:r>
            <w:r>
              <w:rPr>
                <w:rFonts w:eastAsia="仿宋_GB2312"/>
                <w:kern w:val="0"/>
                <w:sz w:val="20"/>
                <w:szCs w:val="20"/>
              </w:rPr>
              <w:t>低于70%计0分。</w:t>
            </w:r>
          </w:p>
        </w:tc>
        <w:tc>
          <w:tcPr>
            <w:tcW w:w="3285" w:type="dxa"/>
            <w:tcBorders>
              <w:top w:val="nil"/>
              <w:left w:val="nil"/>
              <w:bottom w:val="single" w:color="auto" w:sz="4" w:space="0"/>
              <w:right w:val="single" w:color="auto" w:sz="4" w:space="0"/>
            </w:tcBorders>
            <w:noWrap w:val="0"/>
            <w:vAlign w:val="center"/>
          </w:tcPr>
          <w:p>
            <w:pPr>
              <w:widowControl/>
              <w:jc w:val="left"/>
              <w:rPr>
                <w:rFonts w:eastAsia="仿宋_GB2312"/>
                <w:kern w:val="0"/>
                <w:sz w:val="20"/>
                <w:szCs w:val="20"/>
              </w:rPr>
            </w:pPr>
            <w:r>
              <w:rPr>
                <w:rFonts w:eastAsia="仿宋_GB2312"/>
                <w:kern w:val="0"/>
                <w:sz w:val="20"/>
                <w:szCs w:val="20"/>
              </w:rPr>
              <w:t>社会公众或服务对象是指部门（单位）履行职责而影响到的部门、群体或个人，一般采取社会调查的方式。</w:t>
            </w:r>
          </w:p>
        </w:tc>
        <w:tc>
          <w:tcPr>
            <w:tcW w:w="585" w:type="dxa"/>
            <w:tcBorders>
              <w:top w:val="nil"/>
              <w:left w:val="nil"/>
              <w:bottom w:val="single" w:color="auto" w:sz="4" w:space="0"/>
              <w:right w:val="single" w:color="auto" w:sz="4" w:space="0"/>
            </w:tcBorders>
            <w:noWrap w:val="0"/>
            <w:vAlign w:val="center"/>
          </w:tcPr>
          <w:p>
            <w:pPr>
              <w:widowControl/>
              <w:jc w:val="left"/>
              <w:rPr>
                <w:rFonts w:hint="eastAsia" w:eastAsia="宋体"/>
                <w:kern w:val="0"/>
                <w:sz w:val="20"/>
                <w:szCs w:val="20"/>
                <w:lang w:val="en-US" w:eastAsia="zh-CN"/>
              </w:rPr>
            </w:pPr>
            <w:r>
              <w:rPr>
                <w:kern w:val="0"/>
                <w:sz w:val="20"/>
                <w:szCs w:val="20"/>
              </w:rPr>
              <w:t>　</w:t>
            </w:r>
            <w:r>
              <w:rPr>
                <w:rFonts w:hint="eastAsia"/>
                <w:kern w:val="0"/>
                <w:sz w:val="20"/>
                <w:szCs w:val="20"/>
                <w:lang w:val="en-US" w:eastAsia="zh-CN"/>
              </w:rPr>
              <w:t>6</w:t>
            </w:r>
          </w:p>
        </w:tc>
      </w:tr>
      <w:tr>
        <w:tblPrEx>
          <w:tblCellMar>
            <w:top w:w="0" w:type="dxa"/>
            <w:left w:w="108" w:type="dxa"/>
            <w:bottom w:w="0" w:type="dxa"/>
            <w:right w:w="108" w:type="dxa"/>
          </w:tblCellMar>
        </w:tblPrEx>
        <w:trPr>
          <w:trHeight w:val="507" w:hRule="atLeast"/>
          <w:jc w:val="center"/>
        </w:trPr>
        <w:tc>
          <w:tcPr>
            <w:tcW w:w="148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eastAsia="仿宋_GB2312"/>
                <w:kern w:val="0"/>
                <w:sz w:val="20"/>
                <w:szCs w:val="20"/>
                <w:lang w:eastAsia="zh-CN"/>
              </w:rPr>
            </w:pPr>
            <w:r>
              <w:rPr>
                <w:rFonts w:hint="eastAsia" w:eastAsia="仿宋_GB2312"/>
                <w:b/>
                <w:bCs/>
                <w:kern w:val="0"/>
                <w:sz w:val="20"/>
                <w:szCs w:val="20"/>
                <w:lang w:eastAsia="zh-CN"/>
              </w:rPr>
              <w:t>合</w:t>
            </w:r>
            <w:r>
              <w:rPr>
                <w:rFonts w:hint="eastAsia" w:eastAsia="仿宋_GB2312"/>
                <w:b/>
                <w:bCs/>
                <w:kern w:val="0"/>
                <w:sz w:val="20"/>
                <w:szCs w:val="20"/>
                <w:lang w:val="en-US" w:eastAsia="zh-CN"/>
              </w:rPr>
              <w:t xml:space="preserve">  </w:t>
            </w:r>
            <w:r>
              <w:rPr>
                <w:rFonts w:hint="eastAsia" w:eastAsia="仿宋_GB2312"/>
                <w:b/>
                <w:bCs/>
                <w:kern w:val="0"/>
                <w:sz w:val="20"/>
                <w:szCs w:val="20"/>
                <w:lang w:eastAsia="zh-CN"/>
              </w:rPr>
              <w:t>计</w:t>
            </w:r>
          </w:p>
        </w:tc>
        <w:tc>
          <w:tcPr>
            <w:tcW w:w="545"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eastAsia="仿宋_GB2312"/>
                <w:kern w:val="0"/>
                <w:sz w:val="20"/>
                <w:szCs w:val="20"/>
                <w:lang w:val="en-US" w:eastAsia="zh-CN"/>
              </w:rPr>
            </w:pPr>
            <w:r>
              <w:rPr>
                <w:rFonts w:hint="eastAsia" w:eastAsia="仿宋_GB2312"/>
                <w:kern w:val="0"/>
                <w:sz w:val="20"/>
                <w:szCs w:val="20"/>
                <w:lang w:val="en-US" w:eastAsia="zh-CN"/>
              </w:rPr>
              <w:t>100</w:t>
            </w:r>
          </w:p>
        </w:tc>
        <w:tc>
          <w:tcPr>
            <w:tcW w:w="927"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42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eastAsia="仿宋_GB2312"/>
                <w:kern w:val="0"/>
                <w:sz w:val="20"/>
                <w:szCs w:val="20"/>
                <w:lang w:val="en-US" w:eastAsia="zh-CN"/>
              </w:rPr>
            </w:pPr>
          </w:p>
        </w:tc>
        <w:tc>
          <w:tcPr>
            <w:tcW w:w="263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3285"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eastAsia="仿宋_GB2312"/>
                <w:kern w:val="0"/>
                <w:sz w:val="20"/>
                <w:szCs w:val="20"/>
              </w:rPr>
            </w:pPr>
          </w:p>
        </w:tc>
        <w:tc>
          <w:tcPr>
            <w:tcW w:w="585"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eastAsia="宋体"/>
                <w:kern w:val="0"/>
                <w:sz w:val="20"/>
                <w:szCs w:val="20"/>
                <w:lang w:val="en-US" w:eastAsia="zh-CN"/>
              </w:rPr>
            </w:pPr>
            <w:r>
              <w:rPr>
                <w:rFonts w:hint="eastAsia" w:eastAsia="宋体"/>
                <w:kern w:val="0"/>
                <w:sz w:val="20"/>
                <w:szCs w:val="20"/>
                <w:lang w:val="en-US" w:eastAsia="zh-CN"/>
              </w:rPr>
              <w:t>100</w:t>
            </w:r>
          </w:p>
        </w:tc>
      </w:tr>
    </w:tbl>
    <w:p>
      <w:pPr>
        <w:ind w:firstLine="560" w:firstLineChars="200"/>
        <w:jc w:val="left"/>
        <w:rPr>
          <w:rFonts w:hint="eastAsia" w:asciiTheme="minorEastAsia" w:hAnsiTheme="minorEastAsia" w:eastAsiaTheme="minorEastAsia" w:cstheme="minorEastAsia"/>
          <w:color w:val="000000"/>
          <w:kern w:val="0"/>
          <w:sz w:val="28"/>
          <w:szCs w:val="28"/>
        </w:rPr>
      </w:pPr>
    </w:p>
    <w:p>
      <w:pPr>
        <w:ind w:firstLine="560" w:firstLineChars="200"/>
        <w:jc w:val="center"/>
        <w:rPr>
          <w:rFonts w:hint="eastAsia" w:asciiTheme="minorEastAsia" w:hAnsiTheme="minorEastAsia" w:cstheme="minorEastAsia"/>
          <w:b/>
          <w:color w:val="000000"/>
          <w:kern w:val="0"/>
          <w:sz w:val="28"/>
          <w:szCs w:val="28"/>
        </w:rPr>
      </w:pPr>
    </w:p>
    <w:p/>
    <w:p>
      <w:pPr>
        <w:pStyle w:val="11"/>
        <w:jc w:val="center"/>
        <w:rPr>
          <w:sz w:val="72"/>
          <w:szCs w:val="7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574A4B"/>
    <w:multiLevelType w:val="singleLevel"/>
    <w:tmpl w:val="9D574A4B"/>
    <w:lvl w:ilvl="0" w:tentative="0">
      <w:start w:val="2"/>
      <w:numFmt w:val="chineseCounting"/>
      <w:suff w:val="nothing"/>
      <w:lvlText w:val="%1、"/>
      <w:lvlJc w:val="left"/>
      <w:rPr>
        <w:rFonts w:hint="eastAsia"/>
      </w:rPr>
    </w:lvl>
  </w:abstractNum>
  <w:abstractNum w:abstractNumId="1">
    <w:nsid w:val="1546AFFC"/>
    <w:multiLevelType w:val="singleLevel"/>
    <w:tmpl w:val="1546AFFC"/>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ZmNjU5M2NlNmExOWNiZjIyM2M3MWU0MGU5ZTNmNmQifQ=="/>
  </w:docVars>
  <w:rsids>
    <w:rsidRoot w:val="004506F9"/>
    <w:rsid w:val="0002229B"/>
    <w:rsid w:val="000273BD"/>
    <w:rsid w:val="00040CBC"/>
    <w:rsid w:val="000415B7"/>
    <w:rsid w:val="00041E3F"/>
    <w:rsid w:val="00055DAA"/>
    <w:rsid w:val="00061F7B"/>
    <w:rsid w:val="000658A3"/>
    <w:rsid w:val="00074155"/>
    <w:rsid w:val="000A3F69"/>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26A1C"/>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D06FF"/>
    <w:rsid w:val="00DD5FE9"/>
    <w:rsid w:val="00E00C7A"/>
    <w:rsid w:val="00E37D6C"/>
    <w:rsid w:val="00E55B68"/>
    <w:rsid w:val="00E561AE"/>
    <w:rsid w:val="00E67BE6"/>
    <w:rsid w:val="00E8683C"/>
    <w:rsid w:val="00EA2B72"/>
    <w:rsid w:val="00F74360"/>
    <w:rsid w:val="00FB462F"/>
    <w:rsid w:val="00FE16FA"/>
    <w:rsid w:val="00FE328A"/>
    <w:rsid w:val="00FE6269"/>
    <w:rsid w:val="00FF5CD6"/>
    <w:rsid w:val="021A68F9"/>
    <w:rsid w:val="02551A35"/>
    <w:rsid w:val="042A3104"/>
    <w:rsid w:val="04651CD8"/>
    <w:rsid w:val="04B52C5F"/>
    <w:rsid w:val="06043941"/>
    <w:rsid w:val="066E0257"/>
    <w:rsid w:val="06E42A44"/>
    <w:rsid w:val="08DB6A0C"/>
    <w:rsid w:val="096E13ED"/>
    <w:rsid w:val="09AA26F7"/>
    <w:rsid w:val="0A717628"/>
    <w:rsid w:val="0B717F1E"/>
    <w:rsid w:val="0B995089"/>
    <w:rsid w:val="0CD8050E"/>
    <w:rsid w:val="0CFA3905"/>
    <w:rsid w:val="0D7511DD"/>
    <w:rsid w:val="0E3433E7"/>
    <w:rsid w:val="0EAF24CD"/>
    <w:rsid w:val="0ED07CD4"/>
    <w:rsid w:val="0F0A625F"/>
    <w:rsid w:val="100674D2"/>
    <w:rsid w:val="11BD4180"/>
    <w:rsid w:val="14327E28"/>
    <w:rsid w:val="14432035"/>
    <w:rsid w:val="14594991"/>
    <w:rsid w:val="145C4EA5"/>
    <w:rsid w:val="14812B5E"/>
    <w:rsid w:val="15000ED2"/>
    <w:rsid w:val="157601E9"/>
    <w:rsid w:val="17E3592C"/>
    <w:rsid w:val="17F3167D"/>
    <w:rsid w:val="180E78A8"/>
    <w:rsid w:val="19911600"/>
    <w:rsid w:val="1BA561C7"/>
    <w:rsid w:val="1BDD4B1E"/>
    <w:rsid w:val="1BEA6AFC"/>
    <w:rsid w:val="1C1B73F4"/>
    <w:rsid w:val="1CF13015"/>
    <w:rsid w:val="1D1F1166"/>
    <w:rsid w:val="1E2D154A"/>
    <w:rsid w:val="1ECC422C"/>
    <w:rsid w:val="1F0979D8"/>
    <w:rsid w:val="1F4F0EF6"/>
    <w:rsid w:val="21006704"/>
    <w:rsid w:val="2197576F"/>
    <w:rsid w:val="223C3D0F"/>
    <w:rsid w:val="228D4A12"/>
    <w:rsid w:val="231B1F95"/>
    <w:rsid w:val="237C2E6E"/>
    <w:rsid w:val="23B87C1E"/>
    <w:rsid w:val="24D56541"/>
    <w:rsid w:val="264659B5"/>
    <w:rsid w:val="26AD1590"/>
    <w:rsid w:val="2B3E5761"/>
    <w:rsid w:val="2B794137"/>
    <w:rsid w:val="2BFC49AF"/>
    <w:rsid w:val="2C4D3BDD"/>
    <w:rsid w:val="2CDA5934"/>
    <w:rsid w:val="2CF0667B"/>
    <w:rsid w:val="2E0A0A61"/>
    <w:rsid w:val="2EFC6124"/>
    <w:rsid w:val="2F391C13"/>
    <w:rsid w:val="30F424A1"/>
    <w:rsid w:val="3284631A"/>
    <w:rsid w:val="33D80C51"/>
    <w:rsid w:val="3452461E"/>
    <w:rsid w:val="34667523"/>
    <w:rsid w:val="35044A71"/>
    <w:rsid w:val="375E7E5C"/>
    <w:rsid w:val="37863E63"/>
    <w:rsid w:val="388365F5"/>
    <w:rsid w:val="38DB6114"/>
    <w:rsid w:val="38EC7806"/>
    <w:rsid w:val="3B057795"/>
    <w:rsid w:val="3B286211"/>
    <w:rsid w:val="3C8B3CCA"/>
    <w:rsid w:val="3C982B28"/>
    <w:rsid w:val="3D167AB1"/>
    <w:rsid w:val="3D610D50"/>
    <w:rsid w:val="3E8B7FB1"/>
    <w:rsid w:val="3E9F0FD0"/>
    <w:rsid w:val="3FE457A9"/>
    <w:rsid w:val="41016D9A"/>
    <w:rsid w:val="41A37453"/>
    <w:rsid w:val="446D2407"/>
    <w:rsid w:val="47D14C87"/>
    <w:rsid w:val="47DC362C"/>
    <w:rsid w:val="48DC1EC6"/>
    <w:rsid w:val="48EC3D42"/>
    <w:rsid w:val="49CA2F51"/>
    <w:rsid w:val="4C09031F"/>
    <w:rsid w:val="4C9A0766"/>
    <w:rsid w:val="4E40569A"/>
    <w:rsid w:val="4F384E09"/>
    <w:rsid w:val="4F4132C7"/>
    <w:rsid w:val="4FD26176"/>
    <w:rsid w:val="510B7F1B"/>
    <w:rsid w:val="51621046"/>
    <w:rsid w:val="51AE3278"/>
    <w:rsid w:val="51C46215"/>
    <w:rsid w:val="53B1556B"/>
    <w:rsid w:val="53ED661C"/>
    <w:rsid w:val="555667CB"/>
    <w:rsid w:val="55685490"/>
    <w:rsid w:val="55CB635A"/>
    <w:rsid w:val="573B5CB5"/>
    <w:rsid w:val="5777D4F5"/>
    <w:rsid w:val="57B446C6"/>
    <w:rsid w:val="592068DA"/>
    <w:rsid w:val="5955788F"/>
    <w:rsid w:val="59A0570E"/>
    <w:rsid w:val="5A3D1614"/>
    <w:rsid w:val="5AE34FA5"/>
    <w:rsid w:val="5CEE0D64"/>
    <w:rsid w:val="5D54021E"/>
    <w:rsid w:val="5D8972C7"/>
    <w:rsid w:val="5F64242D"/>
    <w:rsid w:val="5F8F08CA"/>
    <w:rsid w:val="5FC6BB1E"/>
    <w:rsid w:val="5FF720F1"/>
    <w:rsid w:val="60453AA2"/>
    <w:rsid w:val="609B351E"/>
    <w:rsid w:val="62456545"/>
    <w:rsid w:val="62E278F0"/>
    <w:rsid w:val="631D3DED"/>
    <w:rsid w:val="63450F1F"/>
    <w:rsid w:val="637114B6"/>
    <w:rsid w:val="64A54408"/>
    <w:rsid w:val="65835A7C"/>
    <w:rsid w:val="66342B59"/>
    <w:rsid w:val="66CA7019"/>
    <w:rsid w:val="67C42883"/>
    <w:rsid w:val="67C93988"/>
    <w:rsid w:val="6BD93843"/>
    <w:rsid w:val="6D657A9C"/>
    <w:rsid w:val="6D84561D"/>
    <w:rsid w:val="6E817D20"/>
    <w:rsid w:val="6EF96718"/>
    <w:rsid w:val="6F9B0B8C"/>
    <w:rsid w:val="70812EA4"/>
    <w:rsid w:val="70AE7708"/>
    <w:rsid w:val="71581D09"/>
    <w:rsid w:val="722241AD"/>
    <w:rsid w:val="72D07765"/>
    <w:rsid w:val="73520AC2"/>
    <w:rsid w:val="737D59BA"/>
    <w:rsid w:val="75FC4D15"/>
    <w:rsid w:val="76AF0C14"/>
    <w:rsid w:val="77B06588"/>
    <w:rsid w:val="77C37683"/>
    <w:rsid w:val="77EF68E0"/>
    <w:rsid w:val="79685B6D"/>
    <w:rsid w:val="79FF515B"/>
    <w:rsid w:val="7B0C7838"/>
    <w:rsid w:val="7B113FDC"/>
    <w:rsid w:val="7D4D39F5"/>
    <w:rsid w:val="7DEA37BD"/>
    <w:rsid w:val="7DF01061"/>
    <w:rsid w:val="7E7E2819"/>
    <w:rsid w:val="7E9F11B4"/>
    <w:rsid w:val="7EC5463E"/>
    <w:rsid w:val="7F65392B"/>
    <w:rsid w:val="7FC69637"/>
    <w:rsid w:val="7FFDB408"/>
    <w:rsid w:val="CBFF70E0"/>
    <w:rsid w:val="EEABED75"/>
    <w:rsid w:val="FB36E1A6"/>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paragraph" w:customStyle="1" w:styleId="8">
    <w:name w:val="样式2"/>
    <w:basedOn w:val="1"/>
    <w:qFormat/>
    <w:uiPriority w:val="0"/>
    <w:pPr>
      <w:widowControl/>
      <w:shd w:val="clear" w:color="auto" w:fill="FFFFFF"/>
      <w:spacing w:before="100" w:beforeAutospacing="1" w:after="100" w:afterAutospacing="1"/>
      <w:ind w:left="562"/>
      <w:jc w:val="center"/>
    </w:pPr>
    <w:rPr>
      <w:rFonts w:ascii="宋体" w:hAnsi="宋体"/>
      <w:b/>
      <w:bCs/>
      <w:szCs w:val="21"/>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sz w:val="18"/>
      <w:szCs w:val="18"/>
    </w:rPr>
  </w:style>
  <w:style w:type="character" w:customStyle="1" w:styleId="14">
    <w:name w:val="font01"/>
    <w:basedOn w:val="7"/>
    <w:qFormat/>
    <w:uiPriority w:val="0"/>
    <w:rPr>
      <w:rFonts w:hint="eastAsia" w:ascii="宋体" w:hAnsi="宋体" w:eastAsia="宋体" w:cs="宋体"/>
      <w:color w:val="000000"/>
      <w:sz w:val="22"/>
      <w:szCs w:val="22"/>
      <w:u w:val="none"/>
    </w:rPr>
  </w:style>
  <w:style w:type="character" w:customStyle="1" w:styleId="15">
    <w:name w:val="font21"/>
    <w:basedOn w:val="7"/>
    <w:qFormat/>
    <w:uiPriority w:val="0"/>
    <w:rPr>
      <w:rFonts w:hint="eastAsia" w:ascii="宋体" w:hAnsi="宋体" w:eastAsia="宋体" w:cs="宋体"/>
      <w:color w:val="000000"/>
      <w:sz w:val="24"/>
      <w:szCs w:val="24"/>
      <w:u w:val="none"/>
    </w:rPr>
  </w:style>
  <w:style w:type="character" w:customStyle="1" w:styleId="16">
    <w:name w:val="font11"/>
    <w:basedOn w:val="7"/>
    <w:qFormat/>
    <w:uiPriority w:val="0"/>
    <w:rPr>
      <w:rFonts w:hint="eastAsia" w:ascii="宋体" w:hAnsi="宋体" w:eastAsia="宋体" w:cs="宋体"/>
      <w:color w:val="000000"/>
      <w:sz w:val="24"/>
      <w:szCs w:val="24"/>
      <w:u w:val="none"/>
    </w:rPr>
  </w:style>
  <w:style w:type="paragraph" w:customStyle="1" w:styleId="17">
    <w:name w:val="custom_unionstyle"/>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24</Pages>
  <Words>1347</Words>
  <Characters>7679</Characters>
  <Lines>63</Lines>
  <Paragraphs>18</Paragraphs>
  <TotalTime>57</TotalTime>
  <ScaleCrop>false</ScaleCrop>
  <LinksUpToDate>false</LinksUpToDate>
  <CharactersWithSpaces>9008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2020-07-04T18:32:00Z</dcterms:created>
  <dc:creator>李航 null</dc:creator>
  <cp:lastModifiedBy>很久很久.</cp:lastModifiedBy>
  <cp:lastPrinted>2023-09-20T02:34:00Z</cp:lastPrinted>
  <dcterms:modified xsi:type="dcterms:W3CDTF">2023-09-20T02:46:04Z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53DD90DFA3D74D9B9650DFC66E1D014A_12</vt:lpwstr>
  </property>
</Properties>
</file>