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jc w:val="center"/>
        <w:rPr>
          <w:sz w:val="48"/>
          <w:szCs w:val="48"/>
        </w:rPr>
      </w:pPr>
    </w:p>
    <w:p>
      <w:pPr>
        <w:pStyle w:val="5"/>
        <w:jc w:val="center"/>
        <w:rPr>
          <w:sz w:val="48"/>
          <w:szCs w:val="48"/>
        </w:rPr>
      </w:pPr>
      <w:r>
        <w:rPr>
          <w:rFonts w:hint="eastAsia"/>
          <w:sz w:val="48"/>
          <w:szCs w:val="48"/>
        </w:rPr>
        <w:t>新田县公安局2021年度部门决算公开</w:t>
      </w:r>
    </w:p>
    <w:p>
      <w:pPr>
        <w:pStyle w:val="5"/>
        <w:spacing w:line="540" w:lineRule="exact"/>
        <w:jc w:val="center"/>
        <w:rPr>
          <w:sz w:val="56"/>
          <w:szCs w:val="56"/>
        </w:rPr>
      </w:pPr>
    </w:p>
    <w:p>
      <w:pPr>
        <w:pStyle w:val="5"/>
        <w:spacing w:line="520" w:lineRule="exact"/>
        <w:jc w:val="center"/>
        <w:rPr>
          <w:sz w:val="44"/>
          <w:szCs w:val="44"/>
        </w:rPr>
      </w:pPr>
      <w:r>
        <w:rPr>
          <w:rFonts w:hint="eastAsia"/>
          <w:sz w:val="44"/>
          <w:szCs w:val="44"/>
        </w:rPr>
        <w:t>目录</w:t>
      </w:r>
    </w:p>
    <w:p>
      <w:pPr>
        <w:pStyle w:val="5"/>
        <w:spacing w:line="520" w:lineRule="exact"/>
        <w:rPr>
          <w:rFonts w:ascii="仿宋_GB2312" w:hAnsi="仿宋_GB2312" w:cs="仿宋_GB2312"/>
          <w:b/>
          <w:sz w:val="28"/>
          <w:szCs w:val="28"/>
        </w:rPr>
      </w:pPr>
      <w:r>
        <w:rPr>
          <w:rFonts w:hint="eastAsia"/>
          <w:b/>
          <w:sz w:val="28"/>
          <w:szCs w:val="28"/>
        </w:rPr>
        <w:t>第一部分新田县公安局概况</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5"/>
        <w:spacing w:line="520" w:lineRule="exact"/>
        <w:rPr>
          <w:rFonts w:ascii="仿宋_GB2312" w:hAnsi="仿宋_GB2312" w:cs="仿宋_GB2312"/>
          <w:b/>
          <w:sz w:val="28"/>
          <w:szCs w:val="28"/>
        </w:rPr>
      </w:pPr>
      <w:r>
        <w:rPr>
          <w:rFonts w:hint="eastAsia" w:hAnsi="仿宋_GB2312"/>
          <w:b/>
          <w:sz w:val="28"/>
          <w:szCs w:val="28"/>
        </w:rPr>
        <w:t>第二部分2021年度部门决算表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5"/>
        <w:spacing w:line="520" w:lineRule="exact"/>
        <w:ind w:firstLine="840" w:firstLineChars="300"/>
        <w:rPr>
          <w:rFonts w:ascii="宋体" w:hAnsi="宋体" w:eastAsia="宋体" w:cs="宋体"/>
          <w:color w:val="333333"/>
          <w:sz w:val="28"/>
          <w:szCs w:val="28"/>
          <w:shd w:val="clear" w:color="auto" w:fill="FFFFFF"/>
        </w:rPr>
      </w:pPr>
      <w:r>
        <w:rPr>
          <w:rFonts w:hint="eastAsia" w:cs="仿宋_GB2312" w:asciiTheme="minorEastAsia" w:hAnsiTheme="minorEastAsia" w:eastAsiaTheme="minorEastAsia"/>
          <w:sz w:val="28"/>
          <w:szCs w:val="28"/>
        </w:rPr>
        <w:t>九</w:t>
      </w:r>
      <w:r>
        <w:rPr>
          <w:rFonts w:hint="eastAsia" w:ascii="微软雅黑" w:hAnsi="微软雅黑" w:eastAsia="微软雅黑" w:cs="微软雅黑"/>
          <w:color w:val="333333"/>
          <w:sz w:val="28"/>
          <w:szCs w:val="28"/>
          <w:shd w:val="clear" w:color="auto" w:fill="FFFFFF"/>
        </w:rPr>
        <w:t>、</w:t>
      </w:r>
      <w:r>
        <w:rPr>
          <w:rFonts w:hint="eastAsia" w:ascii="宋体" w:hAnsi="宋体" w:eastAsia="宋体" w:cs="宋体"/>
          <w:color w:val="333333"/>
          <w:sz w:val="28"/>
          <w:szCs w:val="28"/>
          <w:shd w:val="clear" w:color="auto" w:fill="FFFFFF"/>
        </w:rPr>
        <w:t>国有资本经营预算财政拨款支出决算表</w:t>
      </w:r>
    </w:p>
    <w:p>
      <w:pPr>
        <w:pStyle w:val="5"/>
        <w:spacing w:line="520" w:lineRule="exact"/>
        <w:rPr>
          <w:rFonts w:ascii="仿宋_GB2312" w:hAnsi="仿宋_GB2312" w:cs="仿宋_GB2312"/>
          <w:b/>
          <w:sz w:val="28"/>
          <w:szCs w:val="28"/>
        </w:rPr>
      </w:pPr>
      <w:r>
        <w:rPr>
          <w:rFonts w:hint="eastAsia" w:hAnsi="仿宋_GB2312"/>
          <w:b/>
          <w:sz w:val="28"/>
          <w:szCs w:val="28"/>
        </w:rPr>
        <w:t>第三部分2021年度部门决算情况说明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一、收入支出决算总体情况说明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二、收入决算情况说明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三、支出决算情况说明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四、财政拨款收入支出决算总体情况说明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五、一般公共预算财政拨款支出决算情况说明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六、一般公共预算财政拨款基本支出决算情况说明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七、一般公共预算财政拨款“三公”经费支出决算情况说明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八、政府性基金预算收入支出决算情况</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九、国有资本经营预算财政拨款支出决算情况</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十、机关运行经费支出说明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十一、一般性支出情况说明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十二、政府采购支出说明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十三、国有资产占用情况说明</w:t>
      </w:r>
    </w:p>
    <w:p>
      <w:pPr>
        <w:pStyle w:val="2"/>
        <w:widowControl/>
        <w:shd w:val="clear" w:color="auto" w:fill="FFFFFF"/>
        <w:spacing w:beforeAutospacing="0" w:afterAutospacing="0"/>
        <w:ind w:firstLine="560" w:firstLineChars="200"/>
        <w:textAlignment w:val="center"/>
        <w:rPr>
          <w:rFonts w:cs="仿宋_GB2312" w:asciiTheme="minorEastAsia" w:hAnsiTheme="minorEastAsia"/>
          <w:color w:val="000000"/>
          <w:sz w:val="28"/>
          <w:szCs w:val="28"/>
        </w:rPr>
      </w:pPr>
      <w:r>
        <w:rPr>
          <w:rFonts w:hint="eastAsia" w:cs="仿宋_GB2312" w:asciiTheme="minorEastAsia" w:hAnsiTheme="minorEastAsia"/>
          <w:color w:val="000000"/>
          <w:sz w:val="28"/>
          <w:szCs w:val="28"/>
        </w:rPr>
        <w:t>十四、2021年度预算绩效情况说明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rPr>
          <w:rFonts w:ascii="黑体" w:hAnsi="黑体" w:eastAsia="黑体" w:cs="黑体"/>
          <w:sz w:val="32"/>
          <w:szCs w:val="32"/>
        </w:rPr>
      </w:pPr>
      <w:r>
        <w:rPr>
          <w:rFonts w:hint="eastAsia" w:ascii="黑体" w:hAnsi="黑体" w:eastAsia="黑体" w:cs="黑体"/>
          <w:sz w:val="32"/>
          <w:szCs w:val="32"/>
        </w:rPr>
        <w:t>第一部分  新田县公安局概况</w:t>
      </w:r>
    </w:p>
    <w:p>
      <w:pPr>
        <w:pStyle w:val="6"/>
        <w:numPr>
          <w:ilvl w:val="0"/>
          <w:numId w:val="1"/>
        </w:numPr>
        <w:ind w:firstLineChars="0"/>
        <w:jc w:val="left"/>
        <w:rPr>
          <w:rFonts w:asciiTheme="minorEastAsia" w:hAnsiTheme="minorEastAsia" w:cstheme="minorEastAsia"/>
          <w:b/>
          <w:bCs/>
          <w:sz w:val="28"/>
          <w:szCs w:val="28"/>
        </w:rPr>
      </w:pPr>
      <w:r>
        <w:rPr>
          <w:rFonts w:hint="eastAsia" w:asciiTheme="minorEastAsia" w:hAnsiTheme="minorEastAsia" w:cstheme="minorEastAsia"/>
          <w:b/>
          <w:bCs/>
          <w:sz w:val="28"/>
          <w:szCs w:val="28"/>
        </w:rPr>
        <w:t>部门职责</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（一）贯彻执行国家有关公安工作的方针、政策和法律、法规，起草全县公安规范性文件，指导、监督、检查全县公安工作。</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（二）掌握影响稳定、危害国内安全和社会治安的情况，分析形势，制定对策；防范处置邪教、非法宗教组织的违法犯罪活动。</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（三）承办案件的侦查工作，协调、处置重大案件（事件）、治安事故和骚乱。</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（四）依法查处危害社会治安秩序的行为；依法管理户口、居民身份证、枪支弹药、危险爆炸物品、特种行业和公共场所等工作。</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（五）依法管理国籍工作，负责出境、入境和外国人在境内居留、旅行的有关管理工作；协调涉外案件的查处。</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（六）组织实施全县消防工作，依法实行消防监督。</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（七）维护全县道路交通安全、交通秩序以及机动车辆、驾驶员管理工作；处理道路交通事故；管理县公安交通管理大队。</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（八）负责对全县国家机关、社会团体、企事业单位和重点建设工程的治安保卫工作以及群众性治安保卫组织的治安防范工作。</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（九）负责全县公共信息网络的安全保卫工作。</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（十）负责全县公安机关依法承担的执行刑罚和监督、考察工作；直接管理县看守所、拘留所。</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（十一）组织实施对来新的党和国家领导人以及重要外宾、重要会议的安全警卫工作。</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（十二）负责全县禁毒、缉毒工作；承担县禁毒委员会的日常工作。</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（十三）组织实施公安科学技术工作；规划公安信息技术、刑事技术、网络安全技术和行动技术、指挥系统等建设。</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（十四）负责全县公安机关装备、被装配备的计划、申报、分配、管理工作；负责申报公安业务经费的专项拨款的分配计划并监督、管理使用情况。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（十五）对武警中队执行公安任务及相关业务建设实施领导和指挥。</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（十六）负责全县公安队伍建设和思想政治工作；组织和管理公安机关人员培训、教育、奖惩及公安宣传工作；负责全县公安民警警衔管理和警察证件管理；按规定权限管理干部。</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（十七）制定全县公安队伍监督管理工作规章制度，负责全县公安机关监督工作；按规定全县实施对干部的监督；指导、督促、检查全县公安机关的执法活动；查处全县公安队伍的各类违纪案件。</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（十八）森林公安局列入公安机构序列，受县林业局和县公安局双重领导，业务工作以县公安局领导为主。</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（十九）按机构改革的总体要求，负责对下属单位机构设置、职能配置和人员编制配备等提出调整完善意见，报机构编制部门明确。</w:t>
      </w:r>
    </w:p>
    <w:p>
      <w:pPr>
        <w:ind w:firstLine="840" w:firstLineChars="300"/>
        <w:jc w:val="left"/>
        <w:rPr>
          <w:rFonts w:asciiTheme="minorEastAsia" w:hAnsiTheme="minorEastAsia" w:cstheme="minorEastAsia"/>
          <w:sz w:val="28"/>
          <w:szCs w:val="28"/>
        </w:rPr>
      </w:pPr>
      <w:r>
        <w:rPr>
          <w:rFonts w:hint="eastAsia" w:ascii="仿宋_GB2312" w:hAnsi="仿宋_GB2312" w:cs="仿宋_GB2312"/>
          <w:color w:val="000000"/>
          <w:kern w:val="0"/>
          <w:sz w:val="28"/>
          <w:szCs w:val="28"/>
        </w:rPr>
        <w:t>（二十）承担县委、县人民政府和上级公安机关交办的其他事项。</w:t>
      </w:r>
    </w:p>
    <w:p>
      <w:pPr>
        <w:widowControl/>
        <w:spacing w:line="600" w:lineRule="exact"/>
        <w:rPr>
          <w:rFonts w:asciiTheme="minorEastAsia" w:hAnsiTheme="minorEastAsia" w:cstheme="minorEastAsia"/>
          <w:b/>
          <w:kern w:val="0"/>
          <w:sz w:val="28"/>
          <w:szCs w:val="28"/>
        </w:rPr>
      </w:pPr>
      <w:r>
        <w:rPr>
          <w:rFonts w:hint="eastAsia" w:asciiTheme="minorEastAsia" w:hAnsiTheme="minorEastAsia" w:cstheme="minorEastAsia"/>
          <w:b/>
          <w:kern w:val="0"/>
          <w:sz w:val="28"/>
          <w:szCs w:val="28"/>
        </w:rPr>
        <w:t>二、机构设置及决算单位构成</w:t>
      </w:r>
    </w:p>
    <w:p>
      <w:pPr>
        <w:pStyle w:val="2"/>
        <w:widowControl/>
        <w:spacing w:beforeAutospacing="0" w:afterAutospacing="0" w:line="600" w:lineRule="exact"/>
        <w:ind w:firstLine="840" w:firstLineChars="300"/>
        <w:jc w:val="both"/>
        <w:rPr>
          <w:rFonts w:asciiTheme="minorEastAsia" w:hAnsiTheme="minorEastAsia" w:cstheme="minorEastAsia"/>
          <w:bCs/>
          <w:sz w:val="28"/>
          <w:szCs w:val="28"/>
        </w:rPr>
      </w:pPr>
      <w:r>
        <w:rPr>
          <w:rFonts w:hint="eastAsia" w:asciiTheme="minorEastAsia" w:hAnsiTheme="minorEastAsia" w:cstheme="minorEastAsia"/>
          <w:bCs/>
          <w:sz w:val="28"/>
          <w:szCs w:val="28"/>
        </w:rPr>
        <w:t>（一）内设机构设置。新田县公安局内设机构28</w:t>
      </w:r>
      <w:r>
        <w:rPr>
          <w:rFonts w:asciiTheme="minorEastAsia" w:hAnsiTheme="minorEastAsia" w:cstheme="minorEastAsia"/>
          <w:bCs/>
          <w:sz w:val="28"/>
          <w:szCs w:val="28"/>
        </w:rPr>
        <w:t>个，所属事业单位</w:t>
      </w:r>
      <w:r>
        <w:rPr>
          <w:rFonts w:hint="eastAsia" w:asciiTheme="minorEastAsia" w:hAnsiTheme="minorEastAsia" w:cstheme="minorEastAsia"/>
          <w:bCs/>
          <w:sz w:val="28"/>
          <w:szCs w:val="28"/>
        </w:rPr>
        <w:t>0</w:t>
      </w:r>
      <w:r>
        <w:rPr>
          <w:rFonts w:asciiTheme="minorEastAsia" w:hAnsiTheme="minorEastAsia" w:cstheme="minorEastAsia"/>
          <w:bCs/>
          <w:sz w:val="28"/>
          <w:szCs w:val="28"/>
        </w:rPr>
        <w:t>个。内设</w:t>
      </w:r>
      <w:r>
        <w:rPr>
          <w:rFonts w:hint="eastAsia" w:asciiTheme="minorEastAsia" w:hAnsiTheme="minorEastAsia" w:cstheme="minorEastAsia"/>
          <w:bCs/>
          <w:sz w:val="28"/>
          <w:szCs w:val="28"/>
        </w:rPr>
        <w:t>股</w:t>
      </w:r>
      <w:r>
        <w:rPr>
          <w:rFonts w:asciiTheme="minorEastAsia" w:hAnsiTheme="minorEastAsia" w:cstheme="minorEastAsia"/>
          <w:bCs/>
          <w:sz w:val="28"/>
          <w:szCs w:val="28"/>
        </w:rPr>
        <w:t>室分别是</w:t>
      </w:r>
      <w:r>
        <w:rPr>
          <w:rFonts w:hint="eastAsia" w:asciiTheme="minorEastAsia" w:hAnsiTheme="minorEastAsia" w:cstheme="minorEastAsia"/>
          <w:bCs/>
          <w:sz w:val="28"/>
          <w:szCs w:val="28"/>
        </w:rPr>
        <w:t>指挥中心、政工室、督察大队、警务保障室、法制办、信访室、刑侦大队、人口大队、禁毒大队、国保大队、反恐大队、治安大队、经侦大队、网安大队、图侦大队、拘留所、看守所、巡逻大队、城西派出所、城东派出所、新圩派出所、枧头派出所、石羊派出所、大坪塘派出所、骥村派出所、金盆派出所、陶岭派出所、新隆派出所</w:t>
      </w:r>
      <w:r>
        <w:rPr>
          <w:rFonts w:asciiTheme="minorEastAsia" w:hAnsiTheme="minorEastAsia" w:cstheme="minorEastAsia"/>
          <w:bCs/>
          <w:sz w:val="28"/>
          <w:szCs w:val="28"/>
        </w:rPr>
        <w:t>。</w:t>
      </w:r>
    </w:p>
    <w:p>
      <w:pPr>
        <w:widowControl/>
        <w:spacing w:line="600" w:lineRule="exact"/>
        <w:ind w:firstLine="840" w:firstLineChars="300"/>
        <w:rPr>
          <w:rFonts w:asciiTheme="minorEastAsia" w:hAnsiTheme="minorEastAsia" w:cstheme="minorEastAsia"/>
          <w:bCs/>
          <w:kern w:val="0"/>
          <w:sz w:val="28"/>
          <w:szCs w:val="28"/>
        </w:rPr>
      </w:pPr>
      <w:r>
        <w:rPr>
          <w:rFonts w:hint="eastAsia" w:asciiTheme="minorEastAsia" w:hAnsiTheme="minorEastAsia" w:cstheme="minorEastAsia"/>
          <w:bCs/>
          <w:kern w:val="0"/>
          <w:sz w:val="28"/>
          <w:szCs w:val="28"/>
        </w:rPr>
        <w:t>（二）决算单位构成。新田县公安局2021年部门决算汇总公开单位构成包括：新田县公安局本级。</w:t>
      </w:r>
    </w:p>
    <w:p>
      <w:pPr>
        <w:rPr>
          <w:rFonts w:ascii="黑体" w:hAnsi="黑体" w:eastAsia="黑体" w:cs="黑体"/>
          <w:sz w:val="32"/>
          <w:szCs w:val="32"/>
        </w:rPr>
      </w:pPr>
    </w:p>
    <w:p>
      <w:pPr>
        <w:rPr>
          <w:rFonts w:ascii="黑体" w:hAnsi="黑体" w:eastAsia="黑体" w:cs="黑体"/>
          <w:sz w:val="32"/>
          <w:szCs w:val="32"/>
        </w:rPr>
      </w:pPr>
      <w:r>
        <w:rPr>
          <w:rFonts w:hint="eastAsia" w:ascii="黑体" w:hAnsi="黑体" w:eastAsia="黑体" w:cs="黑体"/>
          <w:sz w:val="32"/>
          <w:szCs w:val="32"/>
        </w:rPr>
        <w:t>第二部分 部门决算表</w:t>
      </w:r>
    </w:p>
    <w:p>
      <w:pPr>
        <w:jc w:val="center"/>
        <w:rPr>
          <w:rFonts w:ascii="黑体" w:hAnsi="黑体" w:eastAsia="黑体"/>
          <w:sz w:val="36"/>
          <w:szCs w:val="32"/>
        </w:rPr>
      </w:pPr>
      <w:r>
        <w:rPr>
          <w:rFonts w:hint="eastAsia" w:ascii="黑体" w:hAnsi="黑体" w:eastAsia="黑体"/>
          <w:sz w:val="36"/>
          <w:szCs w:val="32"/>
        </w:rPr>
        <w:t>收入支出决算总表</w:t>
      </w:r>
    </w:p>
    <w:p>
      <w:pPr>
        <w:widowControl/>
        <w:spacing w:line="320" w:lineRule="exact"/>
        <w:ind w:right="198"/>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部门：新田县公安局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公开</w:t>
      </w:r>
      <w:r>
        <w:rPr>
          <w:rFonts w:ascii="Times New Roman" w:hAnsi="Times New Roman" w:eastAsia="仿宋_GB2312" w:cs="Times New Roman"/>
          <w:color w:val="000000"/>
          <w:kern w:val="0"/>
          <w:szCs w:val="21"/>
        </w:rPr>
        <w:t>01</w:t>
      </w:r>
      <w:r>
        <w:rPr>
          <w:rFonts w:hint="eastAsia" w:ascii="Times New Roman" w:hAnsi="Times New Roman" w:eastAsia="仿宋_GB2312" w:cs="Times New Roman"/>
          <w:color w:val="000000"/>
          <w:kern w:val="0"/>
          <w:szCs w:val="21"/>
        </w:rPr>
        <w:t>表</w:t>
      </w:r>
    </w:p>
    <w:p>
      <w:pPr>
        <w:widowControl/>
        <w:spacing w:line="320" w:lineRule="exact"/>
        <w:ind w:right="198"/>
        <w:jc w:val="center"/>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单位：万元</w:t>
      </w:r>
    </w:p>
    <w:tbl>
      <w:tblPr>
        <w:tblStyle w:val="3"/>
        <w:tblW w:w="14061" w:type="dxa"/>
        <w:jc w:val="center"/>
        <w:tblLayout w:type="autofit"/>
        <w:tblCellMar>
          <w:top w:w="0" w:type="dxa"/>
          <w:left w:w="108" w:type="dxa"/>
          <w:bottom w:w="0" w:type="dxa"/>
          <w:right w:w="108" w:type="dxa"/>
        </w:tblCellMar>
      </w:tblPr>
      <w:tblGrid>
        <w:gridCol w:w="4932"/>
        <w:gridCol w:w="702"/>
        <w:gridCol w:w="1224"/>
        <w:gridCol w:w="4820"/>
        <w:gridCol w:w="702"/>
        <w:gridCol w:w="1681"/>
      </w:tblGrid>
      <w:tr>
        <w:tblPrEx>
          <w:tblCellMar>
            <w:top w:w="0" w:type="dxa"/>
            <w:left w:w="108" w:type="dxa"/>
            <w:bottom w:w="0" w:type="dxa"/>
            <w:right w:w="108" w:type="dxa"/>
          </w:tblCellMar>
        </w:tblPrEx>
        <w:trPr>
          <w:trHeight w:val="340" w:hRule="atLeast"/>
          <w:jc w:val="center"/>
        </w:trPr>
        <w:tc>
          <w:tcPr>
            <w:tcW w:w="6858" w:type="dxa"/>
            <w:gridSpan w:val="3"/>
            <w:tcBorders>
              <w:top w:val="single" w:color="auto" w:sz="4" w:space="0"/>
              <w:left w:val="single" w:color="auto" w:sz="4" w:space="0"/>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收入</w:t>
            </w:r>
          </w:p>
        </w:tc>
        <w:tc>
          <w:tcPr>
            <w:tcW w:w="7203" w:type="dxa"/>
            <w:gridSpan w:val="3"/>
            <w:tcBorders>
              <w:top w:val="single" w:color="auto" w:sz="4" w:space="0"/>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支出</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224"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c>
          <w:tcPr>
            <w:tcW w:w="4820"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目</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681"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noWrap/>
            <w:vAlign w:val="center"/>
          </w:tcPr>
          <w:p>
            <w:pP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224"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4820"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w:t>
            </w: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次</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81"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一、一般公共预算财政拨款收入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4"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二、政府性基金预算财政拨款收入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二、外交支出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三、上级补助收入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三、国防支出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四、事业收入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四、公共安全支出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681" w:type="dxa"/>
            <w:tcBorders>
              <w:top w:val="nil"/>
              <w:left w:val="nil"/>
              <w:bottom w:val="single" w:color="auto" w:sz="4" w:space="0"/>
              <w:right w:val="single" w:color="auto" w:sz="4" w:space="0"/>
            </w:tcBorders>
            <w:noWrap/>
            <w:vAlign w:val="center"/>
          </w:tcPr>
          <w:p>
            <w:pPr>
              <w:widowControl/>
              <w:ind w:firstLine="210" w:firstLineChars="100"/>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五、经营收入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五、教育支出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六、附属单位上缴收入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六、科学技术支出</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七、其他收入</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681"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4"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681"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本年收入合计</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4"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　</w:t>
            </w:r>
          </w:p>
        </w:tc>
        <w:tc>
          <w:tcPr>
            <w:tcW w:w="4820"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本年支出合计</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681"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w:t>
            </w:r>
            <w:r>
              <w:rPr>
                <w:rFonts w:hint="eastAsia" w:ascii="Times New Roman" w:hAnsi="Times New Roman" w:eastAsia="仿宋_GB2312" w:cs="Times New Roman"/>
                <w:kern w:val="0"/>
                <w:szCs w:val="21"/>
              </w:rPr>
              <w:t>5553.43</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用事业基金弥补收支差额</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结余分配</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681"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年初结转和结余</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xml:space="preserve">                </w:t>
            </w:r>
            <w:r>
              <w:rPr>
                <w:rFonts w:hint="eastAsia" w:ascii="Times New Roman" w:hAnsi="Times New Roman" w:eastAsia="仿宋_GB2312" w:cs="Times New Roman"/>
                <w:kern w:val="0"/>
                <w:szCs w:val="21"/>
              </w:rPr>
              <w:t>年末结转和结余</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681"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224" w:type="dxa"/>
            <w:tcBorders>
              <w:top w:val="nil"/>
              <w:left w:val="nil"/>
              <w:bottom w:val="single" w:color="auto" w:sz="4" w:space="0"/>
              <w:right w:val="single" w:color="auto" w:sz="4" w:space="0"/>
            </w:tcBorders>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681"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224"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　</w:t>
            </w:r>
          </w:p>
        </w:tc>
        <w:tc>
          <w:tcPr>
            <w:tcW w:w="4820"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681" w:type="dxa"/>
            <w:tcBorders>
              <w:top w:val="nil"/>
              <w:left w:val="nil"/>
              <w:bottom w:val="single" w:color="auto" w:sz="4" w:space="0"/>
              <w:right w:val="single" w:color="auto" w:sz="4" w:space="0"/>
            </w:tcBorders>
            <w:noWrap/>
            <w:vAlign w:val="center"/>
          </w:tcPr>
          <w:p>
            <w:pPr>
              <w:widowControl/>
              <w:jc w:val="left"/>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w:t>
            </w:r>
            <w:r>
              <w:rPr>
                <w:rFonts w:hint="eastAsia" w:ascii="Times New Roman" w:hAnsi="Times New Roman" w:eastAsia="仿宋_GB2312" w:cs="Times New Roman"/>
                <w:kern w:val="0"/>
                <w:szCs w:val="21"/>
              </w:rPr>
              <w:t>5553.43</w:t>
            </w:r>
          </w:p>
        </w:tc>
      </w:tr>
    </w:tbl>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注：本表反映部门本年度的总收支和年末结转结余情况。</w:t>
      </w:r>
    </w:p>
    <w:p>
      <w:pPr>
        <w:widowControl/>
        <w:jc w:val="left"/>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br w:type="page"/>
      </w:r>
    </w:p>
    <w:p>
      <w:pPr>
        <w:widowControl/>
        <w:jc w:val="center"/>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收入决算表</w:t>
      </w:r>
    </w:p>
    <w:p>
      <w:pPr>
        <w:widowControl/>
        <w:ind w:firstLine="630" w:firstLineChars="30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rPr>
        <w:t>新田县公安局</w:t>
      </w:r>
      <w:r>
        <w:rPr>
          <w:rFonts w:ascii="Times New Roman" w:hAnsi="Times New Roman" w:eastAsia="仿宋_GB2312" w:cs="Times New Roman"/>
          <w:color w:val="000000"/>
          <w:kern w:val="0"/>
          <w:szCs w:val="21"/>
        </w:rPr>
        <w:t xml:space="preserve">                                                                                                      公开02表</w:t>
      </w:r>
    </w:p>
    <w:p>
      <w:pPr>
        <w:widowControl/>
        <w:ind w:right="630"/>
        <w:jc w:val="center"/>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单位：万元</w:t>
      </w:r>
    </w:p>
    <w:tbl>
      <w:tblPr>
        <w:tblStyle w:val="3"/>
        <w:tblW w:w="13813" w:type="dxa"/>
        <w:jc w:val="center"/>
        <w:tblLayout w:type="autofit"/>
        <w:tblCellMar>
          <w:top w:w="0" w:type="dxa"/>
          <w:left w:w="108" w:type="dxa"/>
          <w:bottom w:w="0" w:type="dxa"/>
          <w:right w:w="108" w:type="dxa"/>
        </w:tblCellMar>
      </w:tblPr>
      <w:tblGrid>
        <w:gridCol w:w="1197"/>
        <w:gridCol w:w="1188"/>
        <w:gridCol w:w="1676"/>
        <w:gridCol w:w="1595"/>
        <w:gridCol w:w="1676"/>
        <w:gridCol w:w="1382"/>
        <w:gridCol w:w="1412"/>
        <w:gridCol w:w="1676"/>
        <w:gridCol w:w="2011"/>
      </w:tblGrid>
      <w:tr>
        <w:tblPrEx>
          <w:tblCellMar>
            <w:top w:w="0" w:type="dxa"/>
            <w:left w:w="108" w:type="dxa"/>
            <w:bottom w:w="0" w:type="dxa"/>
            <w:right w:w="108" w:type="dxa"/>
          </w:tblCellMar>
        </w:tblPrEx>
        <w:trPr>
          <w:trHeight w:val="450" w:hRule="atLeast"/>
          <w:jc w:val="center"/>
        </w:trPr>
        <w:tc>
          <w:tcPr>
            <w:tcW w:w="2385" w:type="dxa"/>
            <w:gridSpan w:val="2"/>
            <w:tcBorders>
              <w:top w:val="single" w:color="auto" w:sz="8" w:space="0"/>
              <w:left w:val="single" w:color="auto" w:sz="8" w:space="0"/>
              <w:bottom w:val="single" w:color="auto" w:sz="4" w:space="0"/>
              <w:right w:val="nil"/>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本年收入合计</w:t>
            </w:r>
          </w:p>
        </w:tc>
        <w:tc>
          <w:tcPr>
            <w:tcW w:w="159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财政拨款收入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上级补助收入</w:t>
            </w:r>
          </w:p>
        </w:tc>
        <w:tc>
          <w:tcPr>
            <w:tcW w:w="138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事业收入</w:t>
            </w:r>
          </w:p>
        </w:tc>
        <w:tc>
          <w:tcPr>
            <w:tcW w:w="141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其他收入</w:t>
            </w:r>
          </w:p>
        </w:tc>
      </w:tr>
      <w:tr>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188"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1197" w:type="dxa"/>
            <w:vMerge w:val="continue"/>
            <w:tcBorders>
              <w:top w:val="single" w:color="auto" w:sz="4" w:space="0"/>
              <w:left w:val="single" w:color="auto" w:sz="8" w:space="0"/>
              <w:bottom w:val="single" w:color="000000" w:sz="4" w:space="0"/>
              <w:right w:val="nil"/>
            </w:tcBorders>
            <w:vAlign w:val="center"/>
          </w:tcPr>
          <w:p>
            <w:pPr>
              <w:widowControl/>
              <w:jc w:val="left"/>
              <w:rPr>
                <w:rFonts w:ascii="Times New Roman" w:hAnsi="Times New Roman" w:eastAsia="仿宋_GB2312" w:cs="Times New Roman"/>
                <w:kern w:val="0"/>
                <w:szCs w:val="21"/>
              </w:rPr>
            </w:pPr>
          </w:p>
        </w:tc>
        <w:tc>
          <w:tcPr>
            <w:tcW w:w="1188"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2385" w:type="dxa"/>
            <w:gridSpan w:val="2"/>
            <w:tcBorders>
              <w:top w:val="single" w:color="auto" w:sz="4" w:space="0"/>
              <w:left w:val="single" w:color="auto" w:sz="8" w:space="0"/>
              <w:bottom w:val="single" w:color="auto" w:sz="4" w:space="0"/>
              <w:right w:val="single" w:color="000000"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676"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595"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76"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382"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412"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676"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2011" w:type="dxa"/>
            <w:tcBorders>
              <w:top w:val="nil"/>
              <w:left w:val="nil"/>
              <w:bottom w:val="single" w:color="auto" w:sz="4" w:space="0"/>
              <w:right w:val="single" w:color="auto" w:sz="8"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r>
      <w:tr>
        <w:tblPrEx>
          <w:tblCellMar>
            <w:top w:w="0" w:type="dxa"/>
            <w:left w:w="108" w:type="dxa"/>
            <w:bottom w:w="0" w:type="dxa"/>
            <w:right w:w="108" w:type="dxa"/>
          </w:tblCellMar>
        </w:tblPrEx>
        <w:trPr>
          <w:trHeight w:val="450" w:hRule="atLeast"/>
          <w:jc w:val="center"/>
        </w:trPr>
        <w:tc>
          <w:tcPr>
            <w:tcW w:w="2385" w:type="dxa"/>
            <w:gridSpan w:val="2"/>
            <w:tcBorders>
              <w:top w:val="nil"/>
              <w:left w:val="single" w:color="auto" w:sz="8" w:space="0"/>
              <w:bottom w:val="single" w:color="auto" w:sz="4" w:space="0"/>
              <w:right w:val="single" w:color="000000" w:sz="4" w:space="0"/>
            </w:tcBorders>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204</w:t>
            </w:r>
          </w:p>
        </w:tc>
        <w:tc>
          <w:tcPr>
            <w:tcW w:w="1188" w:type="dxa"/>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公共安全支出</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20402</w:t>
            </w:r>
          </w:p>
        </w:tc>
        <w:tc>
          <w:tcPr>
            <w:tcW w:w="1188" w:type="dxa"/>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公安</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2040201</w:t>
            </w:r>
          </w:p>
        </w:tc>
        <w:tc>
          <w:tcPr>
            <w:tcW w:w="1188" w:type="dxa"/>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行政运行</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8" w:space="0"/>
              <w:right w:val="single" w:color="auto" w:sz="4" w:space="0"/>
            </w:tcBorders>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8" w:space="0"/>
              <w:right w:val="single" w:color="auto" w:sz="8" w:space="0"/>
            </w:tcBorders>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注：本表反映部门本年度取得的各项收入情况。</w:t>
            </w:r>
          </w:p>
        </w:tc>
      </w:tr>
    </w:tbl>
    <w:p>
      <w:pPr>
        <w:widowControl/>
        <w:jc w:val="left"/>
        <w:rPr>
          <w:rFonts w:ascii="Times New Roman" w:hAnsi="Times New Roman" w:eastAsia="黑体" w:cs="Times New Roman"/>
          <w:bCs/>
          <w:kern w:val="0"/>
          <w:sz w:val="32"/>
          <w:szCs w:val="32"/>
        </w:rPr>
      </w:pPr>
    </w:p>
    <w:p>
      <w:pPr>
        <w:widowControl/>
        <w:jc w:val="left"/>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br w:type="page"/>
      </w:r>
    </w:p>
    <w:p>
      <w:pPr>
        <w:widowControl/>
        <w:rPr>
          <w:rFonts w:ascii="Times New Roman" w:hAnsi="Times New Roman" w:eastAsia="方正小标宋_GBK" w:cs="Times New Roman"/>
          <w:color w:val="000000"/>
          <w:kern w:val="0"/>
          <w:sz w:val="36"/>
          <w:szCs w:val="36"/>
        </w:rPr>
      </w:pPr>
    </w:p>
    <w:p>
      <w:pPr>
        <w:widowControl/>
        <w:jc w:val="center"/>
        <w:rPr>
          <w:rFonts w:ascii="Times New Roman" w:hAnsi="Times New Roman" w:eastAsia="方正小标宋_GBK" w:cs="Times New Roman"/>
          <w:color w:val="000000"/>
          <w:kern w:val="0"/>
          <w:sz w:val="36"/>
          <w:szCs w:val="36"/>
        </w:rPr>
      </w:pPr>
      <w:r>
        <w:rPr>
          <w:rFonts w:ascii="Times New Roman" w:hAnsi="Times New Roman" w:eastAsia="方正小标宋_GBK" w:cs="Times New Roman"/>
          <w:color w:val="000000"/>
          <w:kern w:val="0"/>
          <w:sz w:val="36"/>
          <w:szCs w:val="36"/>
        </w:rPr>
        <w:t>支出决算表</w:t>
      </w:r>
    </w:p>
    <w:p>
      <w:pPr>
        <w:widowControl/>
        <w:spacing w:line="400" w:lineRule="exact"/>
        <w:ind w:firstLine="600" w:firstLineChars="300"/>
        <w:jc w:val="left"/>
        <w:rPr>
          <w:rFonts w:ascii="Times New Roman" w:hAnsi="Times New Roman" w:eastAsia="仿宋_GB2312" w:cs="Times New Roman"/>
          <w:color w:val="000000"/>
          <w:kern w:val="0"/>
          <w:sz w:val="20"/>
          <w:szCs w:val="20"/>
        </w:rPr>
      </w:pPr>
      <w:r>
        <w:rPr>
          <w:rFonts w:ascii="Times New Roman" w:hAnsi="Times New Roman" w:eastAsia="仿宋_GB2312" w:cs="Times New Roman"/>
          <w:color w:val="000000"/>
          <w:kern w:val="0"/>
          <w:sz w:val="20"/>
          <w:szCs w:val="20"/>
        </w:rPr>
        <w:t>部门：</w:t>
      </w:r>
      <w:r>
        <w:rPr>
          <w:rFonts w:hint="eastAsia" w:ascii="Times New Roman" w:hAnsi="Times New Roman" w:eastAsia="仿宋_GB2312" w:cs="Times New Roman"/>
          <w:color w:val="000000"/>
          <w:kern w:val="0"/>
          <w:sz w:val="20"/>
          <w:szCs w:val="20"/>
        </w:rPr>
        <w:t>新田县公安局</w:t>
      </w:r>
      <w:r>
        <w:rPr>
          <w:rFonts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 w:val="20"/>
          <w:szCs w:val="20"/>
        </w:rPr>
        <w:t xml:space="preserve">                                                                                                                公开03表</w:t>
      </w:r>
    </w:p>
    <w:p>
      <w:pPr>
        <w:widowControl/>
        <w:spacing w:line="400" w:lineRule="exact"/>
        <w:ind w:right="700"/>
        <w:jc w:val="right"/>
        <w:rPr>
          <w:rFonts w:ascii="Times New Roman" w:hAnsi="Times New Roman" w:eastAsia="仿宋_GB2312" w:cs="Times New Roman"/>
          <w:color w:val="000000"/>
          <w:kern w:val="0"/>
          <w:sz w:val="20"/>
          <w:szCs w:val="20"/>
        </w:rPr>
      </w:pPr>
      <w:r>
        <w:rPr>
          <w:rFonts w:ascii="Times New Roman" w:hAnsi="Times New Roman" w:eastAsia="仿宋_GB2312" w:cs="Times New Roman"/>
          <w:color w:val="000000"/>
          <w:kern w:val="0"/>
          <w:sz w:val="20"/>
          <w:szCs w:val="20"/>
        </w:rPr>
        <w:t>单位：万元</w:t>
      </w:r>
    </w:p>
    <w:tbl>
      <w:tblPr>
        <w:tblStyle w:val="3"/>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02"/>
        <w:gridCol w:w="1249"/>
        <w:gridCol w:w="1775"/>
        <w:gridCol w:w="1985"/>
        <w:gridCol w:w="1842"/>
        <w:gridCol w:w="1843"/>
        <w:gridCol w:w="1985"/>
        <w:gridCol w:w="230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77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本年支出合计</w:t>
            </w:r>
          </w:p>
        </w:tc>
        <w:tc>
          <w:tcPr>
            <w:tcW w:w="198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基本支出</w:t>
            </w:r>
          </w:p>
        </w:tc>
        <w:tc>
          <w:tcPr>
            <w:tcW w:w="1842"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项目支出</w:t>
            </w:r>
          </w:p>
        </w:tc>
        <w:tc>
          <w:tcPr>
            <w:tcW w:w="1843"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上缴上级支出</w:t>
            </w:r>
          </w:p>
        </w:tc>
        <w:tc>
          <w:tcPr>
            <w:tcW w:w="1985"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经营支出</w:t>
            </w:r>
          </w:p>
        </w:tc>
        <w:tc>
          <w:tcPr>
            <w:tcW w:w="2308"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对附属单位补助支出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249" w:type="dxa"/>
            <w:vMerge w:val="restart"/>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77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249"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77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775"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985"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42"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43"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985"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2308"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204</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公共安全支出</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20402</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公安</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2040201</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行政运行</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bl>
    <w:p>
      <w:pPr>
        <w:widowControl/>
        <w:ind w:firstLine="630" w:firstLineChars="300"/>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注：本表反映部门本年度各项支出情况。</w:t>
      </w: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pPr>
        <w:widowControl/>
        <w:ind w:left="93"/>
        <w:jc w:val="center"/>
        <w:rPr>
          <w:rFonts w:ascii="Times New Roman" w:hAnsi="Times New Roman" w:eastAsia="方正小标宋_GBK" w:cs="Times New Roman"/>
          <w:color w:val="000000"/>
          <w:kern w:val="0"/>
          <w:sz w:val="36"/>
          <w:szCs w:val="21"/>
        </w:rPr>
      </w:pPr>
      <w:r>
        <w:rPr>
          <w:rFonts w:ascii="Times New Roman" w:hAnsi="Times New Roman" w:eastAsia="方正小标宋_GBK" w:cs="Times New Roman"/>
          <w:color w:val="000000"/>
          <w:kern w:val="0"/>
          <w:sz w:val="36"/>
          <w:szCs w:val="21"/>
        </w:rPr>
        <w:t>财政拨款收入支出决算总表</w:t>
      </w:r>
    </w:p>
    <w:p>
      <w:pPr>
        <w:widowControl/>
        <w:tabs>
          <w:tab w:val="left" w:pos="4453"/>
          <w:tab w:val="left" w:pos="4933"/>
          <w:tab w:val="left" w:pos="6813"/>
          <w:tab w:val="left" w:pos="11113"/>
          <w:tab w:val="left" w:pos="11549"/>
          <w:tab w:val="left" w:pos="13429"/>
          <w:tab w:val="left" w:pos="15089"/>
        </w:tabs>
        <w:spacing w:line="240" w:lineRule="exact"/>
        <w:ind w:left="91" w:right="630"/>
        <w:jc w:val="right"/>
        <w:rPr>
          <w:rFonts w:ascii="Times New Roman" w:hAnsi="Times New Roman" w:eastAsia="宋体" w:cs="Times New Roman"/>
          <w:color w:val="000000"/>
          <w:kern w:val="0"/>
          <w:szCs w:val="21"/>
        </w:rPr>
      </w:pPr>
      <w:r>
        <w:rPr>
          <w:rFonts w:ascii="Times New Roman" w:hAnsi="Times New Roman" w:eastAsia="宋体" w:cs="Times New Roman"/>
          <w:color w:val="000000"/>
          <w:kern w:val="0"/>
          <w:szCs w:val="21"/>
        </w:rPr>
        <w:t>公开04表</w:t>
      </w:r>
    </w:p>
    <w:p>
      <w:pPr>
        <w:widowControl/>
        <w:tabs>
          <w:tab w:val="left" w:pos="13725"/>
          <w:tab w:val="left" w:pos="13755"/>
          <w:tab w:val="left" w:pos="13800"/>
        </w:tabs>
        <w:spacing w:line="240" w:lineRule="exact"/>
        <w:ind w:left="91" w:firstLine="315" w:firstLineChars="15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rPr>
        <w:t>新田县公安局</w:t>
      </w:r>
      <w:r>
        <w:rPr>
          <w:rFonts w:ascii="Times New Roman" w:hAnsi="Times New Roman" w:eastAsia="仿宋_GB2312" w:cs="Times New Roman"/>
          <w:color w:val="000000"/>
          <w:kern w:val="0"/>
          <w:sz w:val="20"/>
          <w:szCs w:val="20"/>
        </w:rPr>
        <w:t xml:space="preserve"> </w:t>
      </w:r>
      <w:r>
        <w:rPr>
          <w:rFonts w:ascii="Times New Roman" w:hAnsi="Times New Roman" w:eastAsia="仿宋_GB2312" w:cs="Times New Roman"/>
          <w:color w:val="000000"/>
          <w:kern w:val="0"/>
          <w:szCs w:val="21"/>
        </w:rPr>
        <w:tab/>
      </w:r>
      <w:r>
        <w:rPr>
          <w:rFonts w:ascii="Times New Roman" w:hAnsi="Times New Roman" w:eastAsia="仿宋_GB2312" w:cs="Times New Roman"/>
          <w:color w:val="000000"/>
          <w:kern w:val="0"/>
          <w:szCs w:val="21"/>
        </w:rPr>
        <w:t>单位：万元</w:t>
      </w:r>
    </w:p>
    <w:tbl>
      <w:tblPr>
        <w:tblStyle w:val="3"/>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2994"/>
        <w:gridCol w:w="480"/>
        <w:gridCol w:w="1880"/>
        <w:gridCol w:w="3761"/>
        <w:gridCol w:w="430"/>
        <w:gridCol w:w="1880"/>
        <w:gridCol w:w="1660"/>
        <w:gridCol w:w="157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收入</w:t>
            </w:r>
          </w:p>
        </w:tc>
        <w:tc>
          <w:tcPr>
            <w:tcW w:w="9303" w:type="dxa"/>
            <w:gridSpan w:val="5"/>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80"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金额</w:t>
            </w:r>
          </w:p>
        </w:tc>
        <w:tc>
          <w:tcPr>
            <w:tcW w:w="3761"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30"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noWrap/>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合计</w:t>
            </w:r>
          </w:p>
        </w:tc>
        <w:tc>
          <w:tcPr>
            <w:tcW w:w="1660"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一般公共预算财政拨款</w:t>
            </w:r>
          </w:p>
        </w:tc>
        <w:tc>
          <w:tcPr>
            <w:tcW w:w="1572" w:type="dxa"/>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政府性基金预算财政拨款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761"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572"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一、一般公共预算财政拨款</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一、一般公共服务支出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二、政府性基金预算财政拨款</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二、外交支出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三、国防支出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四、公共安全支出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五、教育支出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六、科学技术支出</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880"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本年收入合计</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本年支出合计</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5553.43</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left"/>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年初财政拨款结转和结余</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年末财政拨款结转和结余</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w:t>
            </w:r>
            <w:r>
              <w:rPr>
                <w:rFonts w:ascii="Times New Roman" w:hAnsi="Times New Roman" w:eastAsia="仿宋_GB2312" w:cs="Times New Roman"/>
                <w:kern w:val="0"/>
                <w:szCs w:val="21"/>
              </w:rPr>
              <w:t>一般公共预算财政拨款</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w:t>
            </w:r>
            <w:r>
              <w:rPr>
                <w:rFonts w:ascii="Times New Roman" w:hAnsi="Times New Roman" w:eastAsia="仿宋_GB2312" w:cs="Times New Roman"/>
                <w:kern w:val="0"/>
                <w:szCs w:val="21"/>
              </w:rPr>
              <w:t>政府性基金预算财政拨款</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880" w:type="dxa"/>
            <w:shd w:val="clear" w:color="auto" w:fill="auto"/>
            <w:noWrap/>
            <w:vAlign w:val="center"/>
          </w:tcPr>
          <w:p>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27</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noWrap/>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3761" w:type="dxa"/>
            <w:shd w:val="clear" w:color="auto" w:fill="auto"/>
            <w:noWrap/>
            <w:vAlign w:val="center"/>
          </w:tcPr>
          <w:p>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3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28</w:t>
            </w:r>
          </w:p>
        </w:tc>
        <w:tc>
          <w:tcPr>
            <w:tcW w:w="188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5553.43</w:t>
            </w:r>
          </w:p>
        </w:tc>
        <w:tc>
          <w:tcPr>
            <w:tcW w:w="1660" w:type="dxa"/>
            <w:shd w:val="clear" w:color="auto" w:fill="auto"/>
            <w:noWrap/>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noWrap/>
            <w:vAlign w:val="center"/>
          </w:tcPr>
          <w:p>
            <w:pPr>
              <w:widowControl/>
              <w:jc w:val="left"/>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　</w:t>
            </w:r>
          </w:p>
        </w:tc>
      </w:tr>
    </w:tbl>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注：本表反映部门本年度一般公共预算财政拨款和政府性基金预算财政拨款的总收支和年末结转结余情况。</w:t>
      </w:r>
    </w:p>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br w:type="page"/>
      </w:r>
    </w:p>
    <w:p>
      <w:pPr>
        <w:widowControl/>
        <w:jc w:val="center"/>
        <w:rPr>
          <w:rFonts w:ascii="Times New Roman" w:hAnsi="Times New Roman" w:eastAsia="方正小标宋_GBK" w:cs="Times New Roman"/>
          <w:kern w:val="0"/>
          <w:sz w:val="36"/>
          <w:szCs w:val="36"/>
        </w:rPr>
      </w:pPr>
      <w:bookmarkStart w:id="0" w:name="RANGE!A1:F16"/>
      <w:r>
        <w:rPr>
          <w:rFonts w:ascii="Times New Roman" w:hAnsi="Times New Roman" w:eastAsia="方正小标宋_GBK" w:cs="Times New Roman"/>
          <w:kern w:val="0"/>
          <w:sz w:val="36"/>
          <w:szCs w:val="36"/>
        </w:rPr>
        <w:t>一般公共预算财政拨款支出决算表</w:t>
      </w:r>
      <w:bookmarkEnd w:id="0"/>
    </w:p>
    <w:p>
      <w:pPr>
        <w:widowControl/>
        <w:spacing w:beforeLines="50"/>
        <w:jc w:val="lef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rPr>
        <w:t xml:space="preserve">新田县公安局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公开05表</w:t>
      </w:r>
    </w:p>
    <w:p>
      <w:pPr>
        <w:widowControl/>
        <w:jc w:val="left"/>
        <w:rPr>
          <w:rFonts w:ascii="Times New Roman" w:hAnsi="Times New Roman" w:eastAsia="宋体" w:cs="Times New Roman"/>
          <w:color w:val="000000"/>
          <w:kern w:val="0"/>
          <w:sz w:val="20"/>
          <w:szCs w:val="20"/>
        </w:rPr>
      </w:pP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单位：万元</w:t>
      </w:r>
    </w:p>
    <w:tbl>
      <w:tblPr>
        <w:tblStyle w:val="3"/>
        <w:tblW w:w="14219" w:type="dxa"/>
        <w:jc w:val="center"/>
        <w:tblLayout w:type="autofit"/>
        <w:tblCellMar>
          <w:top w:w="0" w:type="dxa"/>
          <w:left w:w="108" w:type="dxa"/>
          <w:bottom w:w="0" w:type="dxa"/>
          <w:right w:w="108" w:type="dxa"/>
        </w:tblCellMar>
      </w:tblPr>
      <w:tblGrid>
        <w:gridCol w:w="1200"/>
        <w:gridCol w:w="3527"/>
        <w:gridCol w:w="3000"/>
        <w:gridCol w:w="3492"/>
        <w:gridCol w:w="3000"/>
      </w:tblGrid>
      <w:tr>
        <w:tblPrEx>
          <w:tblCellMar>
            <w:top w:w="0" w:type="dxa"/>
            <w:left w:w="108" w:type="dxa"/>
            <w:bottom w:w="0" w:type="dxa"/>
            <w:right w:w="108" w:type="dxa"/>
          </w:tblCellMar>
        </w:tblPrEx>
        <w:trPr>
          <w:trHeight w:val="405" w:hRule="atLeast"/>
          <w:jc w:val="center"/>
        </w:trPr>
        <w:tc>
          <w:tcPr>
            <w:tcW w:w="4727" w:type="dxa"/>
            <w:gridSpan w:val="2"/>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9492" w:type="dxa"/>
            <w:gridSpan w:val="3"/>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352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300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3492"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3000"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tblPrEx>
          <w:tblCellMar>
            <w:top w:w="0" w:type="dxa"/>
            <w:left w:w="108" w:type="dxa"/>
            <w:bottom w:w="0" w:type="dxa"/>
            <w:right w:w="108" w:type="dxa"/>
          </w:tblCellMar>
        </w:tblPrEx>
        <w:trPr>
          <w:trHeight w:val="36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300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300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5553.43</w:t>
            </w: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204</w:t>
            </w:r>
          </w:p>
        </w:tc>
        <w:tc>
          <w:tcPr>
            <w:tcW w:w="3527"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公共安全支出</w:t>
            </w:r>
          </w:p>
        </w:tc>
        <w:tc>
          <w:tcPr>
            <w:tcW w:w="300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 xml:space="preserve">        5553.43</w:t>
            </w: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 xml:space="preserve">          5553.43</w:t>
            </w: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20402</w:t>
            </w:r>
          </w:p>
        </w:tc>
        <w:tc>
          <w:tcPr>
            <w:tcW w:w="3527"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公安</w:t>
            </w:r>
          </w:p>
        </w:tc>
        <w:tc>
          <w:tcPr>
            <w:tcW w:w="300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 xml:space="preserve">        5553.43</w:t>
            </w: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 xml:space="preserve">          5553.43</w:t>
            </w: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2040201</w:t>
            </w:r>
          </w:p>
        </w:tc>
        <w:tc>
          <w:tcPr>
            <w:tcW w:w="3527"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行政运行</w:t>
            </w:r>
          </w:p>
        </w:tc>
        <w:tc>
          <w:tcPr>
            <w:tcW w:w="300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 xml:space="preserve">        5553.43</w:t>
            </w: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 xml:space="preserve">          5553.43</w:t>
            </w: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8"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trHeight w:val="645" w:hRule="atLeast"/>
          <w:jc w:val="center"/>
        </w:trPr>
        <w:tc>
          <w:tcPr>
            <w:tcW w:w="14219" w:type="dxa"/>
            <w:gridSpan w:val="5"/>
            <w:tcBorders>
              <w:top w:val="nil"/>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bl>
    <w:p>
      <w:pPr>
        <w:widowControl/>
        <w:jc w:val="left"/>
        <w:rPr>
          <w:rFonts w:ascii="Times New Roman" w:hAnsi="Times New Roman" w:eastAsia="仿宋_GB2312" w:cs="Times New Roman"/>
          <w:bCs/>
          <w:kern w:val="0"/>
          <w:szCs w:val="21"/>
        </w:rPr>
      </w:pP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pPr>
        <w:widowControl/>
        <w:jc w:val="center"/>
        <w:rPr>
          <w:rFonts w:ascii="Times New Roman" w:hAnsi="Times New Roman" w:eastAsia="方正小标宋_GBK" w:cs="Times New Roman"/>
          <w:color w:val="000000"/>
          <w:kern w:val="0"/>
          <w:sz w:val="28"/>
          <w:szCs w:val="36"/>
        </w:rPr>
      </w:pPr>
      <w:bookmarkStart w:id="1" w:name="RANGE!A1:I39"/>
      <w:r>
        <w:rPr>
          <w:rFonts w:ascii="Times New Roman" w:hAnsi="Times New Roman" w:eastAsia="方正小标宋_GBK" w:cs="Times New Roman"/>
          <w:color w:val="000000"/>
          <w:kern w:val="0"/>
          <w:sz w:val="28"/>
          <w:szCs w:val="36"/>
        </w:rPr>
        <w:t>一般公共预算财政拨款基本支出决算表</w:t>
      </w:r>
      <w:bookmarkEnd w:id="1"/>
    </w:p>
    <w:p>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rPr>
        <w:t>新田县公安局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公开06表</w:t>
      </w:r>
    </w:p>
    <w:p>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3"/>
        <w:tblW w:w="0" w:type="auto"/>
        <w:tblInd w:w="93" w:type="dxa"/>
        <w:tblLayout w:type="fixed"/>
        <w:tblCellMar>
          <w:top w:w="0" w:type="dxa"/>
          <w:left w:w="108" w:type="dxa"/>
          <w:bottom w:w="0" w:type="dxa"/>
          <w:right w:w="108" w:type="dxa"/>
        </w:tblCellMar>
      </w:tblPr>
      <w:tblGrid>
        <w:gridCol w:w="1149"/>
        <w:gridCol w:w="3306"/>
        <w:gridCol w:w="856"/>
        <w:gridCol w:w="1110"/>
        <w:gridCol w:w="2297"/>
        <w:gridCol w:w="856"/>
        <w:gridCol w:w="1076"/>
        <w:gridCol w:w="4394"/>
        <w:gridCol w:w="856"/>
      </w:tblGrid>
      <w:tr>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330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85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110"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297"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85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7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4394"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856"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w:t>
            </w:r>
          </w:p>
        </w:tc>
        <w:tc>
          <w:tcPr>
            <w:tcW w:w="330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工资福利支出</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4177.15</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w:t>
            </w:r>
          </w:p>
        </w:tc>
        <w:tc>
          <w:tcPr>
            <w:tcW w:w="2297"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1346.52</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30101</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基本工资</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2118.83</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30201</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391.29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30701</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国内债务付息</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30102</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津贴补贴</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745.6</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30202</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印刷费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55.47</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30702</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国外债务付息</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30103</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奖金</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164.28</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30203</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咨询费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30106</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伙食补助费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187.28</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30204</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手续费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31001</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房屋建筑物购建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30107</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绩效工资</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406.59</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30205</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水费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11.02</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31002</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办公设备购置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30108</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机关事业单位基本养老保险费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293.33</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30206</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电费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63.27</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31003</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专用设备购置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30109</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职业年金缴费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30207</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邮电费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0.48</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31005</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基础设施建设</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30110</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职工基本医疗保险缴费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85.85</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30208</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取暖费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31006</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大型修缮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30111</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公务员医疗补助缴费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30209</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物业管理费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37.42</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31007</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信息网络及软件购置更新</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30112</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其他社会保障缴费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4.88</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30211</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差旅费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275.5</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31008</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物资储备</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30113</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住房公积金</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125.69</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30212</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因公出国（境）费用</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31009</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土地补偿</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30114</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医疗费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33.9</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30213</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维修（护）费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38.32</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31010</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安置补助</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30199</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其他工资福利支出</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10.91</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30214</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租赁费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104.22</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31011</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地上附着物和青苗补偿</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w:t>
            </w:r>
          </w:p>
        </w:tc>
        <w:tc>
          <w:tcPr>
            <w:tcW w:w="330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对个人和家庭的补助</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29.76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30215</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会议费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0.96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31012</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拆迁补偿</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30301</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离休费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30216</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培训费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13.17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31013</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公务用车购置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30302</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退休费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30217</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公务接待费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29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31019</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其他交通工具购置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30303</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退职（役）费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30218</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专用材料费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31021</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文物和陈列品购置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30304</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抚恤金</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18.83</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30224</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被装购置费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48.04</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31022</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无形资产购置</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30305</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生活补助</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10.81</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30225</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专用燃料费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31099</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其他资本性支出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30306</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救济费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30226</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劳务费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6.53</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30307</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医疗费补助</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30227</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委托业务费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56.65</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39906</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赠与</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30308</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助学金</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30228</w:t>
            </w:r>
          </w:p>
        </w:tc>
        <w:tc>
          <w:tcPr>
            <w:tcW w:w="2297"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工会经费</w:t>
            </w:r>
          </w:p>
        </w:tc>
        <w:tc>
          <w:tcPr>
            <w:tcW w:w="856"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71.1</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39907</w:t>
            </w:r>
          </w:p>
        </w:tc>
        <w:tc>
          <w:tcPr>
            <w:tcW w:w="4394"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国家赔偿费用支出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30309</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奖励金</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30229</w:t>
            </w:r>
          </w:p>
        </w:tc>
        <w:tc>
          <w:tcPr>
            <w:tcW w:w="2297"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39908</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30310</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个人农业生产补贴</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30231</w:t>
            </w:r>
          </w:p>
        </w:tc>
        <w:tc>
          <w:tcPr>
            <w:tcW w:w="2297"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140.71</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39999</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30399</w:t>
            </w:r>
          </w:p>
        </w:tc>
        <w:tc>
          <w:tcPr>
            <w:tcW w:w="3306" w:type="dxa"/>
            <w:tcBorders>
              <w:top w:val="single" w:color="auto" w:sz="8" w:space="0"/>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  </w:t>
            </w:r>
            <w:r>
              <w:rPr>
                <w:rFonts w:hint="eastAsia" w:ascii="仿宋_GB2312" w:hAnsi="Times New Roman" w:eastAsia="仿宋_GB2312" w:cs="Times New Roman"/>
                <w:color w:val="000000"/>
                <w:kern w:val="0"/>
                <w:sz w:val="18"/>
                <w:szCs w:val="18"/>
              </w:rPr>
              <w:t>对其他个人和家庭的补助支出</w:t>
            </w:r>
          </w:p>
        </w:tc>
        <w:tc>
          <w:tcPr>
            <w:tcW w:w="856" w:type="dxa"/>
            <w:tcBorders>
              <w:top w:val="single" w:color="auto" w:sz="8" w:space="0"/>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0.12</w:t>
            </w:r>
          </w:p>
        </w:tc>
        <w:tc>
          <w:tcPr>
            <w:tcW w:w="1110" w:type="dxa"/>
            <w:tcBorders>
              <w:top w:val="single" w:color="auto" w:sz="8" w:space="0"/>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30239</w:t>
            </w:r>
          </w:p>
        </w:tc>
        <w:tc>
          <w:tcPr>
            <w:tcW w:w="2297" w:type="dxa"/>
            <w:tcBorders>
              <w:top w:val="single" w:color="auto" w:sz="8" w:space="0"/>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856" w:type="dxa"/>
            <w:tcBorders>
              <w:top w:val="single" w:color="auto" w:sz="8" w:space="0"/>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076" w:type="dxa"/>
            <w:tcBorders>
              <w:top w:val="single" w:color="auto" w:sz="8" w:space="0"/>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4394" w:type="dxa"/>
            <w:tcBorders>
              <w:top w:val="single" w:color="auto" w:sz="8" w:space="0"/>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single" w:color="auto" w:sz="8" w:space="0"/>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30240</w:t>
            </w:r>
          </w:p>
        </w:tc>
        <w:tc>
          <w:tcPr>
            <w:tcW w:w="2297"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330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110"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30299</w:t>
            </w:r>
          </w:p>
        </w:tc>
        <w:tc>
          <w:tcPr>
            <w:tcW w:w="2297"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85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3.36</w:t>
            </w:r>
          </w:p>
        </w:tc>
        <w:tc>
          <w:tcPr>
            <w:tcW w:w="1076" w:type="dxa"/>
            <w:tcBorders>
              <w:top w:val="nil"/>
              <w:left w:val="nil"/>
              <w:bottom w:val="single" w:color="auto" w:sz="8" w:space="0"/>
              <w:right w:val="single" w:color="auto" w:sz="8" w:space="0"/>
            </w:tcBorders>
            <w:shd w:val="clear" w:color="auto" w:fill="auto"/>
            <w:noWrap/>
          </w:tcPr>
          <w:p>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4394" w:type="dxa"/>
            <w:tcBorders>
              <w:top w:val="nil"/>
              <w:left w:val="nil"/>
              <w:bottom w:val="single" w:color="auto" w:sz="8" w:space="0"/>
              <w:right w:val="single" w:color="auto" w:sz="8" w:space="0"/>
            </w:tcBorders>
            <w:shd w:val="clear" w:color="auto" w:fill="auto"/>
            <w:noWrap/>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tblPrEx>
          <w:tblCellMar>
            <w:top w:w="0" w:type="dxa"/>
            <w:left w:w="108" w:type="dxa"/>
            <w:bottom w:w="0" w:type="dxa"/>
            <w:right w:w="108" w:type="dxa"/>
          </w:tblCellMar>
        </w:tblPrEx>
        <w:trPr>
          <w:trHeight w:val="255" w:hRule="exact"/>
        </w:trPr>
        <w:tc>
          <w:tcPr>
            <w:tcW w:w="4455" w:type="dxa"/>
            <w:gridSpan w:val="2"/>
            <w:tcBorders>
              <w:top w:val="nil"/>
              <w:left w:val="single" w:color="auto" w:sz="8" w:space="0"/>
              <w:bottom w:val="single" w:color="auto" w:sz="8" w:space="0"/>
              <w:right w:val="single" w:color="auto" w:sz="8" w:space="0"/>
            </w:tcBorders>
            <w:shd w:val="clear" w:color="auto" w:fill="auto"/>
            <w:noWrap/>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856" w:type="dxa"/>
            <w:tcBorders>
              <w:top w:val="nil"/>
              <w:left w:val="nil"/>
              <w:bottom w:val="single" w:color="auto" w:sz="8" w:space="0"/>
              <w:right w:val="single" w:color="auto" w:sz="8" w:space="0"/>
            </w:tcBorders>
            <w:shd w:val="clear" w:color="auto" w:fill="auto"/>
            <w:noWrap/>
            <w:vAlign w:val="center"/>
          </w:tcPr>
          <w:p>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4206.91</w:t>
            </w:r>
          </w:p>
        </w:tc>
        <w:tc>
          <w:tcPr>
            <w:tcW w:w="9733" w:type="dxa"/>
            <w:gridSpan w:val="5"/>
            <w:tcBorders>
              <w:top w:val="nil"/>
              <w:left w:val="nil"/>
              <w:bottom w:val="single" w:color="auto" w:sz="8" w:space="0"/>
              <w:right w:val="single" w:color="auto" w:sz="8" w:space="0"/>
            </w:tcBorders>
            <w:shd w:val="clear" w:color="auto" w:fill="auto"/>
            <w:noWrap/>
          </w:tcPr>
          <w:p>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856" w:type="dxa"/>
            <w:tcBorders>
              <w:top w:val="nil"/>
              <w:left w:val="nil"/>
              <w:bottom w:val="single" w:color="auto" w:sz="8" w:space="0"/>
              <w:right w:val="single" w:color="auto" w:sz="8" w:space="0"/>
            </w:tcBorders>
            <w:shd w:val="clear" w:color="auto" w:fill="auto"/>
            <w:vAlign w:val="center"/>
          </w:tcPr>
          <w:p>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1346.52</w:t>
            </w:r>
          </w:p>
        </w:tc>
      </w:tr>
    </w:tbl>
    <w:p>
      <w:pPr>
        <w:widowControl/>
        <w:jc w:val="left"/>
        <w:rPr>
          <w:rFonts w:ascii="黑体" w:hAnsi="黑体" w:eastAsia="黑体"/>
          <w:szCs w:val="21"/>
        </w:rPr>
      </w:pPr>
      <w:r>
        <w:rPr>
          <w:rFonts w:hint="eastAsia" w:ascii="黑体" w:hAnsi="黑体" w:eastAsia="黑体"/>
          <w:szCs w:val="21"/>
        </w:rPr>
        <w:t>注：本表反映部门年度一般公共预算财政拨款基本支出明细情况。</w:t>
      </w:r>
      <w:r>
        <w:rPr>
          <w:rFonts w:ascii="黑体" w:hAnsi="黑体" w:eastAsia="黑体"/>
          <w:szCs w:val="21"/>
        </w:rPr>
        <w:br w:type="page"/>
      </w:r>
    </w:p>
    <w:p>
      <w:pPr>
        <w:widowControl/>
        <w:jc w:val="center"/>
        <w:rPr>
          <w:rFonts w:ascii="Times New Roman" w:hAnsi="Times New Roman" w:eastAsia="方正小标宋_GBK" w:cs="Times New Roman"/>
          <w:color w:val="000000"/>
          <w:kern w:val="0"/>
          <w:sz w:val="36"/>
          <w:szCs w:val="36"/>
        </w:rPr>
      </w:pPr>
      <w:r>
        <w:rPr>
          <w:rFonts w:hint="eastAsia" w:ascii="Times New Roman" w:hAnsi="Times New Roman" w:eastAsia="方正小标宋_GBK" w:cs="Times New Roman"/>
          <w:color w:val="000000"/>
          <w:kern w:val="0"/>
          <w:sz w:val="36"/>
          <w:szCs w:val="36"/>
        </w:rPr>
        <w:t>一般公共预算财政拨款“三公”经费支出决算表</w:t>
      </w:r>
    </w:p>
    <w:p>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 xml:space="preserve">部门： </w:t>
      </w:r>
      <w:r>
        <w:rPr>
          <w:rFonts w:hint="eastAsia" w:ascii="Times New Roman" w:hAnsi="Times New Roman" w:eastAsia="仿宋_GB2312" w:cs="Times New Roman"/>
          <w:color w:val="000000"/>
          <w:kern w:val="0"/>
          <w:szCs w:val="21"/>
        </w:rPr>
        <w:t>新田县公安局</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公开0</w:t>
      </w:r>
      <w:r>
        <w:rPr>
          <w:rFonts w:hint="eastAsia" w:ascii="Times New Roman" w:hAnsi="Times New Roman" w:eastAsia="仿宋_GB2312" w:cs="Times New Roman"/>
          <w:color w:val="000000"/>
          <w:kern w:val="0"/>
          <w:szCs w:val="21"/>
        </w:rPr>
        <w:t>7</w:t>
      </w:r>
      <w:r>
        <w:rPr>
          <w:rFonts w:ascii="Times New Roman" w:hAnsi="Times New Roman" w:eastAsia="仿宋_GB2312" w:cs="Times New Roman"/>
          <w:color w:val="000000"/>
          <w:kern w:val="0"/>
          <w:szCs w:val="21"/>
        </w:rPr>
        <w:t>表</w:t>
      </w:r>
    </w:p>
    <w:p>
      <w:pPr>
        <w:widowControl/>
        <w:ind w:right="420"/>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3"/>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预算数</w:t>
            </w:r>
          </w:p>
        </w:tc>
        <w:tc>
          <w:tcPr>
            <w:tcW w:w="7320" w:type="dxa"/>
            <w:gridSpan w:val="6"/>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决算数</w:t>
            </w:r>
          </w:p>
        </w:tc>
      </w:tr>
      <w:tr>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因公出国（境）费</w:t>
            </w:r>
          </w:p>
        </w:tc>
        <w:tc>
          <w:tcPr>
            <w:tcW w:w="3660" w:type="dxa"/>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w:t>
            </w:r>
          </w:p>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接待费</w:t>
            </w:r>
          </w:p>
        </w:tc>
        <w:tc>
          <w:tcPr>
            <w:tcW w:w="1220" w:type="dxa"/>
            <w:vMerge w:val="restart"/>
            <w:tcBorders>
              <w:top w:val="nil"/>
              <w:left w:val="nil"/>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2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因公出国（境）费</w:t>
            </w:r>
          </w:p>
        </w:tc>
        <w:tc>
          <w:tcPr>
            <w:tcW w:w="3660" w:type="dxa"/>
            <w:gridSpan w:val="3"/>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w:t>
            </w:r>
          </w:p>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接待费</w:t>
            </w:r>
          </w:p>
        </w:tc>
      </w:tr>
      <w:tr>
        <w:tblPrEx>
          <w:tblCellMar>
            <w:top w:w="0" w:type="dxa"/>
            <w:left w:w="108" w:type="dxa"/>
            <w:bottom w:w="0" w:type="dxa"/>
            <w:right w:w="108" w:type="dxa"/>
          </w:tblCellMar>
        </w:tblPrEx>
        <w:trPr>
          <w:trHeight w:val="397" w:hRule="atLeast"/>
          <w:jc w:val="center"/>
        </w:trPr>
        <w:tc>
          <w:tcPr>
            <w:tcW w:w="1220" w:type="dxa"/>
            <w:vMerge w:val="continue"/>
            <w:tcBorders>
              <w:top w:val="nil"/>
              <w:left w:val="single" w:color="auto" w:sz="8"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小计</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购置费</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运行费</w:t>
            </w:r>
          </w:p>
        </w:tc>
        <w:tc>
          <w:tcPr>
            <w:tcW w:w="122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nil"/>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小计</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购置费</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公务用车</w:t>
            </w:r>
            <w:r>
              <w:rPr>
                <w:rFonts w:ascii="Times New Roman" w:hAnsi="Times New Roman" w:eastAsia="仿宋_GB2312" w:cs="Times New Roman"/>
                <w:kern w:val="0"/>
                <w:szCs w:val="21"/>
              </w:rPr>
              <w:br w:type="textWrapping"/>
            </w:r>
            <w:r>
              <w:rPr>
                <w:rFonts w:ascii="Times New Roman" w:hAnsi="Times New Roman" w:eastAsia="仿宋_GB2312" w:cs="Times New Roman"/>
                <w:kern w:val="0"/>
                <w:szCs w:val="21"/>
              </w:rPr>
              <w:t>运行费</w:t>
            </w:r>
          </w:p>
        </w:tc>
        <w:tc>
          <w:tcPr>
            <w:tcW w:w="122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r>
      <w:tr>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169.71</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140.71</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140.71</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 xml:space="preserve"> 29</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169.71</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140.71</w:t>
            </w:r>
          </w:p>
        </w:tc>
        <w:tc>
          <w:tcPr>
            <w:tcW w:w="1220"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20" w:type="dxa"/>
            <w:tcBorders>
              <w:top w:val="nil"/>
              <w:left w:val="nil"/>
              <w:bottom w:val="single" w:color="auto" w:sz="8" w:space="0"/>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140.71</w:t>
            </w:r>
          </w:p>
        </w:tc>
        <w:tc>
          <w:tcPr>
            <w:tcW w:w="1220" w:type="dxa"/>
            <w:tcBorders>
              <w:top w:val="nil"/>
              <w:left w:val="single" w:color="auto" w:sz="4" w:space="0"/>
              <w:bottom w:val="single" w:color="auto" w:sz="8"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 xml:space="preserve"> 29</w:t>
            </w:r>
          </w:p>
        </w:tc>
      </w:tr>
    </w:tbl>
    <w:p>
      <w:pPr>
        <w:autoSpaceDE w:val="0"/>
        <w:autoSpaceDN w:val="0"/>
        <w:adjustRightInd w:val="0"/>
        <w:ind w:left="315" w:leftChars="150"/>
        <w:jc w:val="left"/>
        <w:rPr>
          <w:rFonts w:ascii="宋体" w:eastAsia="宋体" w:cs="宋体"/>
          <w:kern w:val="0"/>
          <w:sz w:val="24"/>
          <w:szCs w:val="24"/>
        </w:rPr>
      </w:pPr>
      <w:r>
        <w:rPr>
          <w:rFonts w:hint="eastAsia" w:ascii="仿宋" w:hAnsi="仿宋" w:eastAsia="仿宋" w:cs="仿宋"/>
          <w:kern w:val="0"/>
          <w:sz w:val="24"/>
          <w:szCs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pPr>
        <w:widowControl/>
        <w:jc w:val="left"/>
        <w:rPr>
          <w:rFonts w:ascii="宋体" w:eastAsia="宋体" w:cs="宋体"/>
          <w:kern w:val="0"/>
          <w:sz w:val="24"/>
          <w:szCs w:val="24"/>
        </w:rPr>
      </w:pPr>
      <w:r>
        <w:rPr>
          <w:rFonts w:ascii="宋体" w:eastAsia="宋体" w:cs="宋体"/>
          <w:kern w:val="0"/>
          <w:sz w:val="24"/>
          <w:szCs w:val="24"/>
        </w:rPr>
        <w:br w:type="page"/>
      </w:r>
    </w:p>
    <w:p>
      <w:pPr>
        <w:autoSpaceDE w:val="0"/>
        <w:autoSpaceDN w:val="0"/>
        <w:adjustRightInd w:val="0"/>
        <w:ind w:left="315" w:leftChars="150"/>
        <w:jc w:val="left"/>
        <w:rPr>
          <w:rFonts w:ascii="宋体" w:eastAsia="宋体" w:cs="宋体"/>
          <w:kern w:val="0"/>
          <w:sz w:val="24"/>
          <w:szCs w:val="24"/>
        </w:rPr>
      </w:pPr>
    </w:p>
    <w:p>
      <w:pPr>
        <w:widowControl/>
        <w:jc w:val="center"/>
        <w:rPr>
          <w:rFonts w:ascii="Times New Roman" w:hAnsi="Times New Roman" w:eastAsia="方正小标宋_GBK" w:cs="Times New Roman"/>
          <w:kern w:val="0"/>
          <w:sz w:val="36"/>
          <w:szCs w:val="36"/>
        </w:rPr>
      </w:pPr>
      <w:r>
        <w:rPr>
          <w:rFonts w:ascii="Times New Roman" w:hAnsi="Times New Roman" w:eastAsia="方正小标宋_GBK" w:cs="Times New Roman"/>
          <w:kern w:val="0"/>
          <w:sz w:val="36"/>
          <w:szCs w:val="36"/>
        </w:rPr>
        <w:t>政府性基金预算财政拨款收入支出决算表</w:t>
      </w:r>
    </w:p>
    <w:p>
      <w:pPr>
        <w:widowControl/>
        <w:wordWrap w:val="0"/>
        <w:jc w:val="righ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rPr>
        <w:t>新田县公安局</w:t>
      </w:r>
      <w:r>
        <w:rPr>
          <w:rFonts w:ascii="Times New Roman" w:hAnsi="Times New Roman" w:eastAsia="仿宋_GB2312" w:cs="Times New Roman"/>
          <w:color w:val="000000"/>
          <w:kern w:val="0"/>
          <w:szCs w:val="21"/>
        </w:rPr>
        <w:t xml:space="preserve">                                                                                                                 公开08表</w:t>
      </w:r>
    </w:p>
    <w:p>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3"/>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年初结转和结余</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本年收入</w:t>
            </w:r>
          </w:p>
        </w:tc>
        <w:tc>
          <w:tcPr>
            <w:tcW w:w="6000" w:type="dxa"/>
            <w:gridSpan w:val="3"/>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年末结转和结余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132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2000" w:type="dxa"/>
            <w:vMerge w:val="continue"/>
            <w:vAlign w:val="center"/>
          </w:tcPr>
          <w:p>
            <w:pPr>
              <w:widowControl/>
              <w:jc w:val="left"/>
              <w:rPr>
                <w:rFonts w:ascii="Times New Roman" w:hAnsi="Times New Roman" w:eastAsia="仿宋_GB2312" w:cs="Times New Roman"/>
                <w:b/>
                <w:kern w:val="0"/>
                <w:szCs w:val="21"/>
              </w:rPr>
            </w:pPr>
          </w:p>
        </w:tc>
        <w:tc>
          <w:tcPr>
            <w:tcW w:w="2000" w:type="dxa"/>
            <w:vMerge w:val="continue"/>
            <w:vAlign w:val="center"/>
          </w:tcPr>
          <w:p>
            <w:pPr>
              <w:widowControl/>
              <w:jc w:val="left"/>
              <w:rPr>
                <w:rFonts w:ascii="Times New Roman" w:hAnsi="Times New Roman" w:eastAsia="仿宋_GB2312" w:cs="Times New Roman"/>
                <w:b/>
                <w:kern w:val="0"/>
                <w:szCs w:val="21"/>
              </w:rPr>
            </w:pP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基本支出  </w:t>
            </w:r>
          </w:p>
        </w:tc>
        <w:tc>
          <w:tcPr>
            <w:tcW w:w="2000" w:type="dxa"/>
            <w:vMerge w:val="restart"/>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c>
          <w:tcPr>
            <w:tcW w:w="2000" w:type="dxa"/>
            <w:vMerge w:val="continue"/>
            <w:vAlign w:val="center"/>
          </w:tcPr>
          <w:p>
            <w:pPr>
              <w:widowControl/>
              <w:jc w:val="left"/>
              <w:rPr>
                <w:rFonts w:ascii="Times New Roman" w:hAnsi="Times New Roman" w:eastAsia="仿宋_GB2312" w:cs="Times New Roman"/>
                <w:b/>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continue"/>
            <w:vAlign w:val="center"/>
          </w:tcPr>
          <w:p>
            <w:pPr>
              <w:widowControl/>
              <w:jc w:val="left"/>
              <w:rPr>
                <w:rFonts w:ascii="Times New Roman" w:hAnsi="Times New Roman" w:eastAsia="仿宋_GB2312" w:cs="Times New Roman"/>
                <w:kern w:val="0"/>
                <w:szCs w:val="21"/>
              </w:rPr>
            </w:pPr>
          </w:p>
        </w:tc>
        <w:tc>
          <w:tcPr>
            <w:tcW w:w="132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continue"/>
            <w:vAlign w:val="center"/>
          </w:tcPr>
          <w:p>
            <w:pPr>
              <w:widowControl/>
              <w:jc w:val="left"/>
              <w:rPr>
                <w:rFonts w:ascii="Times New Roman" w:hAnsi="Times New Roman" w:eastAsia="仿宋_GB2312" w:cs="Times New Roman"/>
                <w:kern w:val="0"/>
                <w:szCs w:val="21"/>
              </w:rPr>
            </w:pPr>
          </w:p>
        </w:tc>
        <w:tc>
          <w:tcPr>
            <w:tcW w:w="132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c>
          <w:tcPr>
            <w:tcW w:w="2000" w:type="dxa"/>
            <w:vMerge w:val="continue"/>
            <w:vAlign w:val="center"/>
          </w:tcPr>
          <w:p>
            <w:pPr>
              <w:widowControl/>
              <w:jc w:val="left"/>
              <w:rPr>
                <w:rFonts w:ascii="Times New Roman" w:hAnsi="Times New Roman" w:eastAsia="仿宋_GB2312" w:cs="Times New Roman"/>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0</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0</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0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2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00" w:type="dxa"/>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bl>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注：本表反映部门本年度政府性基金预算财政拨款收入、支出及结转和结余情况</w:t>
      </w:r>
    </w:p>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w:t>
      </w:r>
      <w:r>
        <w:rPr>
          <w:rFonts w:hint="eastAsia" w:ascii="Times New Roman" w:hAnsi="Times New Roman" w:eastAsia="仿宋_GB2312" w:cs="Times New Roman"/>
          <w:kern w:val="0"/>
          <w:szCs w:val="21"/>
        </w:rPr>
        <w:t>说明：新田县公安局没有政府性基金收入，也没有使用政府性基金安排的支出，故本表无数据</w:t>
      </w:r>
      <w:r>
        <w:rPr>
          <w:rFonts w:ascii="Times New Roman" w:hAnsi="Times New Roman" w:eastAsia="仿宋_GB2312" w:cs="Times New Roman"/>
          <w:kern w:val="0"/>
          <w:szCs w:val="21"/>
        </w:rPr>
        <w:t>)。</w:t>
      </w:r>
    </w:p>
    <w:p>
      <w:pPr>
        <w:widowControl/>
        <w:jc w:val="left"/>
        <w:rPr>
          <w:rFonts w:ascii="黑体" w:hAnsi="黑体" w:eastAsia="黑体"/>
          <w:szCs w:val="21"/>
        </w:rPr>
      </w:pPr>
    </w:p>
    <w:p>
      <w:pPr>
        <w:widowControl/>
        <w:jc w:val="left"/>
        <w:rPr>
          <w:rFonts w:ascii="黑体" w:hAnsi="黑体" w:eastAsia="黑体"/>
          <w:szCs w:val="21"/>
        </w:rPr>
      </w:pPr>
    </w:p>
    <w:p>
      <w:pPr>
        <w:widowControl/>
        <w:jc w:val="left"/>
        <w:rPr>
          <w:rFonts w:ascii="黑体" w:hAnsi="黑体" w:eastAsia="黑体"/>
          <w:szCs w:val="21"/>
        </w:rPr>
        <w:sectPr>
          <w:pgSz w:w="16838" w:h="11906" w:orient="landscape"/>
          <w:pgMar w:top="720" w:right="720" w:bottom="720" w:left="720" w:header="851" w:footer="992" w:gutter="0"/>
          <w:cols w:space="425" w:num="1"/>
          <w:docGrid w:type="lines" w:linePitch="312" w:charSpace="0"/>
        </w:sectPr>
      </w:pPr>
      <w:r>
        <w:rPr>
          <w:rFonts w:ascii="黑体" w:hAnsi="黑体" w:eastAsia="黑体"/>
          <w:szCs w:val="21"/>
        </w:rPr>
        <w:br w:type="page"/>
      </w:r>
    </w:p>
    <w:p>
      <w:pPr>
        <w:widowControl/>
        <w:jc w:val="center"/>
        <w:rPr>
          <w:rFonts w:ascii="宋体" w:hAnsi="宋体" w:eastAsia="宋体" w:cs="宋体"/>
          <w:b/>
          <w:bCs/>
          <w:color w:val="333333"/>
          <w:sz w:val="36"/>
          <w:szCs w:val="36"/>
          <w:shd w:val="clear" w:color="auto" w:fill="FFFFFF"/>
        </w:rPr>
      </w:pPr>
      <w:r>
        <w:rPr>
          <w:rFonts w:hint="eastAsia" w:ascii="宋体" w:hAnsi="宋体" w:eastAsia="宋体" w:cs="宋体"/>
          <w:b/>
          <w:bCs/>
          <w:color w:val="333333"/>
          <w:sz w:val="36"/>
          <w:szCs w:val="36"/>
          <w:shd w:val="clear" w:color="auto" w:fill="FFFFFF"/>
        </w:rPr>
        <w:t>国有资本经营预算财政拨款支出决算表</w:t>
      </w:r>
    </w:p>
    <w:tbl>
      <w:tblPr>
        <w:tblStyle w:val="3"/>
        <w:tblW w:w="14190" w:type="dxa"/>
        <w:tblInd w:w="93" w:type="dxa"/>
        <w:tblLayout w:type="autofit"/>
        <w:tblCellMar>
          <w:top w:w="0" w:type="dxa"/>
          <w:left w:w="108" w:type="dxa"/>
          <w:bottom w:w="0" w:type="dxa"/>
          <w:right w:w="108" w:type="dxa"/>
        </w:tblCellMar>
      </w:tblPr>
      <w:tblGrid>
        <w:gridCol w:w="1060"/>
        <w:gridCol w:w="560"/>
        <w:gridCol w:w="1089"/>
        <w:gridCol w:w="2126"/>
        <w:gridCol w:w="1225"/>
        <w:gridCol w:w="1326"/>
        <w:gridCol w:w="1294"/>
        <w:gridCol w:w="1683"/>
        <w:gridCol w:w="3827"/>
      </w:tblGrid>
      <w:tr>
        <w:tblPrEx>
          <w:tblCellMar>
            <w:top w:w="0" w:type="dxa"/>
            <w:left w:w="108" w:type="dxa"/>
            <w:bottom w:w="0" w:type="dxa"/>
            <w:right w:w="108" w:type="dxa"/>
          </w:tblCellMar>
        </w:tblPrEx>
        <w:trPr>
          <w:trHeight w:val="720" w:hRule="atLeast"/>
        </w:trPr>
        <w:tc>
          <w:tcPr>
            <w:tcW w:w="14190" w:type="dxa"/>
            <w:gridSpan w:val="9"/>
            <w:tcBorders>
              <w:top w:val="nil"/>
              <w:left w:val="nil"/>
              <w:bottom w:val="nil"/>
              <w:right w:val="nil"/>
            </w:tcBorders>
            <w:shd w:val="clear" w:color="000000" w:fill="FFFFFF"/>
            <w:vAlign w:val="center"/>
          </w:tcPr>
          <w:p>
            <w:pPr>
              <w:widowControl/>
              <w:jc w:val="center"/>
              <w:rPr>
                <w:rFonts w:ascii="华文中宋" w:hAnsi="华文中宋" w:eastAsia="华文中宋" w:cs="宋体"/>
                <w:kern w:val="0"/>
                <w:sz w:val="32"/>
                <w:szCs w:val="32"/>
              </w:rPr>
            </w:pPr>
          </w:p>
        </w:tc>
      </w:tr>
      <w:tr>
        <w:tblPrEx>
          <w:tblCellMar>
            <w:top w:w="0" w:type="dxa"/>
            <w:left w:w="108" w:type="dxa"/>
            <w:bottom w:w="0" w:type="dxa"/>
            <w:right w:w="108" w:type="dxa"/>
          </w:tblCellMar>
        </w:tblPrEx>
        <w:trPr>
          <w:trHeight w:val="285" w:hRule="atLeast"/>
        </w:trPr>
        <w:tc>
          <w:tcPr>
            <w:tcW w:w="1060" w:type="dxa"/>
            <w:tcBorders>
              <w:top w:val="nil"/>
              <w:left w:val="nil"/>
              <w:bottom w:val="nil"/>
              <w:right w:val="nil"/>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560" w:type="dxa"/>
            <w:tcBorders>
              <w:top w:val="nil"/>
              <w:left w:val="nil"/>
              <w:bottom w:val="nil"/>
              <w:right w:val="nil"/>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215" w:type="dxa"/>
            <w:gridSpan w:val="2"/>
            <w:tcBorders>
              <w:top w:val="nil"/>
              <w:left w:val="nil"/>
              <w:bottom w:val="nil"/>
              <w:right w:val="nil"/>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25" w:type="dxa"/>
            <w:tcBorders>
              <w:top w:val="nil"/>
              <w:left w:val="nil"/>
              <w:bottom w:val="nil"/>
              <w:right w:val="nil"/>
            </w:tcBorders>
            <w:shd w:val="clear" w:color="000000" w:fill="FFFFFF"/>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620" w:type="dxa"/>
            <w:gridSpan w:val="2"/>
            <w:tcBorders>
              <w:top w:val="nil"/>
              <w:left w:val="nil"/>
              <w:bottom w:val="nil"/>
              <w:right w:val="nil"/>
            </w:tcBorders>
            <w:shd w:val="clear" w:color="000000" w:fill="FFFFFF"/>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510" w:type="dxa"/>
            <w:gridSpan w:val="2"/>
            <w:tcBorders>
              <w:top w:val="nil"/>
              <w:left w:val="nil"/>
              <w:bottom w:val="nil"/>
              <w:right w:val="nil"/>
            </w:tcBorders>
            <w:shd w:val="clear" w:color="000000" w:fill="FFFFFF"/>
            <w:noWrap/>
            <w:vAlign w:val="center"/>
          </w:tcPr>
          <w:p>
            <w:pPr>
              <w:widowControl/>
              <w:ind w:firstLine="4200" w:firstLineChars="2100"/>
              <w:rPr>
                <w:rFonts w:ascii="宋体" w:hAnsi="宋体" w:eastAsia="宋体" w:cs="宋体"/>
                <w:color w:val="000000"/>
                <w:kern w:val="0"/>
                <w:sz w:val="20"/>
                <w:szCs w:val="20"/>
              </w:rPr>
            </w:pPr>
            <w:r>
              <w:rPr>
                <w:rFonts w:hint="eastAsia" w:ascii="宋体" w:hAnsi="宋体" w:eastAsia="宋体" w:cs="宋体"/>
                <w:color w:val="000000"/>
                <w:kern w:val="0"/>
                <w:sz w:val="20"/>
                <w:szCs w:val="20"/>
              </w:rPr>
              <w:t>公开09表</w:t>
            </w:r>
          </w:p>
        </w:tc>
      </w:tr>
      <w:tr>
        <w:tblPrEx>
          <w:tblCellMar>
            <w:top w:w="0" w:type="dxa"/>
            <w:left w:w="108" w:type="dxa"/>
            <w:bottom w:w="0" w:type="dxa"/>
            <w:right w:w="108" w:type="dxa"/>
          </w:tblCellMar>
        </w:tblPrEx>
        <w:trPr>
          <w:trHeight w:val="285" w:hRule="atLeast"/>
        </w:trPr>
        <w:tc>
          <w:tcPr>
            <w:tcW w:w="1060" w:type="dxa"/>
            <w:tcBorders>
              <w:top w:val="nil"/>
              <w:left w:val="nil"/>
              <w:bottom w:val="nil"/>
              <w:right w:val="nil"/>
            </w:tcBorders>
            <w:shd w:val="clear" w:color="000000" w:fill="FFFFFF"/>
            <w:noWrap/>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部门：</w:t>
            </w:r>
          </w:p>
        </w:tc>
        <w:tc>
          <w:tcPr>
            <w:tcW w:w="560" w:type="dxa"/>
            <w:tcBorders>
              <w:top w:val="nil"/>
              <w:left w:val="nil"/>
              <w:bottom w:val="nil"/>
              <w:right w:val="nil"/>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215" w:type="dxa"/>
            <w:gridSpan w:val="2"/>
            <w:tcBorders>
              <w:top w:val="nil"/>
              <w:left w:val="nil"/>
              <w:bottom w:val="nil"/>
              <w:right w:val="nil"/>
            </w:tcBorders>
            <w:shd w:val="clear" w:color="000000" w:fill="FFFFFF"/>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25" w:type="dxa"/>
            <w:tcBorders>
              <w:top w:val="nil"/>
              <w:left w:val="nil"/>
              <w:bottom w:val="single" w:color="auto" w:sz="8" w:space="0"/>
              <w:right w:val="nil"/>
            </w:tcBorders>
            <w:shd w:val="clear" w:color="000000" w:fill="FFFFFF"/>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620" w:type="dxa"/>
            <w:gridSpan w:val="2"/>
            <w:tcBorders>
              <w:top w:val="nil"/>
              <w:left w:val="nil"/>
              <w:bottom w:val="single" w:color="auto" w:sz="8" w:space="0"/>
              <w:right w:val="nil"/>
            </w:tcBorders>
            <w:shd w:val="clear" w:color="000000" w:fill="FFFFFF"/>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xml:space="preserve">　 </w:t>
            </w:r>
          </w:p>
        </w:tc>
        <w:tc>
          <w:tcPr>
            <w:tcW w:w="5510" w:type="dxa"/>
            <w:gridSpan w:val="2"/>
            <w:tcBorders>
              <w:top w:val="nil"/>
              <w:left w:val="nil"/>
              <w:bottom w:val="nil"/>
              <w:right w:val="nil"/>
            </w:tcBorders>
            <w:shd w:val="clear" w:color="000000" w:fill="FFFFFF"/>
            <w:noWrap/>
            <w:vAlign w:val="center"/>
          </w:tcPr>
          <w:p>
            <w:pPr>
              <w:widowControl/>
              <w:ind w:firstLine="4200" w:firstLineChars="2100"/>
              <w:rPr>
                <w:rFonts w:ascii="宋体" w:hAnsi="宋体" w:eastAsia="宋体" w:cs="宋体"/>
                <w:color w:val="000000"/>
                <w:kern w:val="0"/>
                <w:sz w:val="20"/>
                <w:szCs w:val="20"/>
              </w:rPr>
            </w:pPr>
            <w:r>
              <w:rPr>
                <w:rFonts w:hint="eastAsia" w:ascii="宋体" w:hAnsi="宋体" w:eastAsia="宋体" w:cs="宋体"/>
                <w:color w:val="000000"/>
                <w:kern w:val="0"/>
                <w:sz w:val="20"/>
                <w:szCs w:val="20"/>
              </w:rPr>
              <w:t>单位：万元</w:t>
            </w:r>
          </w:p>
        </w:tc>
      </w:tr>
      <w:tr>
        <w:tblPrEx>
          <w:tblCellMar>
            <w:top w:w="0" w:type="dxa"/>
            <w:left w:w="108" w:type="dxa"/>
            <w:bottom w:w="0" w:type="dxa"/>
            <w:right w:w="108" w:type="dxa"/>
          </w:tblCellMar>
        </w:tblPrEx>
        <w:trPr>
          <w:trHeight w:val="402" w:hRule="atLeast"/>
        </w:trPr>
        <w:tc>
          <w:tcPr>
            <w:tcW w:w="4835" w:type="dxa"/>
            <w:gridSpan w:val="4"/>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xml:space="preserve">项 </w:t>
            </w:r>
            <w:r>
              <w:rPr>
                <w:rFonts w:hint="eastAsia" w:ascii="宋体" w:hAnsi="宋体" w:eastAsia="宋体" w:cs="宋体"/>
                <w:color w:val="000000"/>
                <w:kern w:val="0"/>
                <w:sz w:val="22"/>
              </w:rPr>
              <w:t xml:space="preserve">   </w:t>
            </w:r>
            <w:r>
              <w:rPr>
                <w:rFonts w:hint="eastAsia" w:ascii="宋体" w:hAnsi="宋体" w:eastAsia="宋体" w:cs="宋体"/>
                <w:kern w:val="0"/>
                <w:sz w:val="24"/>
                <w:szCs w:val="24"/>
              </w:rPr>
              <w:t>目</w:t>
            </w:r>
          </w:p>
        </w:tc>
        <w:tc>
          <w:tcPr>
            <w:tcW w:w="9355" w:type="dxa"/>
            <w:gridSpan w:val="5"/>
            <w:tcBorders>
              <w:top w:val="single" w:color="auto" w:sz="8" w:space="0"/>
              <w:left w:val="nil"/>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本年支出</w:t>
            </w:r>
          </w:p>
        </w:tc>
      </w:tr>
      <w:tr>
        <w:tblPrEx>
          <w:tblCellMar>
            <w:top w:w="0" w:type="dxa"/>
            <w:left w:w="108" w:type="dxa"/>
            <w:bottom w:w="0" w:type="dxa"/>
            <w:right w:w="108" w:type="dxa"/>
          </w:tblCellMar>
        </w:tblPrEx>
        <w:trPr>
          <w:trHeight w:val="402" w:hRule="atLeast"/>
        </w:trPr>
        <w:tc>
          <w:tcPr>
            <w:tcW w:w="2709" w:type="dxa"/>
            <w:gridSpan w:val="3"/>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功能分类科目编码</w:t>
            </w:r>
          </w:p>
        </w:tc>
        <w:tc>
          <w:tcPr>
            <w:tcW w:w="2126"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科目名称</w:t>
            </w:r>
          </w:p>
        </w:tc>
        <w:tc>
          <w:tcPr>
            <w:tcW w:w="2551" w:type="dxa"/>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合计</w:t>
            </w:r>
          </w:p>
        </w:tc>
        <w:tc>
          <w:tcPr>
            <w:tcW w:w="2977" w:type="dxa"/>
            <w:gridSpan w:val="2"/>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xml:space="preserve">基本支出  </w:t>
            </w:r>
          </w:p>
        </w:tc>
        <w:tc>
          <w:tcPr>
            <w:tcW w:w="3827"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项目支出</w:t>
            </w:r>
          </w:p>
        </w:tc>
      </w:tr>
      <w:tr>
        <w:tblPrEx>
          <w:tblCellMar>
            <w:top w:w="0" w:type="dxa"/>
            <w:left w:w="108" w:type="dxa"/>
            <w:bottom w:w="0" w:type="dxa"/>
            <w:right w:w="108" w:type="dxa"/>
          </w:tblCellMar>
        </w:tblPrEx>
        <w:trPr>
          <w:trHeight w:val="402" w:hRule="atLeast"/>
        </w:trPr>
        <w:tc>
          <w:tcPr>
            <w:tcW w:w="2709" w:type="dxa"/>
            <w:gridSpan w:val="3"/>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2126"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2551"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c>
          <w:tcPr>
            <w:tcW w:w="2977"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c>
          <w:tcPr>
            <w:tcW w:w="382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r>
      <w:tr>
        <w:tblPrEx>
          <w:tblCellMar>
            <w:top w:w="0" w:type="dxa"/>
            <w:left w:w="108" w:type="dxa"/>
            <w:bottom w:w="0" w:type="dxa"/>
            <w:right w:w="108" w:type="dxa"/>
          </w:tblCellMar>
        </w:tblPrEx>
        <w:trPr>
          <w:trHeight w:val="402" w:hRule="atLeast"/>
        </w:trPr>
        <w:tc>
          <w:tcPr>
            <w:tcW w:w="2709" w:type="dxa"/>
            <w:gridSpan w:val="3"/>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2126"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2551"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c>
          <w:tcPr>
            <w:tcW w:w="2977" w:type="dxa"/>
            <w:gridSpan w:val="2"/>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c>
          <w:tcPr>
            <w:tcW w:w="382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kern w:val="0"/>
                <w:sz w:val="24"/>
                <w:szCs w:val="24"/>
              </w:rPr>
            </w:pPr>
          </w:p>
        </w:tc>
      </w:tr>
      <w:tr>
        <w:tblPrEx>
          <w:tblCellMar>
            <w:top w:w="0" w:type="dxa"/>
            <w:left w:w="108" w:type="dxa"/>
            <w:bottom w:w="0" w:type="dxa"/>
            <w:right w:w="108" w:type="dxa"/>
          </w:tblCellMar>
        </w:tblPrEx>
        <w:trPr>
          <w:trHeight w:val="402" w:hRule="atLeast"/>
        </w:trPr>
        <w:tc>
          <w:tcPr>
            <w:tcW w:w="4835" w:type="dxa"/>
            <w:gridSpan w:val="4"/>
            <w:tcBorders>
              <w:top w:val="single" w:color="auto" w:sz="4" w:space="0"/>
              <w:left w:val="single" w:color="auto" w:sz="8"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栏次</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382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3</w:t>
            </w:r>
          </w:p>
        </w:tc>
      </w:tr>
      <w:tr>
        <w:tblPrEx>
          <w:tblCellMar>
            <w:top w:w="0" w:type="dxa"/>
            <w:left w:w="108" w:type="dxa"/>
            <w:bottom w:w="0" w:type="dxa"/>
            <w:right w:w="108" w:type="dxa"/>
          </w:tblCellMar>
        </w:tblPrEx>
        <w:trPr>
          <w:trHeight w:val="402" w:hRule="atLeast"/>
        </w:trPr>
        <w:tc>
          <w:tcPr>
            <w:tcW w:w="4835" w:type="dxa"/>
            <w:gridSpan w:val="4"/>
            <w:tcBorders>
              <w:top w:val="nil"/>
              <w:left w:val="single" w:color="auto" w:sz="8" w:space="0"/>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合计</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0</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0</w:t>
            </w:r>
          </w:p>
        </w:tc>
        <w:tc>
          <w:tcPr>
            <w:tcW w:w="382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0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551"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402" w:hRule="atLeast"/>
        </w:trPr>
        <w:tc>
          <w:tcPr>
            <w:tcW w:w="1620" w:type="dxa"/>
            <w:gridSpan w:val="2"/>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3215" w:type="dxa"/>
            <w:gridSpan w:val="2"/>
            <w:tcBorders>
              <w:top w:val="nil"/>
              <w:left w:val="nil"/>
              <w:bottom w:val="single" w:color="auto" w:sz="8"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551" w:type="dxa"/>
            <w:gridSpan w:val="2"/>
            <w:tcBorders>
              <w:top w:val="nil"/>
              <w:left w:val="nil"/>
              <w:bottom w:val="single" w:color="auto" w:sz="8"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2977" w:type="dxa"/>
            <w:gridSpan w:val="2"/>
            <w:tcBorders>
              <w:top w:val="nil"/>
              <w:left w:val="nil"/>
              <w:bottom w:val="single" w:color="auto" w:sz="8"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3827" w:type="dxa"/>
            <w:tcBorders>
              <w:top w:val="nil"/>
              <w:left w:val="nil"/>
              <w:bottom w:val="single" w:color="auto" w:sz="8" w:space="0"/>
              <w:right w:val="single" w:color="auto" w:sz="4" w:space="0"/>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720" w:hRule="atLeast"/>
        </w:trPr>
        <w:tc>
          <w:tcPr>
            <w:tcW w:w="14190" w:type="dxa"/>
            <w:gridSpan w:val="9"/>
            <w:tcBorders>
              <w:top w:val="single" w:color="auto" w:sz="8" w:space="0"/>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注：本表反映部门本年度国有资本经营预算财政拨款支出情况。</w:t>
            </w:r>
          </w:p>
          <w:p>
            <w:pPr>
              <w:widowControl/>
              <w:jc w:val="left"/>
              <w:rPr>
                <w:rFonts w:ascii="宋体" w:hAnsi="宋体" w:eastAsia="仿宋" w:cs="宋体"/>
                <w:kern w:val="0"/>
                <w:sz w:val="24"/>
                <w:szCs w:val="24"/>
              </w:rPr>
            </w:pPr>
            <w:r>
              <w:rPr>
                <w:rFonts w:hint="eastAsia" w:ascii="Times New Roman" w:hAnsi="Times New Roman" w:eastAsia="仿宋_GB2312" w:cs="Times New Roman"/>
                <w:kern w:val="0"/>
                <w:szCs w:val="21"/>
              </w:rPr>
              <w:t>（说明：新田县公安局无国有资本经营预算财政拨款支出，故本表无数据）</w:t>
            </w:r>
          </w:p>
        </w:tc>
      </w:tr>
    </w:tbl>
    <w:p>
      <w:pPr>
        <w:tabs>
          <w:tab w:val="left" w:pos="1460"/>
        </w:tabs>
        <w:jc w:val="left"/>
        <w:rPr>
          <w:szCs w:val="21"/>
        </w:rPr>
        <w:sectPr>
          <w:pgSz w:w="16838" w:h="11906" w:orient="landscape"/>
          <w:pgMar w:top="720" w:right="720" w:bottom="720" w:left="720" w:header="851" w:footer="992" w:gutter="0"/>
          <w:cols w:space="425" w:num="1"/>
          <w:docGrid w:type="lines" w:linePitch="312" w:charSpace="0"/>
        </w:sectPr>
      </w:pPr>
    </w:p>
    <w:p>
      <w:pPr>
        <w:pStyle w:val="5"/>
        <w:rPr>
          <w:sz w:val="32"/>
          <w:szCs w:val="32"/>
        </w:rPr>
      </w:pPr>
      <w:r>
        <w:rPr>
          <w:rFonts w:hint="eastAsia"/>
          <w:sz w:val="32"/>
          <w:szCs w:val="32"/>
        </w:rPr>
        <w:t>第三部分 2021年度部门决算情况说明</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一、收入支出决算总体情况说明</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2021年度收、支总计5553.43万元。与2020年相比，减少217.21万元，减少3.76%，主要是因为配合上级过紧日子的要求，节俭开支。</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二、收入决算情况说明</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本年收入合计5553.43万元，其中：财政拨款收入5553.43万元，占100%；上级补助收入0万元，占0%；事业收入0万元，占0%；经营收入0万元，占0%；附属单位上缴收入0万元，占0%；其他收入0万元，占0%。</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三、支出决算情况说明</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本年支出合计5553.43万元，其中：基本支出5553.43万元，占100%；项目支出0万元，占0%；上缴上级支出0万元，占0%；经营支出0万元，占0%；对附属单位补助支出0万元，占0%。</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四、财政拨款收入支出决算总体情况说明</w:t>
      </w:r>
    </w:p>
    <w:p>
      <w:pPr>
        <w:pStyle w:val="5"/>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2021年度财政拨款收、支总计5553.43万元，与2020年相比，减少217.21万元,减少3.76%，主要是因为配合上级过紧日子的要求，节俭开支。</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五、一般公共预算财政拨款支出决算情况说明</w:t>
      </w:r>
    </w:p>
    <w:p>
      <w:pPr>
        <w:pStyle w:val="5"/>
        <w:ind w:firstLine="560" w:firstLineChars="200"/>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（一）财政拨款支出决算总体情况</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2021年度财政拨款支出5553.43万元，占本年支出合计的100%，与2020年相比，财政拨款支出减少217.21万元，减少3.76%，主要是因为配合上级过紧日子的要求，节俭开支。</w:t>
      </w:r>
    </w:p>
    <w:p>
      <w:pPr>
        <w:pStyle w:val="5"/>
        <w:ind w:firstLine="420" w:firstLineChars="150"/>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（二）财政拨款支出决算结构情况</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2021年度财政拨款支出5553.43万元，主要用于以下方面：公共安全支出5553.43万元，占100%。</w:t>
      </w:r>
    </w:p>
    <w:p>
      <w:pPr>
        <w:pStyle w:val="5"/>
        <w:ind w:firstLine="700" w:firstLineChars="250"/>
        <w:rPr>
          <w:rFonts w:asciiTheme="minorEastAsia" w:hAnsiTheme="minorEastAsia" w:eastAsiaTheme="minorEastAsia" w:cstheme="minorEastAsia"/>
          <w:sz w:val="28"/>
          <w:szCs w:val="28"/>
        </w:rPr>
      </w:pPr>
    </w:p>
    <w:p>
      <w:pPr>
        <w:pStyle w:val="5"/>
        <w:ind w:firstLine="700" w:firstLineChars="250"/>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（三）财政拨款支出决算具体情况</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2021年度财政拨款支出年初预算数为5553.43万元，支出决算数为5553.43万元，完成年初预算的100%，其中：</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公共安全支出（类）公安（款）行政运行（项）:年初预算为5553.43万元，支出决算为5553.43万元，完成年初预算的100%。</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六、一般公共预算财政拨款基本支出决算情况说明</w:t>
      </w:r>
    </w:p>
    <w:p>
      <w:pPr>
        <w:pStyle w:val="5"/>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财政拨款基本支5553.43万元，其中：人员经费4206.91万元，占基本支出的75.75%,主要包括基本工资、津贴补贴、奖金、伙食补助费……；公用经费1346.52万元，占基本支出的24.25%，主要包括办公费、印刷费、咨询费、手续费……。</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七、一般公共预算财政拨款三公经费支出决算情况说明</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（一）“三公”经费财政拨款支出决算总体情况说明</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“三公”经费财政拨款支出预算为169.71万元，支出决算为169.71万元，完成预算的100%，其中：</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因公出国(境)费支出预算为0万元，支出决算为 0万元，因预算数为 0，无法计算预算完成百分比。决算数与预算数一致，与上年相比持平，原因是上年及本年均无出国出境情况，无相关费用支出。</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公务接待费支出预算为29万元，支出决算为29万元，完成预算的100%。</w:t>
      </w:r>
    </w:p>
    <w:p>
      <w:pPr>
        <w:pStyle w:val="5"/>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公务用车购置费及运行维护费支出预算为140.71万元，支出决算为140.71万元，完成预算的100%</w:t>
      </w:r>
      <w:r>
        <w:rPr>
          <w:rFonts w:hint="eastAsia" w:asciiTheme="minorEastAsia" w:hAnsiTheme="minorEastAsia" w:eastAsiaTheme="minorEastAsia" w:cstheme="minorEastAsia"/>
          <w:sz w:val="28"/>
          <w:szCs w:val="28"/>
          <w:lang w:val="en-US" w:eastAsia="zh-CN"/>
        </w:rPr>
        <w:t>,决算数与预算数一致，与上年相比持平，原因是厉行节约</w:t>
      </w:r>
      <w:bookmarkStart w:id="2" w:name="_GoBack"/>
      <w:bookmarkEnd w:id="2"/>
      <w:r>
        <w:rPr>
          <w:rFonts w:hint="eastAsia" w:asciiTheme="minorEastAsia" w:hAnsiTheme="minorEastAsia" w:eastAsiaTheme="minorEastAsia" w:cstheme="minorEastAsia"/>
          <w:sz w:val="28"/>
          <w:szCs w:val="28"/>
        </w:rPr>
        <w:t>。</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（二）“三公”经费财政拨款支出决算具体情况说明</w:t>
      </w:r>
    </w:p>
    <w:p>
      <w:pPr>
        <w:pStyle w:val="5"/>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2021年度“三公”经费财政拨款支出决算中，公务接待费支出决算29万元，占17.09%,因公出国（境）费支出决算0万元，占0%,公务用车购置费及运行维护费支出决算140.71万元，占82.91%。其中：</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1、因公出国（境）费支出决算为0万元，全年安排因公出国（境）团组0个。</w:t>
      </w:r>
    </w:p>
    <w:p>
      <w:pPr>
        <w:pStyle w:val="5"/>
        <w:ind w:firstLine="700" w:firstLineChars="25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2、公务接待费支出决算为29万元，全年共接待来访团组205个、来宾1250人次，主要是扫黑除恶巡演、扶贫检查、省厅市局指导办案等发生的接待支出。</w:t>
      </w:r>
    </w:p>
    <w:p>
      <w:pPr>
        <w:pStyle w:val="5"/>
        <w:ind w:firstLine="700" w:firstLineChars="250"/>
        <w:rPr>
          <w:rFonts w:asciiTheme="minorEastAsia" w:hAnsiTheme="minorEastAsia" w:eastAsiaTheme="minorEastAsia" w:cstheme="minorEastAsia"/>
          <w:sz w:val="28"/>
          <w:szCs w:val="28"/>
        </w:rPr>
      </w:pPr>
    </w:p>
    <w:p>
      <w:pPr>
        <w:ind w:firstLine="700" w:firstLineChars="250"/>
        <w:rPr>
          <w:rFonts w:asciiTheme="minorEastAsia" w:hAnsiTheme="minorEastAsia" w:cstheme="minorEastAsia"/>
          <w:color w:val="000000"/>
          <w:kern w:val="0"/>
          <w:sz w:val="28"/>
          <w:szCs w:val="28"/>
        </w:rPr>
      </w:pPr>
      <w:r>
        <w:rPr>
          <w:rFonts w:hint="eastAsia" w:asciiTheme="minorEastAsia" w:hAnsiTheme="minorEastAsia" w:cstheme="minorEastAsia"/>
          <w:sz w:val="28"/>
          <w:szCs w:val="28"/>
        </w:rPr>
        <w:t>3、公务用车购置费及运行维护费支出决算为140.71万元，其中：</w:t>
      </w:r>
      <w:r>
        <w:rPr>
          <w:rFonts w:hint="eastAsia" w:asciiTheme="minorEastAsia" w:hAnsiTheme="minorEastAsia" w:cstheme="minorEastAsia"/>
          <w:sz w:val="28"/>
          <w:szCs w:val="28"/>
          <w:lang w:eastAsia="zh-CN"/>
        </w:rPr>
        <w:t>公务用车购置费</w:t>
      </w:r>
      <w:r>
        <w:rPr>
          <w:rFonts w:hint="eastAsia" w:asciiTheme="minorEastAsia" w:hAnsiTheme="minorEastAsia" w:cstheme="minorEastAsia"/>
          <w:sz w:val="28"/>
          <w:szCs w:val="28"/>
          <w:lang w:val="en-US" w:eastAsia="zh-CN"/>
        </w:rPr>
        <w:t>0万元，公安局及下属事业单位更新公务用车0辆。</w:t>
      </w:r>
      <w:r>
        <w:rPr>
          <w:rFonts w:hint="eastAsia" w:asciiTheme="minorEastAsia" w:hAnsiTheme="minorEastAsia" w:cstheme="minorEastAsia"/>
          <w:sz w:val="28"/>
          <w:szCs w:val="28"/>
        </w:rPr>
        <w:t>公务用车运行维护费140.71万元，主要是办案车辆加油、修理、保险保养、年检等支出</w:t>
      </w:r>
      <w:r>
        <w:rPr>
          <w:rFonts w:hint="eastAsia" w:asciiTheme="minorEastAsia" w:hAnsiTheme="minorEastAsia" w:cstheme="minorEastAsia"/>
          <w:sz w:val="28"/>
          <w:szCs w:val="28"/>
          <w:lang w:val="en-US" w:eastAsia="zh-CN"/>
        </w:rPr>
        <w:t>。</w:t>
      </w:r>
      <w:r>
        <w:rPr>
          <w:rFonts w:hint="eastAsia" w:asciiTheme="minorEastAsia" w:hAnsiTheme="minorEastAsia" w:cstheme="minorEastAsia"/>
          <w:sz w:val="28"/>
          <w:szCs w:val="28"/>
        </w:rPr>
        <w:t>截止2021年12月31日，我单位开支财政拨款的公务用车保有量为39辆。</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八、政府性基金预算收入支出决算情况</w:t>
      </w:r>
    </w:p>
    <w:p>
      <w:pPr>
        <w:pStyle w:val="5"/>
        <w:rPr>
          <w:rFonts w:asciiTheme="minorEastAsia" w:hAnsiTheme="minorEastAsia" w:eastAsiaTheme="minorEastAsia" w:cstheme="minorEastAsia"/>
          <w:color w:val="auto"/>
          <w:kern w:val="2"/>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color w:val="auto"/>
          <w:kern w:val="2"/>
          <w:sz w:val="28"/>
          <w:szCs w:val="28"/>
        </w:rPr>
        <w:t>本单位无政府性基金收支</w:t>
      </w:r>
    </w:p>
    <w:p>
      <w:pPr>
        <w:pStyle w:val="5"/>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九、</w:t>
      </w:r>
      <w:r>
        <w:rPr>
          <w:rFonts w:hint="eastAsia" w:ascii="宋体" w:hAnsi="宋体" w:eastAsia="宋体" w:cs="宋体"/>
          <w:b/>
          <w:bCs/>
          <w:color w:val="333333"/>
          <w:sz w:val="28"/>
          <w:szCs w:val="28"/>
          <w:shd w:val="clear" w:color="auto" w:fill="FFFFFF"/>
        </w:rPr>
        <w:t>国有资本经营预算财政拨款支出决算情况</w:t>
      </w:r>
    </w:p>
    <w:p>
      <w:pPr>
        <w:pStyle w:val="5"/>
        <w:ind w:firstLine="560" w:firstLineChars="200"/>
        <w:rPr>
          <w:rFonts w:asciiTheme="minorEastAsia" w:hAnsiTheme="minorEastAsia" w:eastAsiaTheme="minorEastAsia" w:cstheme="minorEastAsia"/>
          <w:color w:val="auto"/>
          <w:kern w:val="2"/>
          <w:sz w:val="28"/>
          <w:szCs w:val="28"/>
        </w:rPr>
      </w:pPr>
      <w:r>
        <w:rPr>
          <w:rFonts w:hint="eastAsia" w:asciiTheme="minorEastAsia" w:hAnsiTheme="minorEastAsia" w:eastAsiaTheme="minorEastAsia" w:cstheme="minorEastAsia"/>
          <w:color w:val="auto"/>
          <w:kern w:val="2"/>
          <w:sz w:val="28"/>
          <w:szCs w:val="28"/>
        </w:rPr>
        <w:t>本单位无国有资本经营预算财政拨款支出</w:t>
      </w:r>
    </w:p>
    <w:p>
      <w:pPr>
        <w:ind w:firstLine="420" w:firstLineChars="150"/>
        <w:rPr>
          <w:rFonts w:asciiTheme="minorEastAsia" w:hAnsiTheme="minorEastAsia" w:cstheme="minorEastAsia"/>
          <w:b/>
          <w:color w:val="000000"/>
          <w:kern w:val="0"/>
          <w:sz w:val="28"/>
          <w:szCs w:val="28"/>
        </w:rPr>
      </w:pPr>
      <w:r>
        <w:rPr>
          <w:rFonts w:hint="eastAsia" w:asciiTheme="minorEastAsia" w:hAnsiTheme="minorEastAsia" w:cstheme="minorEastAsia"/>
          <w:b/>
          <w:sz w:val="28"/>
          <w:szCs w:val="28"/>
        </w:rPr>
        <w:t>十、</w:t>
      </w:r>
      <w:r>
        <w:rPr>
          <w:rFonts w:hint="eastAsia" w:asciiTheme="minorEastAsia" w:hAnsiTheme="minorEastAsia" w:cstheme="minorEastAsia"/>
          <w:b/>
          <w:color w:val="000000"/>
          <w:kern w:val="0"/>
          <w:sz w:val="28"/>
          <w:szCs w:val="28"/>
        </w:rPr>
        <w:t>机关运行经费支出情况</w:t>
      </w:r>
    </w:p>
    <w:p>
      <w:pPr>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本部门2021 年度机关运行经费支出1376.28万元，与年初预算数持平。</w:t>
      </w:r>
    </w:p>
    <w:p>
      <w:pPr>
        <w:ind w:firstLine="560" w:firstLineChars="200"/>
        <w:rPr>
          <w:rFonts w:asciiTheme="minorEastAsia" w:hAnsiTheme="minorEastAsia" w:cstheme="minorEastAsia"/>
          <w:b/>
          <w:color w:val="000000"/>
          <w:kern w:val="0"/>
          <w:sz w:val="28"/>
          <w:szCs w:val="28"/>
        </w:rPr>
      </w:pPr>
      <w:r>
        <w:rPr>
          <w:rFonts w:hint="eastAsia" w:asciiTheme="minorEastAsia" w:hAnsiTheme="minorEastAsia" w:cstheme="minorEastAsia"/>
          <w:b/>
          <w:sz w:val="28"/>
          <w:szCs w:val="28"/>
        </w:rPr>
        <w:t>十一、</w:t>
      </w:r>
      <w:r>
        <w:rPr>
          <w:rFonts w:hint="eastAsia" w:asciiTheme="minorEastAsia" w:hAnsiTheme="minorEastAsia" w:cstheme="minorEastAsia"/>
          <w:b/>
          <w:color w:val="000000"/>
          <w:kern w:val="0"/>
          <w:sz w:val="28"/>
          <w:szCs w:val="28"/>
        </w:rPr>
        <w:t>一般性支出情况</w:t>
      </w:r>
    </w:p>
    <w:p>
      <w:pPr>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2021年本部门开支会议费0.96万元，用于召开公安工作会、局务会、专项行动动员会调度会、专案研讨会等会议，人数1500余人，内容为安排公安工作、案情研讨等；开支培训费13.99万元，用于开展新警培训、警衔晋升培训、中青班科干班培训、警务职能培训等，人数400余人。</w:t>
      </w:r>
    </w:p>
    <w:p>
      <w:pPr>
        <w:ind w:firstLine="560" w:firstLineChars="200"/>
        <w:rPr>
          <w:rFonts w:asciiTheme="minorEastAsia" w:hAnsiTheme="minorEastAsia" w:cstheme="minorEastAsia"/>
          <w:b/>
          <w:color w:val="000000"/>
          <w:kern w:val="0"/>
          <w:sz w:val="28"/>
          <w:szCs w:val="28"/>
        </w:rPr>
      </w:pPr>
      <w:r>
        <w:rPr>
          <w:rFonts w:hint="eastAsia" w:asciiTheme="minorEastAsia" w:hAnsiTheme="minorEastAsia" w:cstheme="minorEastAsia"/>
          <w:b/>
          <w:color w:val="000000"/>
          <w:kern w:val="0"/>
          <w:sz w:val="28"/>
          <w:szCs w:val="28"/>
        </w:rPr>
        <w:t>十二、政府采购支出情况</w:t>
      </w:r>
    </w:p>
    <w:p>
      <w:pPr>
        <w:ind w:firstLine="560" w:firstLineChars="200"/>
        <w:rPr>
          <w:rFonts w:asciiTheme="minorEastAsia" w:hAnsiTheme="minorEastAsia" w:cstheme="minorEastAsia"/>
          <w:i/>
          <w:color w:val="FF0000"/>
          <w:kern w:val="0"/>
          <w:sz w:val="28"/>
          <w:szCs w:val="28"/>
        </w:rPr>
      </w:pPr>
      <w:r>
        <w:rPr>
          <w:rFonts w:hint="eastAsia" w:asciiTheme="minorEastAsia" w:hAnsiTheme="minorEastAsia" w:cstheme="minorEastAsia"/>
          <w:color w:val="000000"/>
          <w:kern w:val="0"/>
          <w:sz w:val="28"/>
          <w:szCs w:val="28"/>
        </w:rPr>
        <w:t>本部门2021年度政府采购支出总额138万元，其中：政府采购货物支出109万元、政府采购工程支出0万元、政府采购服务支出29万元。授予中小企业合同金额0万元，占政府采购支出总额的0%，其中：授予小微企业合同金额0万元，占政府采购支出总额的0%。</w:t>
      </w:r>
    </w:p>
    <w:p>
      <w:pPr>
        <w:ind w:firstLine="420" w:firstLineChars="150"/>
        <w:rPr>
          <w:rFonts w:asciiTheme="minorEastAsia" w:hAnsiTheme="minorEastAsia" w:cstheme="minorEastAsia"/>
          <w:b/>
          <w:color w:val="000000"/>
          <w:kern w:val="0"/>
          <w:sz w:val="28"/>
          <w:szCs w:val="28"/>
        </w:rPr>
      </w:pPr>
      <w:r>
        <w:rPr>
          <w:rFonts w:hint="eastAsia" w:asciiTheme="minorEastAsia" w:hAnsiTheme="minorEastAsia" w:cstheme="minorEastAsia"/>
          <w:b/>
          <w:color w:val="000000"/>
          <w:kern w:val="0"/>
          <w:sz w:val="28"/>
          <w:szCs w:val="28"/>
        </w:rPr>
        <w:t>十三、国有资产占用情况</w:t>
      </w:r>
    </w:p>
    <w:p>
      <w:pPr>
        <w:widowControl/>
        <w:spacing w:line="600" w:lineRule="exact"/>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截至2021年12月31日，本单位共有车辆39辆，其中，领导干部用车0辆、机要通信用车0辆、应急保障用车0辆、执法执勤用车33辆、特种专业技术用车6辆、其他用车0辆；单位价值50万元以上通用设备0台（套）；单位价值100万元以上专用设备0台（套）。</w:t>
      </w:r>
    </w:p>
    <w:p>
      <w:pPr>
        <w:pStyle w:val="2"/>
        <w:widowControl/>
        <w:shd w:val="clear" w:color="auto" w:fill="FFFFFF"/>
        <w:spacing w:beforeAutospacing="0" w:afterAutospacing="0"/>
        <w:ind w:firstLine="560" w:firstLineChars="200"/>
        <w:textAlignment w:val="center"/>
        <w:rPr>
          <w:rFonts w:asciiTheme="minorEastAsia" w:hAnsiTheme="minorEastAsia" w:cstheme="minorEastAsia"/>
          <w:b/>
          <w:color w:val="000000"/>
          <w:sz w:val="28"/>
          <w:szCs w:val="28"/>
        </w:rPr>
      </w:pPr>
      <w:r>
        <w:rPr>
          <w:rFonts w:hint="eastAsia" w:asciiTheme="minorEastAsia" w:hAnsiTheme="minorEastAsia" w:cstheme="minorEastAsia"/>
          <w:b/>
          <w:color w:val="000000"/>
          <w:sz w:val="28"/>
          <w:szCs w:val="28"/>
        </w:rPr>
        <w:t>十四、2021年度预算绩效情况说明</w:t>
      </w:r>
    </w:p>
    <w:p>
      <w:pPr>
        <w:widowControl/>
        <w:spacing w:line="600" w:lineRule="exact"/>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根据预算绩效管理要求，我部门组织对2021 年度一般公共预算项目支出全面开展绩效自评，其中，一级项目0个，二级项目0个，共涉及资金0万元，占一般公共预算项目支出总额的100%。组织对2021年度0个政府性基金预算项目支出开展绩效自评，共涉及资金0万元,占政府性基金预算项目支出总额的0%。组织对2021年度0个国有资本经营预算项目支出开展绩效自评，共涉及资金0万元，占国有资本经营预算项目支出总额的0%。</w:t>
      </w:r>
    </w:p>
    <w:p>
      <w:pPr>
        <w:widowControl/>
        <w:spacing w:line="600" w:lineRule="exact"/>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组织对0个项目开展了部门评价，涉及一般公共预算支出0万元，政府性基金预算支出0万元，国有资本经营预算支出0万元。</w:t>
      </w:r>
    </w:p>
    <w:p>
      <w:pPr>
        <w:widowControl/>
        <w:spacing w:line="600" w:lineRule="exact"/>
        <w:ind w:firstLine="560" w:firstLineChars="200"/>
        <w:rPr>
          <w:rFonts w:asciiTheme="minorEastAsia" w:hAnsiTheme="minorEastAsia" w:cstheme="minorEastAsia"/>
          <w:color w:val="000000"/>
          <w:kern w:val="0"/>
          <w:sz w:val="28"/>
          <w:szCs w:val="28"/>
        </w:rPr>
      </w:pPr>
      <w:r>
        <w:rPr>
          <w:rFonts w:hint="eastAsia" w:asciiTheme="minorEastAsia" w:hAnsiTheme="minorEastAsia" w:cstheme="minorEastAsia"/>
          <w:color w:val="000000"/>
          <w:kern w:val="0"/>
          <w:sz w:val="28"/>
          <w:szCs w:val="28"/>
        </w:rPr>
        <w:t>组织对“新田县公安局”一个单位开展整体支出绩效评价，涉及一般公共预算支出5553.43万元，政府性基金预算支出0万元。从评价情况来看，部门整体绩效目标覆盖率达100%，绩效目标实现程度与预算执行进度同步，较好的完成了全年绩效目标任务。</w:t>
      </w:r>
    </w:p>
    <w:p>
      <w:pPr>
        <w:pStyle w:val="2"/>
        <w:widowControl/>
        <w:shd w:val="clear" w:color="auto" w:fill="FFFFFF"/>
        <w:spacing w:beforeAutospacing="0" w:afterAutospacing="0"/>
        <w:ind w:firstLine="560" w:firstLineChars="200"/>
        <w:textAlignment w:val="center"/>
        <w:rPr>
          <w:rFonts w:cs="黑体" w:asciiTheme="minorEastAsia" w:hAnsiTheme="minorEastAsia"/>
          <w:b/>
          <w:bCs/>
          <w:color w:val="000000" w:themeColor="text1"/>
          <w:sz w:val="28"/>
          <w:szCs w:val="28"/>
        </w:rPr>
      </w:pPr>
      <w:r>
        <w:rPr>
          <w:rFonts w:hint="eastAsia" w:cs="黑体" w:asciiTheme="minorEastAsia" w:hAnsiTheme="minorEastAsia"/>
          <w:b/>
          <w:bCs/>
          <w:color w:val="000000" w:themeColor="text1"/>
          <w:sz w:val="28"/>
          <w:szCs w:val="28"/>
        </w:rPr>
        <w:t>(2)部门决算中项目绩效自评结果（如有）</w:t>
      </w:r>
    </w:p>
    <w:p>
      <w:pPr>
        <w:pStyle w:val="2"/>
        <w:widowControl/>
        <w:shd w:val="clear" w:color="auto" w:fill="FFFFFF"/>
        <w:spacing w:beforeAutospacing="0" w:afterAutospacing="0"/>
        <w:ind w:firstLine="560" w:firstLineChars="200"/>
        <w:textAlignment w:val="center"/>
        <w:rPr>
          <w:rFonts w:asciiTheme="minorEastAsia" w:hAnsiTheme="minorEastAsia" w:cstheme="minorEastAsia"/>
          <w:color w:val="000000"/>
          <w:sz w:val="28"/>
          <w:szCs w:val="28"/>
        </w:rPr>
      </w:pPr>
      <w:r>
        <w:rPr>
          <w:rFonts w:hint="eastAsia" w:cs="黑体" w:asciiTheme="minorEastAsia" w:hAnsiTheme="minorEastAsia"/>
          <w:bCs/>
          <w:color w:val="000000" w:themeColor="text1"/>
          <w:sz w:val="28"/>
          <w:szCs w:val="28"/>
        </w:rPr>
        <w:t>本单位无项目，所以没有项目绩效自评。</w:t>
      </w:r>
    </w:p>
    <w:p>
      <w:pPr>
        <w:autoSpaceDE w:val="0"/>
        <w:autoSpaceDN w:val="0"/>
        <w:adjustRightInd w:val="0"/>
        <w:ind w:firstLine="560" w:firstLineChars="200"/>
        <w:jc w:val="left"/>
        <w:rPr>
          <w:rFonts w:cs="黑体" w:asciiTheme="minorEastAsia" w:hAnsiTheme="minorEastAsia"/>
          <w:b/>
          <w:color w:val="000000"/>
          <w:kern w:val="0"/>
          <w:sz w:val="28"/>
          <w:szCs w:val="28"/>
        </w:rPr>
      </w:pPr>
      <w:r>
        <w:rPr>
          <w:rFonts w:hint="eastAsia" w:asciiTheme="minorEastAsia" w:hAnsiTheme="minorEastAsia" w:cstheme="minorEastAsia"/>
          <w:b/>
          <w:color w:val="000000"/>
          <w:kern w:val="0"/>
          <w:sz w:val="28"/>
          <w:szCs w:val="28"/>
        </w:rPr>
        <w:t xml:space="preserve"> (3)</w:t>
      </w:r>
      <w:r>
        <w:rPr>
          <w:rFonts w:hint="eastAsia" w:cs="黑体" w:asciiTheme="minorEastAsia" w:hAnsiTheme="minorEastAsia"/>
          <w:b/>
          <w:color w:val="000000"/>
          <w:kern w:val="0"/>
          <w:sz w:val="28"/>
          <w:szCs w:val="28"/>
        </w:rPr>
        <w:t>部门评价项目绩效评价结果。</w:t>
      </w:r>
    </w:p>
    <w:p>
      <w:pPr>
        <w:autoSpaceDE w:val="0"/>
        <w:autoSpaceDN w:val="0"/>
        <w:adjustRightInd w:val="0"/>
        <w:ind w:firstLine="560" w:firstLineChars="200"/>
        <w:jc w:val="left"/>
        <w:rPr>
          <w:rFonts w:cs="黑体" w:asciiTheme="minorEastAsia" w:hAnsiTheme="minorEastAsia"/>
          <w:color w:val="000000"/>
          <w:kern w:val="0"/>
          <w:sz w:val="28"/>
          <w:szCs w:val="28"/>
        </w:rPr>
      </w:pPr>
      <w:r>
        <w:rPr>
          <w:rFonts w:hint="eastAsia" w:cs="黑体" w:asciiTheme="minorEastAsia" w:hAnsiTheme="minorEastAsia"/>
          <w:color w:val="000000"/>
          <w:kern w:val="0"/>
          <w:sz w:val="28"/>
          <w:szCs w:val="28"/>
        </w:rPr>
        <w:t>本单位已开展项目绩效自评，无需开展部门评价，因此无部门评价项目绩效评价结果。</w:t>
      </w:r>
    </w:p>
    <w:p>
      <w:pPr>
        <w:widowControl/>
        <w:spacing w:line="600" w:lineRule="exact"/>
        <w:ind w:firstLine="560" w:firstLineChars="200"/>
        <w:rPr>
          <w:rFonts w:asciiTheme="minorEastAsia" w:hAnsiTheme="minorEastAsia" w:cstheme="minorEastAsia"/>
          <w:color w:val="000000"/>
          <w:kern w:val="0"/>
          <w:sz w:val="28"/>
          <w:szCs w:val="28"/>
        </w:rPr>
      </w:pPr>
    </w:p>
    <w:p>
      <w:pPr>
        <w:widowControl/>
        <w:spacing w:line="600" w:lineRule="exact"/>
        <w:ind w:firstLine="560" w:firstLineChars="200"/>
        <w:rPr>
          <w:rFonts w:asciiTheme="minorEastAsia" w:hAnsiTheme="minorEastAsia" w:cstheme="minorEastAsia"/>
          <w:color w:val="000000"/>
          <w:kern w:val="0"/>
          <w:sz w:val="28"/>
          <w:szCs w:val="28"/>
        </w:rPr>
      </w:pPr>
    </w:p>
    <w:p>
      <w:pPr>
        <w:ind w:firstLine="560" w:firstLineChars="200"/>
        <w:rPr>
          <w:rFonts w:asciiTheme="minorEastAsia" w:hAnsiTheme="minorEastAsia" w:cstheme="minorEastAsia"/>
          <w:color w:val="000000"/>
          <w:kern w:val="0"/>
          <w:sz w:val="28"/>
          <w:szCs w:val="28"/>
        </w:rPr>
      </w:pPr>
    </w:p>
    <w:p>
      <w:pPr>
        <w:pStyle w:val="5"/>
        <w:jc w:val="both"/>
        <w:rPr>
          <w:rFonts w:hAnsi="黑体"/>
          <w:sz w:val="32"/>
          <w:szCs w:val="32"/>
        </w:rPr>
      </w:pPr>
      <w:r>
        <w:rPr>
          <w:rFonts w:hint="eastAsia" w:hAnsi="黑体"/>
          <w:sz w:val="32"/>
          <w:szCs w:val="32"/>
        </w:rPr>
        <w:t>第四部分 名词解释</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一、收入科目</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财政拨款收入：指财政当年拨付的资金。</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二、支出科目</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1.基本支出：指为保障机构正常运转、完成日常工作任务而发生的人员支出和公用支出。</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2.项目支出：指在基本支出之外为完成特定行政任务和事业发展目标所发生的支出。</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3.年末结转和结余：指本年度或以前年度预算安排、因客观条件发生变化无法按原计划实施，需延迟到以后年度按有关规定继续使用的资金。</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三、“三公”经费</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四、机关运行经费</w:t>
      </w:r>
    </w:p>
    <w:p>
      <w:pPr>
        <w:pStyle w:val="5"/>
        <w:ind w:firstLine="560" w:firstLineChars="200"/>
        <w:jc w:val="both"/>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是指各部门的公用经费，包括办公及印刷费、邮电费、差旅费、会议费、福利费、日常维修费、专用资料及一般设备购置费、办公用房水电费、网络租赁费、办公用房取暖费、办公用房物业管理费、公务用车运行维护费以及其他费用。</w:t>
      </w:r>
    </w:p>
    <w:p>
      <w:pPr>
        <w:pStyle w:val="5"/>
        <w:ind w:firstLine="560" w:firstLineChars="200"/>
        <w:jc w:val="both"/>
        <w:rPr>
          <w:rFonts w:asciiTheme="minorEastAsia" w:hAnsiTheme="minorEastAsia" w:eastAsiaTheme="minorEastAsia" w:cstheme="minorEastAsia"/>
          <w:sz w:val="28"/>
          <w:szCs w:val="28"/>
        </w:rPr>
      </w:pPr>
    </w:p>
    <w:p>
      <w:pPr>
        <w:pStyle w:val="5"/>
        <w:ind w:firstLine="560" w:firstLineChars="200"/>
        <w:jc w:val="both"/>
        <w:rPr>
          <w:rFonts w:asciiTheme="minorEastAsia" w:hAnsiTheme="minorEastAsia" w:eastAsiaTheme="minorEastAsia" w:cstheme="minorEastAsia"/>
          <w:sz w:val="28"/>
          <w:szCs w:val="28"/>
        </w:rPr>
      </w:pPr>
    </w:p>
    <w:p>
      <w:pPr>
        <w:pStyle w:val="5"/>
        <w:ind w:firstLine="560" w:firstLineChars="200"/>
        <w:jc w:val="both"/>
        <w:rPr>
          <w:rFonts w:asciiTheme="minorEastAsia" w:hAnsiTheme="minorEastAsia" w:eastAsiaTheme="minorEastAsia" w:cstheme="minorEastAsia"/>
          <w:sz w:val="28"/>
          <w:szCs w:val="28"/>
        </w:rPr>
      </w:pPr>
    </w:p>
    <w:p>
      <w:pPr>
        <w:pStyle w:val="5"/>
        <w:ind w:firstLine="560" w:firstLineChars="200"/>
        <w:jc w:val="both"/>
        <w:rPr>
          <w:rFonts w:asciiTheme="minorEastAsia" w:hAnsiTheme="minorEastAsia" w:eastAsiaTheme="minorEastAsia" w:cstheme="minorEastAsia"/>
          <w:sz w:val="28"/>
          <w:szCs w:val="28"/>
        </w:rPr>
      </w:pPr>
    </w:p>
    <w:p>
      <w:pPr>
        <w:pStyle w:val="5"/>
        <w:ind w:firstLine="560" w:firstLineChars="200"/>
        <w:jc w:val="both"/>
        <w:rPr>
          <w:rFonts w:asciiTheme="minorEastAsia" w:hAnsiTheme="minorEastAsia" w:eastAsiaTheme="minorEastAsia" w:cstheme="minorEastAsia"/>
          <w:sz w:val="28"/>
          <w:szCs w:val="28"/>
        </w:rPr>
      </w:pPr>
    </w:p>
    <w:p>
      <w:pPr>
        <w:pStyle w:val="5"/>
        <w:ind w:firstLine="640" w:firstLineChars="200"/>
        <w:jc w:val="both"/>
        <w:rPr>
          <w:rFonts w:hAnsi="黑体"/>
          <w:sz w:val="32"/>
          <w:szCs w:val="32"/>
        </w:rPr>
      </w:pPr>
      <w:r>
        <w:rPr>
          <w:rFonts w:hint="eastAsia" w:hAnsi="黑体"/>
          <w:sz w:val="32"/>
          <w:szCs w:val="32"/>
        </w:rPr>
        <w:t>第五部分 附件</w:t>
      </w:r>
    </w:p>
    <w:p>
      <w:pPr>
        <w:ind w:firstLine="560" w:firstLineChars="200"/>
        <w:jc w:val="center"/>
        <w:rPr>
          <w:rFonts w:asciiTheme="minorEastAsia" w:hAnsiTheme="minorEastAsia" w:cstheme="minorEastAsia"/>
          <w:b/>
          <w:color w:val="000000"/>
          <w:kern w:val="0"/>
          <w:sz w:val="28"/>
          <w:szCs w:val="28"/>
        </w:rPr>
      </w:pPr>
      <w:r>
        <w:rPr>
          <w:rFonts w:hint="eastAsia" w:asciiTheme="minorEastAsia" w:hAnsiTheme="minorEastAsia" w:cstheme="minorEastAsia"/>
          <w:b/>
          <w:color w:val="000000"/>
          <w:kern w:val="0"/>
          <w:sz w:val="28"/>
          <w:szCs w:val="28"/>
        </w:rPr>
        <w:t>2021年度部门整体支出绩效评价报告</w:t>
      </w:r>
    </w:p>
    <w:p>
      <w:pPr>
        <w:adjustRightInd w:val="0"/>
        <w:snapToGrid w:val="0"/>
        <w:spacing w:line="500" w:lineRule="exact"/>
        <w:ind w:firstLine="600" w:firstLineChars="200"/>
        <w:rPr>
          <w:rFonts w:ascii="仿宋" w:hAnsi="仿宋" w:eastAsia="仿宋" w:cs="仿宋"/>
          <w:b/>
          <w:bCs/>
          <w:sz w:val="30"/>
          <w:szCs w:val="30"/>
        </w:rPr>
      </w:pPr>
      <w:r>
        <w:rPr>
          <w:rFonts w:hint="eastAsia" w:ascii="仿宋" w:hAnsi="仿宋" w:eastAsia="仿宋" w:cs="仿宋"/>
          <w:b/>
          <w:bCs/>
          <w:sz w:val="30"/>
          <w:szCs w:val="30"/>
        </w:rPr>
        <w:t>一、部门概况</w:t>
      </w:r>
    </w:p>
    <w:p>
      <w:pPr>
        <w:pStyle w:val="7"/>
        <w:autoSpaceDE w:val="0"/>
        <w:spacing w:before="0" w:beforeAutospacing="0" w:after="0" w:afterAutospacing="0" w:line="580" w:lineRule="exact"/>
        <w:ind w:firstLine="600" w:firstLineChars="200"/>
        <w:jc w:val="both"/>
        <w:rPr>
          <w:rFonts w:ascii="仿宋" w:hAnsi="仿宋" w:eastAsia="仿宋" w:cs="仿宋"/>
          <w:kern w:val="2"/>
          <w:sz w:val="30"/>
          <w:szCs w:val="30"/>
        </w:rPr>
      </w:pPr>
      <w:r>
        <w:rPr>
          <w:rFonts w:hint="eastAsia" w:ascii="仿宋" w:hAnsi="仿宋" w:eastAsia="仿宋" w:cs="仿宋"/>
          <w:kern w:val="2"/>
          <w:sz w:val="30"/>
          <w:szCs w:val="30"/>
        </w:rPr>
        <w:t> 1、组织机构设置及人员情况。</w:t>
      </w:r>
    </w:p>
    <w:p>
      <w:pPr>
        <w:pStyle w:val="7"/>
        <w:autoSpaceDE w:val="0"/>
        <w:spacing w:before="0" w:beforeAutospacing="0" w:after="0" w:afterAutospacing="0" w:line="580" w:lineRule="exact"/>
        <w:ind w:firstLine="600"/>
        <w:jc w:val="both"/>
        <w:rPr>
          <w:rFonts w:ascii="仿宋" w:hAnsi="仿宋" w:eastAsia="仿宋" w:cs="仿宋"/>
          <w:kern w:val="2"/>
          <w:sz w:val="30"/>
          <w:szCs w:val="30"/>
        </w:rPr>
      </w:pPr>
      <w:r>
        <w:rPr>
          <w:rFonts w:hint="eastAsia" w:ascii="仿宋" w:hAnsi="仿宋" w:eastAsia="仿宋" w:cs="仿宋"/>
          <w:kern w:val="2"/>
          <w:sz w:val="30"/>
          <w:szCs w:val="30"/>
        </w:rPr>
        <w:t>（1）组织机构设置情况。</w:t>
      </w:r>
    </w:p>
    <w:p>
      <w:pPr>
        <w:pStyle w:val="2"/>
        <w:widowControl/>
        <w:spacing w:beforeAutospacing="0" w:afterAutospacing="0" w:line="600" w:lineRule="exact"/>
        <w:ind w:firstLine="840" w:firstLineChars="300"/>
        <w:jc w:val="both"/>
        <w:rPr>
          <w:rFonts w:asciiTheme="minorEastAsia" w:hAnsiTheme="minorEastAsia" w:cstheme="minorEastAsia"/>
          <w:bCs/>
          <w:sz w:val="28"/>
          <w:szCs w:val="28"/>
        </w:rPr>
      </w:pPr>
      <w:r>
        <w:rPr>
          <w:rFonts w:hint="eastAsia" w:asciiTheme="minorEastAsia" w:hAnsiTheme="minorEastAsia" w:cstheme="minorEastAsia"/>
          <w:bCs/>
          <w:sz w:val="28"/>
          <w:szCs w:val="28"/>
        </w:rPr>
        <w:t>新田县公安局内设机构28</w:t>
      </w:r>
      <w:r>
        <w:rPr>
          <w:rFonts w:asciiTheme="minorEastAsia" w:hAnsiTheme="minorEastAsia" w:cstheme="minorEastAsia"/>
          <w:bCs/>
          <w:sz w:val="28"/>
          <w:szCs w:val="28"/>
        </w:rPr>
        <w:t>个，所属事业单位</w:t>
      </w:r>
      <w:r>
        <w:rPr>
          <w:rFonts w:hint="eastAsia" w:asciiTheme="minorEastAsia" w:hAnsiTheme="minorEastAsia" w:cstheme="minorEastAsia"/>
          <w:bCs/>
          <w:sz w:val="28"/>
          <w:szCs w:val="28"/>
        </w:rPr>
        <w:t>0</w:t>
      </w:r>
      <w:r>
        <w:rPr>
          <w:rFonts w:asciiTheme="minorEastAsia" w:hAnsiTheme="minorEastAsia" w:cstheme="minorEastAsia"/>
          <w:bCs/>
          <w:sz w:val="28"/>
          <w:szCs w:val="28"/>
        </w:rPr>
        <w:t>个。内设</w:t>
      </w:r>
      <w:r>
        <w:rPr>
          <w:rFonts w:hint="eastAsia" w:asciiTheme="minorEastAsia" w:hAnsiTheme="minorEastAsia" w:cstheme="minorEastAsia"/>
          <w:bCs/>
          <w:sz w:val="28"/>
          <w:szCs w:val="28"/>
        </w:rPr>
        <w:t>股</w:t>
      </w:r>
      <w:r>
        <w:rPr>
          <w:rFonts w:asciiTheme="minorEastAsia" w:hAnsiTheme="minorEastAsia" w:cstheme="minorEastAsia"/>
          <w:bCs/>
          <w:sz w:val="28"/>
          <w:szCs w:val="28"/>
        </w:rPr>
        <w:t>室分别是</w:t>
      </w:r>
      <w:r>
        <w:rPr>
          <w:rFonts w:hint="eastAsia" w:asciiTheme="minorEastAsia" w:hAnsiTheme="minorEastAsia" w:cstheme="minorEastAsia"/>
          <w:bCs/>
          <w:sz w:val="28"/>
          <w:szCs w:val="28"/>
        </w:rPr>
        <w:t>指挥中心、政工室、督察大队、警务保障室、法制办、信访室、刑侦大队、人口大队、禁毒大队、国保大队、反恐大队、治安大队、经侦大队、网安大队、图侦大队、拘留所、看守所、巡逻大队、城西派出所、城东派出所、新圩派出所、枧头派出所、石羊派出所、大坪塘派出所、骥村派出所、金盆派出所、陶岭派出所、新隆派出所</w:t>
      </w:r>
      <w:r>
        <w:rPr>
          <w:rFonts w:asciiTheme="minorEastAsia" w:hAnsiTheme="minorEastAsia" w:cstheme="minorEastAsia"/>
          <w:bCs/>
          <w:sz w:val="28"/>
          <w:szCs w:val="28"/>
        </w:rPr>
        <w:t>。</w:t>
      </w:r>
    </w:p>
    <w:p>
      <w:pPr>
        <w:pStyle w:val="7"/>
        <w:autoSpaceDE w:val="0"/>
        <w:spacing w:before="0" w:beforeAutospacing="0" w:after="0" w:afterAutospacing="0" w:line="580" w:lineRule="exact"/>
        <w:jc w:val="both"/>
        <w:rPr>
          <w:rFonts w:ascii="仿宋" w:hAnsi="仿宋" w:eastAsia="仿宋" w:cs="仿宋"/>
          <w:kern w:val="2"/>
          <w:sz w:val="30"/>
          <w:szCs w:val="30"/>
        </w:rPr>
      </w:pPr>
      <w:r>
        <w:rPr>
          <w:rFonts w:hint="eastAsia" w:ascii="仿宋" w:hAnsi="仿宋" w:eastAsia="仿宋" w:cs="仿宋"/>
          <w:kern w:val="2"/>
          <w:sz w:val="30"/>
          <w:szCs w:val="30"/>
        </w:rPr>
        <w:t>　　（2）人员情况</w:t>
      </w:r>
    </w:p>
    <w:p>
      <w:pPr>
        <w:pStyle w:val="7"/>
        <w:autoSpaceDE w:val="0"/>
        <w:spacing w:before="0" w:beforeAutospacing="0" w:after="0" w:afterAutospacing="0" w:line="580" w:lineRule="exact"/>
        <w:ind w:firstLine="780" w:firstLineChars="260"/>
        <w:jc w:val="both"/>
        <w:rPr>
          <w:rFonts w:ascii="仿宋" w:hAnsi="仿宋" w:eastAsia="仿宋" w:cs="仿宋"/>
          <w:kern w:val="2"/>
          <w:sz w:val="30"/>
          <w:szCs w:val="30"/>
        </w:rPr>
      </w:pPr>
      <w:r>
        <w:rPr>
          <w:rFonts w:hint="eastAsia" w:ascii="仿宋" w:hAnsi="仿宋" w:eastAsia="仿宋" w:cs="仿宋"/>
          <w:kern w:val="2"/>
          <w:sz w:val="30"/>
          <w:szCs w:val="30"/>
        </w:rPr>
        <w:t>现有民警、职工197人（其中：正式公安民警187人，职工10人），另有辅警427人。　</w:t>
      </w:r>
    </w:p>
    <w:p>
      <w:pPr>
        <w:pStyle w:val="7"/>
        <w:autoSpaceDE w:val="0"/>
        <w:spacing w:before="0" w:beforeAutospacing="0" w:after="0" w:afterAutospacing="0" w:line="580" w:lineRule="exact"/>
        <w:ind w:firstLine="480"/>
        <w:jc w:val="both"/>
        <w:rPr>
          <w:rFonts w:ascii="仿宋" w:hAnsi="仿宋" w:eastAsia="仿宋" w:cs="仿宋"/>
          <w:kern w:val="2"/>
          <w:sz w:val="30"/>
          <w:szCs w:val="30"/>
        </w:rPr>
      </w:pPr>
      <w:r>
        <w:rPr>
          <w:rFonts w:hint="eastAsia" w:ascii="仿宋" w:hAnsi="仿宋" w:eastAsia="仿宋" w:cs="仿宋"/>
          <w:kern w:val="2"/>
          <w:sz w:val="30"/>
          <w:szCs w:val="30"/>
        </w:rPr>
        <w:t>　2、主要工作职能。</w:t>
      </w:r>
    </w:p>
    <w:p>
      <w:pPr>
        <w:ind w:firstLine="600" w:firstLineChars="200"/>
        <w:rPr>
          <w:rFonts w:ascii="仿宋" w:hAnsi="仿宋" w:eastAsia="仿宋" w:cs="仿宋"/>
          <w:sz w:val="30"/>
          <w:szCs w:val="30"/>
        </w:rPr>
      </w:pPr>
      <w:r>
        <w:rPr>
          <w:rFonts w:hint="eastAsia" w:ascii="仿宋" w:hAnsi="仿宋" w:eastAsia="仿宋" w:cs="仿宋"/>
          <w:sz w:val="30"/>
          <w:szCs w:val="30"/>
        </w:rPr>
        <w:t>（1）贯彻执行国家有关公安工作的方针、政策和法律、法规，起草全县公安规范性文件，指导、监督、检查全县公安工作。</w:t>
      </w:r>
    </w:p>
    <w:p>
      <w:pPr>
        <w:ind w:firstLine="600" w:firstLineChars="200"/>
        <w:rPr>
          <w:rFonts w:ascii="仿宋" w:hAnsi="仿宋" w:eastAsia="仿宋" w:cs="仿宋"/>
          <w:sz w:val="30"/>
          <w:szCs w:val="30"/>
        </w:rPr>
      </w:pPr>
      <w:r>
        <w:rPr>
          <w:rFonts w:hint="eastAsia" w:ascii="仿宋" w:hAnsi="仿宋" w:eastAsia="仿宋" w:cs="仿宋"/>
          <w:sz w:val="30"/>
          <w:szCs w:val="30"/>
        </w:rPr>
        <w:t>（2）掌握影响稳定、危害国内安全和社会治安的情况，分析形势，制定对策；防范处置邪教、非法宗教组织的违法犯罪活动。</w:t>
      </w:r>
    </w:p>
    <w:p>
      <w:pPr>
        <w:ind w:firstLine="600" w:firstLineChars="200"/>
        <w:rPr>
          <w:rFonts w:ascii="仿宋" w:hAnsi="仿宋" w:eastAsia="仿宋" w:cs="仿宋"/>
          <w:sz w:val="30"/>
          <w:szCs w:val="30"/>
        </w:rPr>
      </w:pPr>
      <w:r>
        <w:rPr>
          <w:rFonts w:hint="eastAsia" w:ascii="仿宋" w:hAnsi="仿宋" w:eastAsia="仿宋" w:cs="仿宋"/>
          <w:sz w:val="30"/>
          <w:szCs w:val="30"/>
        </w:rPr>
        <w:t>（3）承办案件的侦查工作，协调、处置重大案件（事件）、治安事故和骚乱。</w:t>
      </w:r>
    </w:p>
    <w:p>
      <w:pPr>
        <w:ind w:firstLine="600" w:firstLineChars="200"/>
        <w:rPr>
          <w:rFonts w:ascii="仿宋" w:hAnsi="仿宋" w:eastAsia="仿宋" w:cs="仿宋"/>
          <w:sz w:val="30"/>
          <w:szCs w:val="30"/>
        </w:rPr>
      </w:pPr>
      <w:r>
        <w:rPr>
          <w:rFonts w:hint="eastAsia" w:ascii="仿宋" w:hAnsi="仿宋" w:eastAsia="仿宋" w:cs="仿宋"/>
          <w:sz w:val="30"/>
          <w:szCs w:val="30"/>
        </w:rPr>
        <w:t>（4）依法查处危害社会治安秩序的行为；依法管理户口、居民身份证、枪支弹药、危险爆炸物品、特种行业和公共场所等工作。</w:t>
      </w:r>
    </w:p>
    <w:p>
      <w:pPr>
        <w:ind w:firstLine="600" w:firstLineChars="200"/>
        <w:rPr>
          <w:rFonts w:ascii="仿宋" w:hAnsi="仿宋" w:eastAsia="仿宋" w:cs="仿宋"/>
          <w:sz w:val="30"/>
          <w:szCs w:val="30"/>
        </w:rPr>
      </w:pPr>
      <w:r>
        <w:rPr>
          <w:rFonts w:hint="eastAsia" w:ascii="仿宋" w:hAnsi="仿宋" w:eastAsia="仿宋" w:cs="仿宋"/>
          <w:sz w:val="30"/>
          <w:szCs w:val="30"/>
        </w:rPr>
        <w:t>（5）依法管理国籍工作，负责出境、入境和外国人在境内居留、旅行的有关管理工作；协调涉外案件的查处。</w:t>
      </w:r>
    </w:p>
    <w:p>
      <w:pPr>
        <w:ind w:firstLine="600" w:firstLineChars="200"/>
        <w:rPr>
          <w:rFonts w:ascii="仿宋" w:hAnsi="仿宋" w:eastAsia="仿宋" w:cs="仿宋"/>
          <w:sz w:val="30"/>
          <w:szCs w:val="30"/>
        </w:rPr>
      </w:pPr>
      <w:r>
        <w:rPr>
          <w:rFonts w:hint="eastAsia" w:ascii="仿宋" w:hAnsi="仿宋" w:eastAsia="仿宋" w:cs="仿宋"/>
          <w:sz w:val="30"/>
          <w:szCs w:val="30"/>
        </w:rPr>
        <w:t>（6）组织实施全县消防工作，依法实行消防监督。</w:t>
      </w:r>
    </w:p>
    <w:p>
      <w:pPr>
        <w:ind w:firstLine="600" w:firstLineChars="200"/>
        <w:rPr>
          <w:rFonts w:ascii="仿宋" w:hAnsi="仿宋" w:eastAsia="仿宋" w:cs="仿宋"/>
          <w:sz w:val="30"/>
          <w:szCs w:val="30"/>
        </w:rPr>
      </w:pPr>
      <w:r>
        <w:rPr>
          <w:rFonts w:hint="eastAsia" w:ascii="仿宋" w:hAnsi="仿宋" w:eastAsia="仿宋" w:cs="仿宋"/>
          <w:sz w:val="30"/>
          <w:szCs w:val="30"/>
        </w:rPr>
        <w:t>（7）维护全县道路交通安全、交通秩序以及机动车辆、驾驶员管理工作；处理道路交通事故；管理县公安交通管理大队。</w:t>
      </w:r>
    </w:p>
    <w:p>
      <w:pPr>
        <w:ind w:firstLine="600" w:firstLineChars="200"/>
        <w:rPr>
          <w:rFonts w:ascii="仿宋" w:hAnsi="仿宋" w:eastAsia="仿宋" w:cs="仿宋"/>
          <w:sz w:val="30"/>
          <w:szCs w:val="30"/>
        </w:rPr>
      </w:pPr>
      <w:r>
        <w:rPr>
          <w:rFonts w:hint="eastAsia" w:ascii="仿宋" w:hAnsi="仿宋" w:eastAsia="仿宋" w:cs="仿宋"/>
          <w:sz w:val="30"/>
          <w:szCs w:val="30"/>
        </w:rPr>
        <w:t>（8）负责对全县国家机关、社会团体、企事业单位和重点建设工程的治安保卫工作以及群众性治安保卫组织的治安防范工作。</w:t>
      </w:r>
    </w:p>
    <w:p>
      <w:pPr>
        <w:ind w:firstLine="600" w:firstLineChars="200"/>
        <w:rPr>
          <w:rFonts w:ascii="仿宋" w:hAnsi="仿宋" w:eastAsia="仿宋" w:cs="仿宋"/>
          <w:sz w:val="30"/>
          <w:szCs w:val="30"/>
        </w:rPr>
      </w:pPr>
      <w:r>
        <w:rPr>
          <w:rFonts w:hint="eastAsia" w:ascii="仿宋" w:hAnsi="仿宋" w:eastAsia="仿宋" w:cs="仿宋"/>
          <w:sz w:val="30"/>
          <w:szCs w:val="30"/>
        </w:rPr>
        <w:t>（9）负责全县公共信息网络的安全保卫工作。</w:t>
      </w:r>
    </w:p>
    <w:p>
      <w:pPr>
        <w:ind w:firstLine="600" w:firstLineChars="200"/>
        <w:rPr>
          <w:rFonts w:ascii="仿宋" w:hAnsi="仿宋" w:eastAsia="仿宋" w:cs="仿宋"/>
          <w:sz w:val="30"/>
          <w:szCs w:val="30"/>
        </w:rPr>
      </w:pPr>
      <w:r>
        <w:rPr>
          <w:rFonts w:hint="eastAsia" w:ascii="仿宋" w:hAnsi="仿宋" w:eastAsia="仿宋" w:cs="仿宋"/>
          <w:sz w:val="30"/>
          <w:szCs w:val="30"/>
        </w:rPr>
        <w:t>（10）负责全县公安机关依法承担的执行刑罚和监督、考察工作；直接管理县看守所、拘留所。</w:t>
      </w:r>
    </w:p>
    <w:p>
      <w:pPr>
        <w:ind w:firstLine="600" w:firstLineChars="200"/>
        <w:rPr>
          <w:rFonts w:ascii="仿宋" w:hAnsi="仿宋" w:eastAsia="仿宋" w:cs="仿宋"/>
          <w:sz w:val="30"/>
          <w:szCs w:val="30"/>
        </w:rPr>
      </w:pPr>
      <w:r>
        <w:rPr>
          <w:rFonts w:hint="eastAsia" w:ascii="仿宋" w:hAnsi="仿宋" w:eastAsia="仿宋" w:cs="仿宋"/>
          <w:sz w:val="30"/>
          <w:szCs w:val="30"/>
        </w:rPr>
        <w:t>（11）组织实施对来新的党和国家领导人以及重要外宾、重要会议的安全警卫工作。</w:t>
      </w:r>
    </w:p>
    <w:p>
      <w:pPr>
        <w:ind w:left="638" w:leftChars="304"/>
        <w:rPr>
          <w:rFonts w:ascii="仿宋" w:hAnsi="仿宋" w:eastAsia="仿宋" w:cs="仿宋"/>
          <w:sz w:val="30"/>
          <w:szCs w:val="30"/>
        </w:rPr>
      </w:pPr>
      <w:r>
        <w:rPr>
          <w:rFonts w:hint="eastAsia" w:ascii="仿宋" w:hAnsi="仿宋" w:eastAsia="仿宋" w:cs="仿宋"/>
          <w:sz w:val="30"/>
          <w:szCs w:val="30"/>
        </w:rPr>
        <w:t>（12）负责全县禁毒、缉毒工作；承担县禁毒委员会的日常工作。</w:t>
      </w:r>
    </w:p>
    <w:p>
      <w:pPr>
        <w:ind w:left="638" w:leftChars="304"/>
        <w:rPr>
          <w:rFonts w:ascii="仿宋" w:hAnsi="仿宋" w:eastAsia="仿宋" w:cs="仿宋"/>
          <w:sz w:val="30"/>
          <w:szCs w:val="30"/>
        </w:rPr>
      </w:pPr>
      <w:r>
        <w:rPr>
          <w:rFonts w:hint="eastAsia" w:ascii="仿宋" w:hAnsi="仿宋" w:eastAsia="仿宋" w:cs="仿宋"/>
          <w:sz w:val="30"/>
          <w:szCs w:val="30"/>
        </w:rPr>
        <w:t>（13）组织实施公安科学技术工作；规划公安信息技术、刑事技术、网络安全技术和行动技术、指挥系统等建设。</w:t>
      </w:r>
    </w:p>
    <w:p>
      <w:pPr>
        <w:ind w:left="638" w:leftChars="304"/>
        <w:rPr>
          <w:rFonts w:ascii="仿宋" w:hAnsi="仿宋" w:eastAsia="仿宋" w:cs="仿宋"/>
          <w:sz w:val="30"/>
          <w:szCs w:val="30"/>
        </w:rPr>
      </w:pPr>
      <w:r>
        <w:rPr>
          <w:rFonts w:hint="eastAsia" w:ascii="仿宋" w:hAnsi="仿宋" w:eastAsia="仿宋" w:cs="仿宋"/>
          <w:sz w:val="30"/>
          <w:szCs w:val="30"/>
        </w:rPr>
        <w:t>（14）负责全县公安机关装备、被装配备的计划、申报、分配、管理工作；负责申报公安业务经费的专项拨款的分配计划并监督、管理使用情况。</w:t>
      </w:r>
    </w:p>
    <w:p>
      <w:pPr>
        <w:ind w:left="638" w:leftChars="304"/>
        <w:rPr>
          <w:rFonts w:ascii="仿宋" w:hAnsi="仿宋" w:eastAsia="仿宋" w:cs="仿宋"/>
          <w:sz w:val="30"/>
          <w:szCs w:val="30"/>
        </w:rPr>
      </w:pPr>
      <w:r>
        <w:rPr>
          <w:rFonts w:hint="eastAsia" w:ascii="仿宋" w:hAnsi="仿宋" w:eastAsia="仿宋" w:cs="仿宋"/>
          <w:sz w:val="30"/>
          <w:szCs w:val="30"/>
        </w:rPr>
        <w:t>（15）对武警中队执行公安任务及相关业务建设实施领导和指挥。</w:t>
      </w:r>
    </w:p>
    <w:p>
      <w:pPr>
        <w:ind w:left="638" w:leftChars="304"/>
        <w:rPr>
          <w:rFonts w:ascii="仿宋" w:hAnsi="仿宋" w:eastAsia="仿宋" w:cs="仿宋"/>
          <w:sz w:val="30"/>
          <w:szCs w:val="30"/>
        </w:rPr>
      </w:pPr>
      <w:r>
        <w:rPr>
          <w:rFonts w:hint="eastAsia" w:ascii="仿宋" w:hAnsi="仿宋" w:eastAsia="仿宋" w:cs="仿宋"/>
          <w:sz w:val="30"/>
          <w:szCs w:val="30"/>
        </w:rPr>
        <w:t>（16）负责全县公安队伍建设和思想政治工作；组织和管理公安机关人员培训、教育、奖惩及公安宣传工作；负责全县公安民警警衔管理和警察证件管理；按规定权限管理干部。</w:t>
      </w:r>
    </w:p>
    <w:p>
      <w:pPr>
        <w:ind w:left="638" w:leftChars="304"/>
        <w:rPr>
          <w:rFonts w:ascii="仿宋" w:hAnsi="仿宋" w:eastAsia="仿宋" w:cs="仿宋"/>
          <w:sz w:val="30"/>
          <w:szCs w:val="30"/>
        </w:rPr>
      </w:pPr>
      <w:r>
        <w:rPr>
          <w:rFonts w:hint="eastAsia" w:ascii="仿宋" w:hAnsi="仿宋" w:eastAsia="仿宋" w:cs="仿宋"/>
          <w:sz w:val="30"/>
          <w:szCs w:val="30"/>
        </w:rPr>
        <w:t>（17）制定全县公安队伍监督管理工作规章制度，负责全县公安机关监督工作；按规定全县实施对干部的监督；指导、督促、检查全县公安机关的执法活动；查处全县公安队伍的各类违纪案件。</w:t>
      </w:r>
    </w:p>
    <w:p>
      <w:pPr>
        <w:ind w:left="638" w:leftChars="304"/>
        <w:rPr>
          <w:rFonts w:ascii="仿宋" w:hAnsi="仿宋" w:eastAsia="仿宋" w:cs="仿宋"/>
          <w:sz w:val="30"/>
          <w:szCs w:val="30"/>
        </w:rPr>
      </w:pPr>
      <w:r>
        <w:rPr>
          <w:rFonts w:hint="eastAsia" w:ascii="仿宋" w:hAnsi="仿宋" w:eastAsia="仿宋" w:cs="仿宋"/>
          <w:sz w:val="30"/>
          <w:szCs w:val="30"/>
        </w:rPr>
        <w:t>（18）森林公安局列入公安机构序列，受县林业局和县公安局双重领导，业务工作以县公安局领导为主。</w:t>
      </w:r>
    </w:p>
    <w:p>
      <w:pPr>
        <w:ind w:left="638" w:leftChars="304"/>
        <w:rPr>
          <w:rFonts w:ascii="仿宋" w:hAnsi="仿宋" w:eastAsia="仿宋" w:cs="仿宋"/>
          <w:sz w:val="30"/>
          <w:szCs w:val="30"/>
        </w:rPr>
      </w:pPr>
      <w:r>
        <w:rPr>
          <w:rFonts w:hint="eastAsia" w:ascii="仿宋" w:hAnsi="仿宋" w:eastAsia="仿宋" w:cs="仿宋"/>
          <w:sz w:val="30"/>
          <w:szCs w:val="30"/>
        </w:rPr>
        <w:t>（19）按机构改革的总体要求，负责对下属单位机构设置、职能配置和人员编制配备等提出调整完善意见，报机构编制部门明确。</w:t>
      </w:r>
    </w:p>
    <w:p>
      <w:pPr>
        <w:pStyle w:val="7"/>
        <w:autoSpaceDE w:val="0"/>
        <w:spacing w:before="0" w:beforeAutospacing="0" w:after="0" w:afterAutospacing="0" w:line="580" w:lineRule="exact"/>
        <w:ind w:firstLine="600" w:firstLineChars="200"/>
        <w:jc w:val="both"/>
        <w:rPr>
          <w:rFonts w:ascii="仿宋" w:hAnsi="仿宋" w:eastAsia="仿宋" w:cs="仿宋"/>
          <w:kern w:val="2"/>
          <w:sz w:val="30"/>
          <w:szCs w:val="30"/>
        </w:rPr>
      </w:pPr>
      <w:r>
        <w:rPr>
          <w:rFonts w:hint="eastAsia" w:ascii="仿宋" w:hAnsi="仿宋" w:eastAsia="仿宋" w:cs="仿宋"/>
          <w:kern w:val="2"/>
          <w:sz w:val="30"/>
          <w:szCs w:val="30"/>
        </w:rPr>
        <w:t>（20）承担县委、县人民政府和上级公安机关交办的其他事项。</w:t>
      </w:r>
      <w:r>
        <w:rPr>
          <w:rFonts w:hint="eastAsia" w:ascii="仿宋" w:hAnsi="仿宋" w:eastAsia="仿宋" w:cs="仿宋"/>
          <w:kern w:val="2"/>
          <w:sz w:val="30"/>
          <w:szCs w:val="30"/>
        </w:rPr>
        <w:br w:type="textWrapping"/>
      </w:r>
      <w:r>
        <w:rPr>
          <w:rFonts w:hint="eastAsia" w:ascii="仿宋" w:hAnsi="仿宋" w:eastAsia="仿宋" w:cs="仿宋"/>
          <w:kern w:val="2"/>
          <w:sz w:val="30"/>
          <w:szCs w:val="30"/>
        </w:rPr>
        <w:t>　</w:t>
      </w:r>
      <w:r>
        <w:rPr>
          <w:rFonts w:hint="eastAsia" w:ascii="仿宋" w:hAnsi="仿宋" w:eastAsia="仿宋" w:cs="仿宋"/>
          <w:b/>
          <w:bCs/>
          <w:kern w:val="2"/>
          <w:sz w:val="30"/>
          <w:szCs w:val="30"/>
        </w:rPr>
        <w:t>　</w:t>
      </w:r>
      <w:r>
        <w:rPr>
          <w:rFonts w:hint="eastAsia" w:ascii="仿宋" w:hAnsi="仿宋" w:eastAsia="仿宋" w:cs="仿宋"/>
          <w:kern w:val="2"/>
          <w:sz w:val="30"/>
          <w:szCs w:val="30"/>
        </w:rPr>
        <w:t>3、部门年度工作计划</w:t>
      </w:r>
    </w:p>
    <w:p>
      <w:pPr>
        <w:spacing w:line="580" w:lineRule="exact"/>
        <w:ind w:firstLine="900" w:firstLineChars="300"/>
        <w:rPr>
          <w:rFonts w:ascii="仿宋" w:hAnsi="仿宋" w:eastAsia="仿宋" w:cs="仿宋"/>
          <w:sz w:val="30"/>
          <w:szCs w:val="30"/>
        </w:rPr>
      </w:pPr>
      <w:r>
        <w:rPr>
          <w:rFonts w:hint="eastAsia" w:ascii="仿宋" w:hAnsi="仿宋" w:eastAsia="仿宋" w:cs="仿宋"/>
          <w:sz w:val="30"/>
          <w:szCs w:val="30"/>
        </w:rPr>
        <w:t>2021年，县公安局将在县委、县政府和县政法委的正确领导下，继续强化主业意识、服务意识和大局意识，强力推进“基础信息化、警务实战化、执法规范化、队伍正规化”四项建设，不断提升维稳保安、服务发展的能力水平。</w:t>
      </w:r>
    </w:p>
    <w:p>
      <w:pPr>
        <w:spacing w:line="580" w:lineRule="exact"/>
        <w:ind w:firstLine="600" w:firstLineChars="200"/>
        <w:rPr>
          <w:rFonts w:ascii="仿宋" w:hAnsi="仿宋" w:eastAsia="仿宋" w:cs="仿宋"/>
          <w:sz w:val="30"/>
          <w:szCs w:val="30"/>
        </w:rPr>
      </w:pPr>
      <w:r>
        <w:rPr>
          <w:rFonts w:hint="eastAsia" w:ascii="仿宋" w:hAnsi="仿宋" w:eastAsia="仿宋" w:cs="仿宋"/>
          <w:sz w:val="30"/>
          <w:szCs w:val="30"/>
        </w:rPr>
        <w:t>（1）深入推进基础信息化，全面提升打防管控能力。一是转变警务、勤务指挥模式。努力实现警务调度指挥扁平化，接处警工作高效化，提高应急指挥效率和应急处置能力。二是完善基础信息采集管理。将基础信息采集融入社区警务、巡逻盘查、现场勘查、执法办案等日常警务工作，实现全警采集、全警录入、全警应用、全警受益的工作目标。三是狠抓信息化建设与应用。加快推进社会治安视频监控系统、治安卡口、“三台合一”信息平台、警用地理信息、社区警务系统的升级改造与建设，提升公安信息化实战应用效能。</w:t>
      </w:r>
    </w:p>
    <w:p>
      <w:pPr>
        <w:spacing w:line="580" w:lineRule="exact"/>
        <w:ind w:firstLine="641"/>
        <w:rPr>
          <w:rFonts w:ascii="仿宋" w:hAnsi="仿宋" w:eastAsia="仿宋" w:cs="仿宋"/>
          <w:sz w:val="30"/>
          <w:szCs w:val="30"/>
        </w:rPr>
      </w:pPr>
      <w:r>
        <w:rPr>
          <w:rFonts w:hint="eastAsia" w:ascii="仿宋" w:hAnsi="仿宋" w:eastAsia="仿宋" w:cs="仿宋"/>
          <w:sz w:val="30"/>
          <w:szCs w:val="30"/>
        </w:rPr>
        <w:t>（2）深入推进警务实战化，全面提升维稳保安效能。一是提升维稳保安水平。强化反恐应急处突演练、重点人员控制和专案侦察，全力做好情报预警研判、矛盾排查化解、虚拟社会管理、突发事件处置等工作。二是突出侦破打击效能。紧紧抓住群众反映强烈的“盗抢”、“黄赌”等治安突出问题，继续强化打击主业。就当前而言，要聚全警之智、集全局之力，在第一阶段战果排名全市第3位的基础上，持续深入推进全市公安机关严打整治“百日会战”专项行动，确保打出声威、打出实效，坚决用我们的辛苦指数换取全县人民的幸福指数。三是坚持立体化防控体系。积极争取党委、政府重视，大力推进全县“七张网”建设和“网格化”建设，积极打造城区“5分钟治安防控圈”。四是构建社会化防控道路。突出抓好道路交通安全社会化、禁毒工作社会化、消防安全网格化等建设，努力提升矛盾纠纷排查化解、基础信息采集等工作的社会化参与程度。</w:t>
      </w:r>
    </w:p>
    <w:p>
      <w:pPr>
        <w:spacing w:line="580" w:lineRule="exact"/>
        <w:ind w:firstLine="641"/>
        <w:rPr>
          <w:rFonts w:ascii="仿宋" w:hAnsi="仿宋" w:eastAsia="仿宋" w:cs="仿宋"/>
          <w:sz w:val="30"/>
          <w:szCs w:val="30"/>
        </w:rPr>
      </w:pPr>
      <w:r>
        <w:rPr>
          <w:rFonts w:hint="eastAsia" w:ascii="仿宋" w:hAnsi="仿宋" w:eastAsia="仿宋" w:cs="仿宋"/>
          <w:sz w:val="30"/>
          <w:szCs w:val="30"/>
        </w:rPr>
        <w:t>（3）深入推进执法规范化，全面提升执法公信力。一是提升执法水平。深化大学法、大培训、大练兵制度，不断提升全警的执法能力和水平。二是规范执法行为。继续开展执法不作为专项整治，加强监管场所管理，全面推进执法信息化建设应用。三是强化执法监督。深入推进警务公开，全面接受执法监督，不断改进执法工作。</w:t>
      </w:r>
    </w:p>
    <w:p>
      <w:pPr>
        <w:adjustRightInd w:val="0"/>
        <w:snapToGrid w:val="0"/>
        <w:spacing w:line="500" w:lineRule="exact"/>
        <w:ind w:firstLine="600" w:firstLineChars="200"/>
        <w:rPr>
          <w:rFonts w:ascii="仿宋" w:hAnsi="仿宋" w:eastAsia="仿宋" w:cs="仿宋"/>
          <w:sz w:val="30"/>
          <w:szCs w:val="30"/>
        </w:rPr>
      </w:pPr>
      <w:r>
        <w:rPr>
          <w:rFonts w:hint="eastAsia" w:ascii="仿宋" w:hAnsi="仿宋" w:eastAsia="仿宋" w:cs="仿宋"/>
          <w:sz w:val="30"/>
          <w:szCs w:val="30"/>
        </w:rPr>
        <w:t>（4）深入推进队伍正规化，全面提升队伍凝聚力。一是坚持从严治警。修改完善各项规章制度及精细化管理考核，以铁腕手段整肃队伍顽固疾症，做到用制度管权、按制度办事、靠制度管人。二是坚持素质强警。坚持问题导向，着力抓好各类紧贴实战的战术演练、技能培训。三是坚持从优待警。认真落实优警励警措施，树立正确的用人导向。四是坚持文化育警。努力营造风清气正、干事创业的警营氛围。</w:t>
      </w:r>
    </w:p>
    <w:p>
      <w:pPr>
        <w:adjustRightInd w:val="0"/>
        <w:snapToGrid w:val="0"/>
        <w:spacing w:line="500" w:lineRule="exact"/>
        <w:ind w:firstLine="600" w:firstLineChars="200"/>
        <w:rPr>
          <w:rFonts w:ascii="仿宋" w:hAnsi="仿宋" w:eastAsia="仿宋" w:cs="仿宋"/>
          <w:b/>
          <w:bCs/>
          <w:sz w:val="30"/>
          <w:szCs w:val="30"/>
        </w:rPr>
      </w:pPr>
    </w:p>
    <w:p>
      <w:pPr>
        <w:numPr>
          <w:ilvl w:val="0"/>
          <w:numId w:val="2"/>
        </w:numPr>
        <w:adjustRightInd w:val="0"/>
        <w:snapToGrid w:val="0"/>
        <w:spacing w:line="500" w:lineRule="exact"/>
        <w:ind w:firstLine="600" w:firstLineChars="200"/>
        <w:rPr>
          <w:rFonts w:ascii="仿宋" w:hAnsi="仿宋" w:eastAsia="仿宋" w:cs="仿宋"/>
          <w:b/>
          <w:bCs/>
          <w:sz w:val="30"/>
          <w:szCs w:val="30"/>
        </w:rPr>
      </w:pPr>
      <w:r>
        <w:rPr>
          <w:rFonts w:hint="eastAsia" w:ascii="仿宋" w:hAnsi="仿宋" w:eastAsia="仿宋" w:cs="仿宋"/>
          <w:b/>
          <w:bCs/>
          <w:sz w:val="30"/>
          <w:szCs w:val="30"/>
        </w:rPr>
        <w:t>部门整体支出使用情况</w:t>
      </w:r>
    </w:p>
    <w:p>
      <w:pPr>
        <w:adjustRightInd w:val="0"/>
        <w:snapToGrid w:val="0"/>
        <w:spacing w:line="500" w:lineRule="exact"/>
        <w:ind w:firstLine="600" w:firstLineChars="200"/>
        <w:rPr>
          <w:rFonts w:ascii="仿宋" w:hAnsi="仿宋" w:eastAsia="仿宋" w:cs="仿宋"/>
          <w:sz w:val="30"/>
          <w:szCs w:val="30"/>
        </w:rPr>
      </w:pPr>
      <w:r>
        <w:rPr>
          <w:rFonts w:hint="eastAsia" w:ascii="仿宋_GB2312" w:eastAsia="仿宋_GB2312"/>
          <w:sz w:val="30"/>
          <w:szCs w:val="30"/>
        </w:rPr>
        <w:t xml:space="preserve">    </w:t>
      </w:r>
      <w:r>
        <w:rPr>
          <w:rFonts w:hint="eastAsia" w:ascii="仿宋" w:hAnsi="仿宋" w:eastAsia="仿宋" w:cs="仿宋"/>
          <w:sz w:val="30"/>
          <w:szCs w:val="30"/>
        </w:rPr>
        <w:t>2021年度我局年初收入预算总额为5553.43万元，其中县财政拔入5553.43万元。全年完成实际支出5553.43万元，其中，人员经费支出4206.91万元，公用经费1346.52万元。</w:t>
      </w:r>
    </w:p>
    <w:p>
      <w:pPr>
        <w:adjustRightInd w:val="0"/>
        <w:snapToGrid w:val="0"/>
        <w:spacing w:line="500" w:lineRule="exact"/>
        <w:ind w:firstLine="600" w:firstLineChars="200"/>
        <w:rPr>
          <w:rFonts w:ascii="仿宋" w:hAnsi="仿宋" w:eastAsia="仿宋" w:cs="仿宋"/>
          <w:sz w:val="30"/>
          <w:szCs w:val="30"/>
        </w:rPr>
      </w:pPr>
    </w:p>
    <w:p>
      <w:pPr>
        <w:adjustRightInd w:val="0"/>
        <w:snapToGrid w:val="0"/>
        <w:spacing w:line="500" w:lineRule="exact"/>
        <w:ind w:firstLine="300" w:firstLineChars="100"/>
        <w:rPr>
          <w:rFonts w:ascii="仿宋" w:hAnsi="仿宋" w:eastAsia="仿宋" w:cs="仿宋"/>
          <w:b/>
          <w:bCs/>
          <w:sz w:val="30"/>
          <w:szCs w:val="30"/>
        </w:rPr>
      </w:pPr>
      <w:r>
        <w:rPr>
          <w:rFonts w:hint="eastAsia" w:ascii="仿宋" w:hAnsi="仿宋" w:eastAsia="仿宋" w:cs="仿宋"/>
          <w:b/>
          <w:bCs/>
          <w:sz w:val="30"/>
          <w:szCs w:val="30"/>
        </w:rPr>
        <w:t xml:space="preserve">  三、部门整体支出绩效情况</w:t>
      </w:r>
    </w:p>
    <w:p>
      <w:pPr>
        <w:adjustRightInd w:val="0"/>
        <w:snapToGrid w:val="0"/>
        <w:spacing w:line="500" w:lineRule="exact"/>
        <w:ind w:firstLine="1200" w:firstLineChars="400"/>
        <w:rPr>
          <w:rFonts w:ascii="仿宋" w:hAnsi="仿宋" w:eastAsia="仿宋" w:cs="仿宋"/>
          <w:sz w:val="30"/>
          <w:szCs w:val="30"/>
        </w:rPr>
      </w:pPr>
      <w:r>
        <w:rPr>
          <w:rFonts w:hint="eastAsia" w:ascii="仿宋" w:hAnsi="仿宋" w:eastAsia="仿宋" w:cs="仿宋"/>
          <w:sz w:val="30"/>
          <w:szCs w:val="30"/>
        </w:rPr>
        <w:t>2021年，全县公安机关在</w:t>
      </w:r>
      <w:r>
        <w:rPr>
          <w:rFonts w:hint="eastAsia" w:ascii="仿宋" w:hAnsi="仿宋" w:eastAsia="仿宋" w:cs="仿宋"/>
          <w:sz w:val="30"/>
          <w:szCs w:val="30"/>
          <w:lang w:val="zh-CN"/>
        </w:rPr>
        <w:t>县委、县政府和市公安局的坚强领导下，在县人大、县政协的监督支持下，</w:t>
      </w:r>
      <w:r>
        <w:rPr>
          <w:rFonts w:hint="eastAsia" w:ascii="仿宋" w:hAnsi="仿宋" w:eastAsia="仿宋" w:cs="仿宋"/>
          <w:sz w:val="30"/>
          <w:szCs w:val="30"/>
        </w:rPr>
        <w:t>围绕中心，服务大局，以“四项建设”为载体，以改革创新为动力，始终突出侦破打击主业、基础防范主责、法治公安主线、队伍建设主题，各项工作不断取得新的进步，有力维护了全县社会政治和治安大局持续平稳。一是严打整治战果显著。始终保持严打高压态势，专项行动取得历史性突破，各项业务数据同比大幅提升；上半年绩效考核工作、百日会战专项行动均排名全市第一，获评“标兵单位”荣誉称号，先后在市、县工作会议上作交流发言。二是维稳安保有力有效。全县没有发生暴恐案事件以及群死群伤的治安、火灾和交通事故，实现进京“零上访、零登记”目标。三是规范执法全面推进。以立案突出问题专项整治为契机，铁腕整治执法顽症，继续保持国家赔偿案件“零赔偿”和行政案件“零败诉”目标。四是主动服务深受好评。深化“雷锋式窗口”创建，推出延时服务、预约服务、上门服务等举措，组建便民服务工作队，赴外集中开展办证办照业务，备受群众好评。五是群众满意度不断提升。公安民调、警调工作均居省市第一方阵，其中公安队伍形象排名全省第11位、全市第3位，社会治安排名全省第16位、全市第3位。六是中心工作积极作为。坚决贯彻落实县委、县政府的工作安排部署，全力以赴配合开展打击“三非”、“三强”、城乡同创、清欠等中心工作，竭力为经济建设保驾护航。</w:t>
      </w:r>
    </w:p>
    <w:p>
      <w:pPr>
        <w:adjustRightInd w:val="0"/>
        <w:snapToGrid w:val="0"/>
        <w:spacing w:line="500" w:lineRule="exact"/>
        <w:ind w:firstLine="600" w:firstLineChars="200"/>
        <w:rPr>
          <w:rFonts w:ascii="仿宋" w:hAnsi="仿宋" w:eastAsia="仿宋" w:cs="仿宋"/>
          <w:b/>
          <w:bCs/>
          <w:sz w:val="30"/>
          <w:szCs w:val="30"/>
        </w:rPr>
      </w:pPr>
    </w:p>
    <w:p>
      <w:pPr>
        <w:numPr>
          <w:ilvl w:val="0"/>
          <w:numId w:val="3"/>
        </w:numPr>
        <w:adjustRightInd w:val="0"/>
        <w:snapToGrid w:val="0"/>
        <w:spacing w:line="500" w:lineRule="exact"/>
        <w:ind w:firstLine="600" w:firstLineChars="200"/>
        <w:rPr>
          <w:rFonts w:ascii="仿宋" w:hAnsi="仿宋" w:eastAsia="仿宋" w:cs="仿宋"/>
          <w:b/>
          <w:bCs/>
          <w:sz w:val="30"/>
          <w:szCs w:val="30"/>
        </w:rPr>
      </w:pPr>
      <w:r>
        <w:rPr>
          <w:rFonts w:hint="eastAsia" w:ascii="仿宋" w:hAnsi="仿宋" w:eastAsia="仿宋" w:cs="仿宋"/>
          <w:b/>
          <w:bCs/>
          <w:sz w:val="30"/>
          <w:szCs w:val="30"/>
        </w:rPr>
        <w:t>绩效自评得分情况及存在的主要问题</w:t>
      </w:r>
    </w:p>
    <w:p>
      <w:pPr>
        <w:pStyle w:val="7"/>
        <w:autoSpaceDE w:val="0"/>
        <w:spacing w:before="0" w:beforeAutospacing="0" w:after="0" w:afterAutospacing="0" w:line="580" w:lineRule="exact"/>
        <w:ind w:firstLine="600" w:firstLineChars="200"/>
        <w:jc w:val="both"/>
        <w:rPr>
          <w:rFonts w:ascii="仿宋" w:hAnsi="仿宋" w:eastAsia="仿宋" w:cs="仿宋"/>
          <w:kern w:val="2"/>
          <w:sz w:val="30"/>
          <w:szCs w:val="30"/>
        </w:rPr>
      </w:pPr>
      <w:r>
        <w:rPr>
          <w:rFonts w:hint="eastAsia" w:ascii="仿宋" w:hAnsi="仿宋" w:eastAsia="仿宋" w:cs="仿宋"/>
          <w:b/>
          <w:bCs/>
          <w:sz w:val="30"/>
          <w:szCs w:val="30"/>
        </w:rPr>
        <w:t xml:space="preserve"> </w:t>
      </w:r>
      <w:r>
        <w:rPr>
          <w:rFonts w:hint="eastAsia" w:ascii="仿宋" w:hAnsi="仿宋" w:eastAsia="仿宋" w:cs="仿宋"/>
          <w:kern w:val="2"/>
          <w:sz w:val="30"/>
          <w:szCs w:val="30"/>
        </w:rPr>
        <w:t>在资金预算安排、使用过程中存在以下几个问题：</w:t>
      </w:r>
    </w:p>
    <w:p>
      <w:pPr>
        <w:pStyle w:val="7"/>
        <w:autoSpaceDE w:val="0"/>
        <w:spacing w:before="0" w:beforeAutospacing="0" w:after="0" w:afterAutospacing="0" w:line="580" w:lineRule="exact"/>
        <w:jc w:val="both"/>
        <w:rPr>
          <w:rFonts w:ascii="仿宋" w:hAnsi="仿宋" w:eastAsia="仿宋" w:cs="仿宋"/>
          <w:kern w:val="2"/>
          <w:sz w:val="30"/>
          <w:szCs w:val="30"/>
        </w:rPr>
      </w:pPr>
      <w:r>
        <w:rPr>
          <w:rFonts w:hint="eastAsia" w:ascii="仿宋" w:hAnsi="仿宋" w:eastAsia="仿宋" w:cs="仿宋"/>
          <w:kern w:val="2"/>
          <w:sz w:val="30"/>
          <w:szCs w:val="30"/>
        </w:rPr>
        <w:t>　  1、政策性经费支出预算安排不足。国家有政策规定，但预算安排不足，无法满足实际需求，譬如民警加班补助，只预算了总额的一半经费，缺口达100多万，只能调剂其他资金使用。</w:t>
      </w:r>
    </w:p>
    <w:p>
      <w:pPr>
        <w:pStyle w:val="7"/>
        <w:autoSpaceDE w:val="0"/>
        <w:spacing w:before="0" w:beforeAutospacing="0" w:after="0" w:afterAutospacing="0" w:line="580" w:lineRule="exact"/>
        <w:jc w:val="both"/>
        <w:rPr>
          <w:rFonts w:ascii="仿宋" w:hAnsi="仿宋" w:eastAsia="仿宋" w:cs="仿宋"/>
          <w:kern w:val="2"/>
          <w:sz w:val="30"/>
          <w:szCs w:val="30"/>
        </w:rPr>
      </w:pPr>
      <w:r>
        <w:rPr>
          <w:rFonts w:hint="eastAsia" w:ascii="仿宋" w:hAnsi="仿宋" w:eastAsia="仿宋" w:cs="仿宋"/>
          <w:kern w:val="2"/>
          <w:sz w:val="30"/>
          <w:szCs w:val="30"/>
        </w:rPr>
        <w:t>　　2、机关维修需求大，预算无法满足。我局办公大楼1996年建成投入使用，办公用房、机房设备、电缆线路等设备设施已运转使用20年之久，设施设备严重老化，时常影响机关正常运转，维修需求大，财政预算有限，无法满足实际需要。</w:t>
      </w:r>
    </w:p>
    <w:p>
      <w:pPr>
        <w:adjustRightInd w:val="0"/>
        <w:snapToGrid w:val="0"/>
        <w:spacing w:line="500" w:lineRule="exact"/>
        <w:ind w:left="420" w:leftChars="200"/>
        <w:rPr>
          <w:rFonts w:ascii="仿宋" w:hAnsi="仿宋" w:eastAsia="仿宋" w:cs="仿宋"/>
          <w:b/>
          <w:bCs/>
          <w:sz w:val="30"/>
          <w:szCs w:val="30"/>
        </w:rPr>
      </w:pPr>
    </w:p>
    <w:p>
      <w:pPr>
        <w:numPr>
          <w:ilvl w:val="0"/>
          <w:numId w:val="3"/>
        </w:numPr>
        <w:adjustRightInd w:val="0"/>
        <w:snapToGrid w:val="0"/>
        <w:spacing w:line="500" w:lineRule="exact"/>
        <w:ind w:firstLine="600" w:firstLineChars="200"/>
        <w:rPr>
          <w:rFonts w:ascii="仿宋" w:hAnsi="仿宋" w:eastAsia="仿宋" w:cs="仿宋"/>
          <w:b/>
          <w:bCs/>
          <w:sz w:val="30"/>
          <w:szCs w:val="30"/>
        </w:rPr>
      </w:pPr>
      <w:r>
        <w:rPr>
          <w:rFonts w:hint="eastAsia" w:ascii="仿宋" w:hAnsi="仿宋" w:eastAsia="仿宋" w:cs="仿宋"/>
          <w:b/>
          <w:bCs/>
          <w:sz w:val="30"/>
          <w:szCs w:val="30"/>
        </w:rPr>
        <w:t>改进措施和有关建议</w:t>
      </w:r>
    </w:p>
    <w:p>
      <w:pPr>
        <w:pStyle w:val="7"/>
        <w:autoSpaceDE w:val="0"/>
        <w:spacing w:before="0" w:beforeAutospacing="0" w:after="0" w:afterAutospacing="0" w:line="580" w:lineRule="exact"/>
        <w:ind w:firstLine="1200" w:firstLineChars="400"/>
        <w:jc w:val="both"/>
        <w:rPr>
          <w:rFonts w:ascii="仿宋" w:hAnsi="仿宋" w:eastAsia="仿宋" w:cs="仿宋"/>
          <w:kern w:val="2"/>
          <w:sz w:val="30"/>
          <w:szCs w:val="30"/>
        </w:rPr>
      </w:pPr>
      <w:r>
        <w:rPr>
          <w:rFonts w:hint="eastAsia" w:ascii="仿宋" w:hAnsi="仿宋" w:eastAsia="仿宋" w:cs="仿宋"/>
          <w:kern w:val="2"/>
          <w:sz w:val="30"/>
          <w:szCs w:val="30"/>
        </w:rPr>
        <w:t>推行政府机关绩效管理制度是深入贯彻落实科学发展观、加快转变经济发展方式的必然要求，是推进政府职能转变、提高政府执行力和公信力的重要举措，是转变机关作风、加强政府勤政廉政建设的重要抓手。近年来，我局高度重视绩效工作，从2012年开展专项支出绩效评价起，力求全面客观评价公安工作绩效情况，搞明白花了多少钱，怎么花的，取得了哪些效果，钱花得值不值。下一步，我局将继续加大工作力度，在探索中总结提升，在实践中规范完善，加强绩效管理，不断提升公安工作绩效，进一步发挥公安工作职能作用，为我县经济发展保驾护航，作出更大贡献。</w:t>
      </w:r>
    </w:p>
    <w:p>
      <w:pPr>
        <w:pStyle w:val="7"/>
        <w:autoSpaceDE w:val="0"/>
        <w:spacing w:before="0" w:beforeAutospacing="0" w:after="0" w:afterAutospacing="0" w:line="580" w:lineRule="exact"/>
        <w:jc w:val="both"/>
        <w:rPr>
          <w:rFonts w:ascii="仿宋" w:hAnsi="仿宋" w:eastAsia="仿宋" w:cs="仿宋"/>
          <w:kern w:val="2"/>
          <w:sz w:val="30"/>
          <w:szCs w:val="30"/>
        </w:rPr>
      </w:pPr>
      <w:r>
        <w:rPr>
          <w:rFonts w:hint="eastAsia" w:ascii="仿宋" w:hAnsi="仿宋" w:eastAsia="仿宋" w:cs="仿宋"/>
          <w:kern w:val="2"/>
          <w:sz w:val="30"/>
          <w:szCs w:val="30"/>
        </w:rPr>
        <w:t>　　1、完善绩效评价体系，加强监督检查和考核工作。进一步探索完善项目绩效评价指标体系，研究、关注绩效管理理论与实践发展的新思路、新动向，进一步完善项目绩效评价指标体系，增强绩效评价结果的可比性、可信度。加强对绩效管理工作的跟踪督查，做到绩效管理有依据、按程序、有奖惩，实现绩效管理的规范化、常态化。</w:t>
      </w:r>
    </w:p>
    <w:p>
      <w:pPr>
        <w:pStyle w:val="7"/>
        <w:autoSpaceDE w:val="0"/>
        <w:spacing w:before="0" w:beforeAutospacing="0" w:after="0" w:afterAutospacing="0" w:line="580" w:lineRule="exact"/>
        <w:jc w:val="both"/>
        <w:rPr>
          <w:rFonts w:ascii="仿宋" w:hAnsi="仿宋" w:eastAsia="仿宋" w:cs="仿宋"/>
          <w:kern w:val="2"/>
          <w:sz w:val="30"/>
          <w:szCs w:val="30"/>
        </w:rPr>
      </w:pPr>
      <w:r>
        <w:rPr>
          <w:rFonts w:hint="eastAsia" w:ascii="仿宋" w:hAnsi="仿宋" w:eastAsia="仿宋" w:cs="仿宋"/>
          <w:kern w:val="2"/>
          <w:sz w:val="30"/>
          <w:szCs w:val="30"/>
        </w:rPr>
        <w:t>　　2、推动相关制度建设，逐步建立以绩效为导向的预算编制模式。从项目绩效评价制度入手，借鉴其他部门在绩效管理方面的经验和做法，制定机关统一的绩效考评制度，并将其贯彻到预算申请、预算分配、项目实施和绩效考评的全过程。把绩效考评的结果作为编制部门预算的重要依据，建立绩效预算激励机制。在预算管理中，将绩效评价从事后评价向预算编制、审查批准、执行过程等前置环节延伸，建立以绩效为导向的预算编制模式。</w:t>
      </w:r>
    </w:p>
    <w:p>
      <w:pPr>
        <w:pStyle w:val="7"/>
        <w:autoSpaceDE w:val="0"/>
        <w:spacing w:before="0" w:beforeAutospacing="0" w:after="0" w:afterAutospacing="0" w:line="580" w:lineRule="exact"/>
        <w:ind w:firstLine="600" w:firstLineChars="200"/>
        <w:jc w:val="both"/>
        <w:rPr>
          <w:rFonts w:ascii="仿宋" w:hAnsi="仿宋" w:eastAsia="仿宋" w:cs="仿宋"/>
          <w:kern w:val="2"/>
          <w:sz w:val="30"/>
          <w:szCs w:val="30"/>
        </w:rPr>
      </w:pPr>
      <w:r>
        <w:rPr>
          <w:rFonts w:hint="eastAsia" w:ascii="仿宋" w:hAnsi="仿宋" w:eastAsia="仿宋" w:cs="仿宋"/>
          <w:kern w:val="2"/>
          <w:sz w:val="30"/>
          <w:szCs w:val="30"/>
        </w:rPr>
        <w:t>3、统筹协调，厘定提高资金使用绩效的关节点。切实提高资金使用绩效，找到突破口与关节点。财务工作的关节点很多，比如纵向来看，财务数据按照部门细分是什么情况，按照人均是什么情况；个案是什么情况，不同分类是什么情况。在比较中进行分析，才能凸显数据价值，找到问题的节点。找到问题的节点，才能对症下药，采取得力措施，降低行政运行成本，提高资金使用绩效，真正做到依法理财、科学理财、民主理财。</w:t>
      </w:r>
    </w:p>
    <w:p>
      <w:pPr>
        <w:adjustRightInd w:val="0"/>
        <w:snapToGrid w:val="0"/>
        <w:spacing w:line="500" w:lineRule="exact"/>
        <w:ind w:left="420" w:leftChars="200"/>
        <w:rPr>
          <w:rFonts w:ascii="仿宋" w:hAnsi="仿宋" w:eastAsia="仿宋" w:cs="仿宋"/>
          <w:b/>
          <w:bCs/>
          <w:sz w:val="30"/>
          <w:szCs w:val="30"/>
        </w:rPr>
      </w:pPr>
    </w:p>
    <w:p>
      <w:pPr>
        <w:widowControl/>
        <w:ind w:firstLine="280" w:firstLineChars="100"/>
        <w:rPr>
          <w:rFonts w:ascii="黑体" w:hAnsi="宋体" w:eastAsia="黑体" w:cs="宋体"/>
          <w:bCs/>
          <w:kern w:val="0"/>
          <w:sz w:val="28"/>
          <w:szCs w:val="28"/>
        </w:rPr>
      </w:pPr>
      <w:r>
        <w:rPr>
          <w:rFonts w:hint="eastAsia" w:ascii="黑体" w:hAnsi="宋体" w:eastAsia="黑体" w:cs="宋体"/>
          <w:bCs/>
          <w:kern w:val="0"/>
          <w:sz w:val="28"/>
          <w:szCs w:val="28"/>
        </w:rPr>
        <w:t>附表：</w:t>
      </w:r>
    </w:p>
    <w:p>
      <w:pPr>
        <w:spacing w:line="560" w:lineRule="exact"/>
        <w:jc w:val="center"/>
        <w:rPr>
          <w:rFonts w:ascii="仿宋_GB2312" w:hAnsi="仿宋_GB2312" w:eastAsia="仿宋_GB2312" w:cs="仿宋_GB2312"/>
          <w:b/>
          <w:bCs/>
          <w:kern w:val="0"/>
          <w:sz w:val="36"/>
          <w:szCs w:val="36"/>
        </w:rPr>
      </w:pPr>
      <w:r>
        <w:rPr>
          <w:rFonts w:hint="eastAsia" w:ascii="仿宋_GB2312" w:hAnsi="仿宋_GB2312" w:eastAsia="仿宋_GB2312" w:cs="仿宋_GB2312"/>
          <w:b/>
          <w:bCs/>
          <w:kern w:val="0"/>
          <w:sz w:val="36"/>
          <w:szCs w:val="36"/>
        </w:rPr>
        <w:t>部门整体支出绩效评价表</w:t>
      </w:r>
    </w:p>
    <w:tbl>
      <w:tblPr>
        <w:tblStyle w:val="3"/>
        <w:tblW w:w="0" w:type="auto"/>
        <w:jc w:val="center"/>
        <w:tblLayout w:type="fixed"/>
        <w:tblCellMar>
          <w:top w:w="0" w:type="dxa"/>
          <w:left w:w="108" w:type="dxa"/>
          <w:bottom w:w="0" w:type="dxa"/>
          <w:right w:w="108" w:type="dxa"/>
        </w:tblCellMar>
      </w:tblPr>
      <w:tblGrid>
        <w:gridCol w:w="372"/>
        <w:gridCol w:w="562"/>
        <w:gridCol w:w="548"/>
        <w:gridCol w:w="545"/>
        <w:gridCol w:w="927"/>
        <w:gridCol w:w="420"/>
        <w:gridCol w:w="2638"/>
        <w:gridCol w:w="3285"/>
        <w:gridCol w:w="585"/>
      </w:tblGrid>
      <w:tr>
        <w:tblPrEx>
          <w:tblCellMar>
            <w:top w:w="0" w:type="dxa"/>
            <w:left w:w="108" w:type="dxa"/>
            <w:bottom w:w="0" w:type="dxa"/>
            <w:right w:w="108" w:type="dxa"/>
          </w:tblCellMar>
        </w:tblPrEx>
        <w:trPr>
          <w:tblHeader/>
          <w:jc w:val="center"/>
        </w:trPr>
        <w:tc>
          <w:tcPr>
            <w:tcW w:w="372"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一级指标</w:t>
            </w:r>
          </w:p>
        </w:tc>
        <w:tc>
          <w:tcPr>
            <w:tcW w:w="562"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分值</w:t>
            </w:r>
          </w:p>
        </w:tc>
        <w:tc>
          <w:tcPr>
            <w:tcW w:w="548"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二级指标</w:t>
            </w:r>
          </w:p>
        </w:tc>
        <w:tc>
          <w:tcPr>
            <w:tcW w:w="545"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分值</w:t>
            </w:r>
          </w:p>
        </w:tc>
        <w:tc>
          <w:tcPr>
            <w:tcW w:w="927"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三级</w:t>
            </w:r>
          </w:p>
          <w:p>
            <w:pPr>
              <w:widowControl/>
              <w:jc w:val="center"/>
              <w:rPr>
                <w:rFonts w:eastAsia="仿宋_GB2312"/>
                <w:kern w:val="0"/>
                <w:sz w:val="20"/>
                <w:szCs w:val="20"/>
              </w:rPr>
            </w:pPr>
            <w:r>
              <w:rPr>
                <w:rFonts w:eastAsia="仿宋_GB2312"/>
                <w:kern w:val="0"/>
                <w:sz w:val="20"/>
                <w:szCs w:val="20"/>
              </w:rPr>
              <w:t>指标</w:t>
            </w:r>
          </w:p>
        </w:tc>
        <w:tc>
          <w:tcPr>
            <w:tcW w:w="420"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分值</w:t>
            </w:r>
          </w:p>
        </w:tc>
        <w:tc>
          <w:tcPr>
            <w:tcW w:w="2638"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评价标准</w:t>
            </w:r>
          </w:p>
        </w:tc>
        <w:tc>
          <w:tcPr>
            <w:tcW w:w="3285"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指标说明</w:t>
            </w:r>
          </w:p>
        </w:tc>
        <w:tc>
          <w:tcPr>
            <w:tcW w:w="585"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得分</w:t>
            </w:r>
          </w:p>
        </w:tc>
      </w:tr>
      <w:tr>
        <w:tblPrEx>
          <w:tblCellMar>
            <w:top w:w="0" w:type="dxa"/>
            <w:left w:w="108" w:type="dxa"/>
            <w:bottom w:w="0" w:type="dxa"/>
            <w:right w:w="108" w:type="dxa"/>
          </w:tblCellMar>
        </w:tblPrEx>
        <w:trPr>
          <w:trHeight w:val="1814" w:hRule="atLeast"/>
          <w:jc w:val="center"/>
        </w:trPr>
        <w:tc>
          <w:tcPr>
            <w:tcW w:w="372" w:type="dxa"/>
            <w:vMerge w:val="restart"/>
            <w:tcBorders>
              <w:top w:val="nil"/>
              <w:left w:val="single" w:color="auto" w:sz="4" w:space="0"/>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投入</w:t>
            </w:r>
          </w:p>
        </w:tc>
        <w:tc>
          <w:tcPr>
            <w:tcW w:w="562"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548" w:type="dxa"/>
            <w:vMerge w:val="restart"/>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预算配置</w:t>
            </w:r>
          </w:p>
        </w:tc>
        <w:tc>
          <w:tcPr>
            <w:tcW w:w="545"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在职人员控制率</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nil"/>
              <w:right w:val="nil"/>
            </w:tcBorders>
            <w:vAlign w:val="center"/>
          </w:tcPr>
          <w:p>
            <w:pPr>
              <w:widowControl/>
              <w:jc w:val="left"/>
              <w:rPr>
                <w:rFonts w:eastAsia="仿宋_GB2312"/>
                <w:kern w:val="0"/>
                <w:sz w:val="20"/>
                <w:szCs w:val="20"/>
              </w:rPr>
            </w:pPr>
            <w:r>
              <w:rPr>
                <w:rFonts w:eastAsia="仿宋_GB2312"/>
                <w:kern w:val="0"/>
                <w:sz w:val="20"/>
                <w:szCs w:val="20"/>
              </w:rPr>
              <w:t>以100%为标准。在职人员控制率</w:t>
            </w:r>
            <w:r>
              <w:rPr>
                <w:kern w:val="0"/>
                <w:sz w:val="20"/>
                <w:szCs w:val="20"/>
              </w:rPr>
              <w:t>≦</w:t>
            </w:r>
            <w:r>
              <w:rPr>
                <w:rFonts w:eastAsia="仿宋_GB2312"/>
                <w:kern w:val="0"/>
                <w:sz w:val="20"/>
                <w:szCs w:val="20"/>
              </w:rPr>
              <w:t>100%，计5分；每超过一个百分点扣0.5分，扣完为止。</w:t>
            </w:r>
          </w:p>
        </w:tc>
        <w:tc>
          <w:tcPr>
            <w:tcW w:w="3285"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在职人员控制率=（在职人员数/编制数）×100%，在职人员数：部门（单位）实际在职人数，以</w:t>
            </w:r>
            <w:r>
              <w:rPr>
                <w:rFonts w:hint="eastAsia" w:eastAsia="仿宋_GB2312"/>
                <w:kern w:val="0"/>
                <w:sz w:val="20"/>
                <w:szCs w:val="20"/>
              </w:rPr>
              <w:t>市</w:t>
            </w:r>
            <w:r>
              <w:rPr>
                <w:rFonts w:eastAsia="仿宋_GB2312"/>
                <w:kern w:val="0"/>
                <w:sz w:val="20"/>
                <w:szCs w:val="20"/>
              </w:rPr>
              <w:t>财政</w:t>
            </w:r>
            <w:r>
              <w:rPr>
                <w:rFonts w:hint="eastAsia" w:eastAsia="仿宋_GB2312"/>
                <w:kern w:val="0"/>
                <w:sz w:val="20"/>
                <w:szCs w:val="20"/>
              </w:rPr>
              <w:t>局</w:t>
            </w:r>
            <w:r>
              <w:rPr>
                <w:rFonts w:eastAsia="仿宋_GB2312"/>
                <w:kern w:val="0"/>
                <w:sz w:val="20"/>
                <w:szCs w:val="20"/>
              </w:rPr>
              <w:t>确定的部门决算编制口径为准。</w:t>
            </w:r>
            <w:r>
              <w:rPr>
                <w:rFonts w:eastAsia="仿宋_GB2312"/>
                <w:kern w:val="0"/>
                <w:sz w:val="20"/>
                <w:szCs w:val="20"/>
              </w:rPr>
              <w:br w:type="textWrapping"/>
            </w:r>
            <w:r>
              <w:rPr>
                <w:rFonts w:eastAsia="仿宋_GB2312"/>
                <w:kern w:val="0"/>
                <w:sz w:val="20"/>
                <w:szCs w:val="20"/>
              </w:rPr>
              <w:t>编制数：机构编制部门核定批复的部门（单位）的人员编制数。</w:t>
            </w:r>
          </w:p>
        </w:tc>
        <w:tc>
          <w:tcPr>
            <w:tcW w:w="585" w:type="dxa"/>
            <w:tcBorders>
              <w:top w:val="nil"/>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5</w:t>
            </w:r>
          </w:p>
        </w:tc>
      </w:tr>
      <w:tr>
        <w:tblPrEx>
          <w:tblCellMar>
            <w:top w:w="0" w:type="dxa"/>
            <w:left w:w="108" w:type="dxa"/>
            <w:bottom w:w="0" w:type="dxa"/>
            <w:right w:w="108" w:type="dxa"/>
          </w:tblCellMar>
        </w:tblPrEx>
        <w:trPr>
          <w:jc w:val="center"/>
        </w:trPr>
        <w:tc>
          <w:tcPr>
            <w:tcW w:w="372"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nil"/>
              <w:bottom w:val="single" w:color="auto" w:sz="4" w:space="0"/>
              <w:right w:val="single" w:color="auto" w:sz="4" w:space="0"/>
            </w:tcBorders>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“三公经费”变动率</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“三公经费”变动率</w:t>
            </w:r>
            <w:r>
              <w:rPr>
                <w:kern w:val="0"/>
                <w:sz w:val="20"/>
                <w:szCs w:val="20"/>
              </w:rPr>
              <w:t>≦</w:t>
            </w:r>
            <w:r>
              <w:rPr>
                <w:rFonts w:eastAsia="仿宋_GB2312"/>
                <w:kern w:val="0"/>
                <w:sz w:val="20"/>
                <w:szCs w:val="20"/>
              </w:rPr>
              <w:t>0,计8分；“三公经费”＞0，每超过一个百分点扣0.8分，扣完为止。</w:t>
            </w:r>
          </w:p>
        </w:tc>
        <w:tc>
          <w:tcPr>
            <w:tcW w:w="3285"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“三公经费”变动率=[（本年度“三公经费”预算数-上年度“三公经费”预算数）/上年度“三公经费”预算数]×100%</w:t>
            </w:r>
          </w:p>
        </w:tc>
        <w:tc>
          <w:tcPr>
            <w:tcW w:w="585" w:type="dxa"/>
            <w:tcBorders>
              <w:top w:val="nil"/>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5</w:t>
            </w:r>
          </w:p>
        </w:tc>
      </w:tr>
      <w:tr>
        <w:tblPrEx>
          <w:tblCellMar>
            <w:top w:w="0" w:type="dxa"/>
            <w:left w:w="108" w:type="dxa"/>
            <w:bottom w:w="0" w:type="dxa"/>
            <w:right w:w="108" w:type="dxa"/>
          </w:tblCellMar>
        </w:tblPrEx>
        <w:trPr>
          <w:jc w:val="center"/>
        </w:trPr>
        <w:tc>
          <w:tcPr>
            <w:tcW w:w="372"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过                                                                                                                                       程</w:t>
            </w:r>
          </w:p>
        </w:tc>
        <w:tc>
          <w:tcPr>
            <w:tcW w:w="562"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60</w:t>
            </w:r>
          </w:p>
        </w:tc>
        <w:tc>
          <w:tcPr>
            <w:tcW w:w="548"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预算执行</w:t>
            </w:r>
          </w:p>
        </w:tc>
        <w:tc>
          <w:tcPr>
            <w:tcW w:w="545"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20</w:t>
            </w: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预算完成率</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100%计满分，每低于5%扣2分，扣完为止。</w:t>
            </w:r>
          </w:p>
        </w:tc>
        <w:tc>
          <w:tcPr>
            <w:tcW w:w="3285"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预算完成率=（上年结转+年初预算+本年追加预算-年末结余）/（上年结转+年初预算+本年追加预算）×100%。</w:t>
            </w:r>
          </w:p>
        </w:tc>
        <w:tc>
          <w:tcPr>
            <w:tcW w:w="585" w:type="dxa"/>
            <w:tcBorders>
              <w:top w:val="nil"/>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5</w:t>
            </w:r>
          </w:p>
        </w:tc>
      </w:tr>
      <w:tr>
        <w:tblPrEx>
          <w:tblCellMar>
            <w:top w:w="0" w:type="dxa"/>
            <w:left w:w="108" w:type="dxa"/>
            <w:bottom w:w="0" w:type="dxa"/>
            <w:right w:w="108" w:type="dxa"/>
          </w:tblCellMar>
        </w:tblPrEx>
        <w:trPr>
          <w:trHeight w:val="1273" w:hRule="atLeast"/>
          <w:jc w:val="center"/>
        </w:trPr>
        <w:tc>
          <w:tcPr>
            <w:tcW w:w="37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预算控制率</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预算控制率=0，计5分；0-10%（含），计4分；10-20%（含），计3分；20-30%（含），计2分；大于30%不得分。</w:t>
            </w:r>
          </w:p>
        </w:tc>
        <w:tc>
          <w:tcPr>
            <w:tcW w:w="3285"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预算控制率=（本年追加预算/年初预算）×100%。</w:t>
            </w:r>
          </w:p>
        </w:tc>
        <w:tc>
          <w:tcPr>
            <w:tcW w:w="585" w:type="dxa"/>
            <w:tcBorders>
              <w:top w:val="nil"/>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5</w:t>
            </w:r>
          </w:p>
        </w:tc>
      </w:tr>
      <w:tr>
        <w:tblPrEx>
          <w:tblCellMar>
            <w:top w:w="0" w:type="dxa"/>
            <w:left w:w="108" w:type="dxa"/>
            <w:bottom w:w="0" w:type="dxa"/>
            <w:right w:w="108" w:type="dxa"/>
          </w:tblCellMar>
        </w:tblPrEx>
        <w:trPr>
          <w:trHeight w:val="1325" w:hRule="atLeast"/>
          <w:jc w:val="center"/>
        </w:trPr>
        <w:tc>
          <w:tcPr>
            <w:tcW w:w="37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新建楼堂馆所面积控制率</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100%以下（含）计满分，每超出5%扣2分，扣完为止。没有楼堂馆所项目的部门按满分计算。</w:t>
            </w:r>
          </w:p>
        </w:tc>
        <w:tc>
          <w:tcPr>
            <w:tcW w:w="3285"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楼堂馆所面积控制率=实际建设面积/批准建设面积×100% 。</w:t>
            </w:r>
            <w:r>
              <w:rPr>
                <w:rFonts w:eastAsia="仿宋_GB2312"/>
                <w:kern w:val="0"/>
                <w:sz w:val="20"/>
                <w:szCs w:val="20"/>
              </w:rPr>
              <w:br w:type="textWrapping"/>
            </w:r>
            <w:r>
              <w:rPr>
                <w:rFonts w:eastAsia="仿宋_GB2312"/>
                <w:kern w:val="0"/>
                <w:sz w:val="20"/>
                <w:szCs w:val="20"/>
              </w:rPr>
              <w:t>该指标以201</w:t>
            </w:r>
            <w:r>
              <w:rPr>
                <w:rFonts w:hint="eastAsia" w:eastAsia="仿宋_GB2312"/>
                <w:kern w:val="0"/>
                <w:sz w:val="20"/>
                <w:szCs w:val="20"/>
              </w:rPr>
              <w:t>7</w:t>
            </w:r>
            <w:r>
              <w:rPr>
                <w:rFonts w:eastAsia="仿宋_GB2312"/>
                <w:kern w:val="0"/>
                <w:sz w:val="20"/>
                <w:szCs w:val="20"/>
              </w:rPr>
              <w:t>年完工的新建楼堂馆所为评价内容。</w:t>
            </w:r>
          </w:p>
        </w:tc>
        <w:tc>
          <w:tcPr>
            <w:tcW w:w="585" w:type="dxa"/>
            <w:tcBorders>
              <w:top w:val="nil"/>
              <w:left w:val="nil"/>
              <w:bottom w:val="single" w:color="auto" w:sz="4" w:space="0"/>
              <w:right w:val="single" w:color="auto" w:sz="4" w:space="0"/>
            </w:tcBorders>
            <w:vAlign w:val="center"/>
          </w:tcPr>
          <w:p>
            <w:pPr>
              <w:widowControl/>
              <w:ind w:firstLine="200" w:firstLineChars="100"/>
              <w:jc w:val="left"/>
              <w:rPr>
                <w:rFonts w:eastAsia="宋体"/>
                <w:kern w:val="0"/>
                <w:sz w:val="20"/>
                <w:szCs w:val="20"/>
              </w:rPr>
            </w:pPr>
            <w:r>
              <w:rPr>
                <w:rFonts w:hint="eastAsia"/>
                <w:kern w:val="0"/>
                <w:sz w:val="20"/>
                <w:szCs w:val="20"/>
              </w:rPr>
              <w:t>5</w:t>
            </w:r>
          </w:p>
        </w:tc>
      </w:tr>
      <w:tr>
        <w:tblPrEx>
          <w:tblCellMar>
            <w:top w:w="0" w:type="dxa"/>
            <w:left w:w="108" w:type="dxa"/>
            <w:bottom w:w="0" w:type="dxa"/>
            <w:right w:w="108" w:type="dxa"/>
          </w:tblCellMar>
        </w:tblPrEx>
        <w:trPr>
          <w:trHeight w:val="1543" w:hRule="atLeast"/>
          <w:jc w:val="center"/>
        </w:trPr>
        <w:tc>
          <w:tcPr>
            <w:tcW w:w="37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新建楼堂馆所投资概算控制率</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100%以下（含）计满分，每超出5%扣2分，扣完为止。</w:t>
            </w:r>
          </w:p>
        </w:tc>
        <w:tc>
          <w:tcPr>
            <w:tcW w:w="3285"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楼堂馆所投资预算控制率=实际投资金额/批准投资金额×100% 。</w:t>
            </w:r>
            <w:r>
              <w:rPr>
                <w:rFonts w:eastAsia="仿宋_GB2312"/>
                <w:kern w:val="0"/>
                <w:sz w:val="20"/>
                <w:szCs w:val="20"/>
              </w:rPr>
              <w:br w:type="textWrapping"/>
            </w:r>
            <w:r>
              <w:rPr>
                <w:rFonts w:eastAsia="仿宋_GB2312"/>
                <w:kern w:val="0"/>
                <w:sz w:val="20"/>
                <w:szCs w:val="20"/>
              </w:rPr>
              <w:t>该指标以201</w:t>
            </w:r>
            <w:r>
              <w:rPr>
                <w:rFonts w:hint="eastAsia" w:eastAsia="仿宋_GB2312"/>
                <w:kern w:val="0"/>
                <w:sz w:val="20"/>
                <w:szCs w:val="20"/>
              </w:rPr>
              <w:t>7</w:t>
            </w:r>
            <w:r>
              <w:rPr>
                <w:rFonts w:eastAsia="仿宋_GB2312"/>
                <w:kern w:val="0"/>
                <w:sz w:val="20"/>
                <w:szCs w:val="20"/>
              </w:rPr>
              <w:t>年完工的新建楼堂馆所为评价内容。</w:t>
            </w:r>
          </w:p>
        </w:tc>
        <w:tc>
          <w:tcPr>
            <w:tcW w:w="585" w:type="dxa"/>
            <w:tcBorders>
              <w:top w:val="nil"/>
              <w:left w:val="nil"/>
              <w:bottom w:val="single" w:color="auto" w:sz="4" w:space="0"/>
              <w:right w:val="single" w:color="auto" w:sz="4" w:space="0"/>
            </w:tcBorders>
            <w:vAlign w:val="center"/>
          </w:tcPr>
          <w:p>
            <w:pPr>
              <w:widowControl/>
              <w:jc w:val="left"/>
              <w:rPr>
                <w:kern w:val="0"/>
                <w:sz w:val="20"/>
                <w:szCs w:val="20"/>
              </w:rPr>
            </w:pPr>
            <w:r>
              <w:rPr>
                <w:rFonts w:hint="eastAsia"/>
                <w:kern w:val="0"/>
                <w:sz w:val="20"/>
                <w:szCs w:val="20"/>
              </w:rPr>
              <w:t xml:space="preserve">  5</w:t>
            </w:r>
          </w:p>
        </w:tc>
      </w:tr>
      <w:tr>
        <w:tblPrEx>
          <w:tblCellMar>
            <w:top w:w="0" w:type="dxa"/>
            <w:left w:w="108" w:type="dxa"/>
            <w:bottom w:w="0" w:type="dxa"/>
            <w:right w:w="108" w:type="dxa"/>
          </w:tblCellMar>
        </w:tblPrEx>
        <w:trPr>
          <w:trHeight w:val="1562" w:hRule="atLeast"/>
          <w:jc w:val="center"/>
        </w:trPr>
        <w:tc>
          <w:tcPr>
            <w:tcW w:w="37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预算管理</w:t>
            </w:r>
          </w:p>
        </w:tc>
        <w:tc>
          <w:tcPr>
            <w:tcW w:w="545"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40</w:t>
            </w: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公用经费控制率</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2638"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100%以下（含）计满分，每超出1%扣1分，扣完为止。</w:t>
            </w:r>
          </w:p>
        </w:tc>
        <w:tc>
          <w:tcPr>
            <w:tcW w:w="3285"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公用经费控制率=（实际支出公用经费总额/预算安排公用经费总额）×100%。</w:t>
            </w:r>
            <w:r>
              <w:rPr>
                <w:rFonts w:eastAsia="仿宋_GB2312"/>
                <w:kern w:val="0"/>
                <w:sz w:val="20"/>
                <w:szCs w:val="20"/>
              </w:rPr>
              <w:br w:type="textWrapping"/>
            </w:r>
            <w:r>
              <w:rPr>
                <w:rFonts w:eastAsia="仿宋_GB2312"/>
                <w:kern w:val="0"/>
                <w:sz w:val="20"/>
                <w:szCs w:val="20"/>
              </w:rPr>
              <w:t>公用经费支出是指部门基本支出中的一般商品和服务支出。</w:t>
            </w:r>
          </w:p>
        </w:tc>
        <w:tc>
          <w:tcPr>
            <w:tcW w:w="585" w:type="dxa"/>
            <w:tcBorders>
              <w:top w:val="nil"/>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8</w:t>
            </w:r>
          </w:p>
        </w:tc>
      </w:tr>
      <w:tr>
        <w:tblPrEx>
          <w:tblCellMar>
            <w:top w:w="0" w:type="dxa"/>
            <w:left w:w="108" w:type="dxa"/>
            <w:bottom w:w="0" w:type="dxa"/>
            <w:right w:w="108" w:type="dxa"/>
          </w:tblCellMar>
        </w:tblPrEx>
        <w:trPr>
          <w:trHeight w:val="1073" w:hRule="atLeast"/>
          <w:jc w:val="center"/>
        </w:trPr>
        <w:tc>
          <w:tcPr>
            <w:tcW w:w="37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“三公经费”控制率</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7</w:t>
            </w:r>
          </w:p>
        </w:tc>
        <w:tc>
          <w:tcPr>
            <w:tcW w:w="2638"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100%以下（含）计满分，每超出1%扣1分，扣完为止。</w:t>
            </w:r>
          </w:p>
        </w:tc>
        <w:tc>
          <w:tcPr>
            <w:tcW w:w="3285"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“三公经费”控制率-（“三公经费”实际支出数/“三公经费”预算安排数）×100%。</w:t>
            </w:r>
          </w:p>
        </w:tc>
        <w:tc>
          <w:tcPr>
            <w:tcW w:w="585" w:type="dxa"/>
            <w:tcBorders>
              <w:top w:val="nil"/>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7</w:t>
            </w:r>
          </w:p>
        </w:tc>
      </w:tr>
      <w:tr>
        <w:tblPrEx>
          <w:tblCellMar>
            <w:top w:w="0" w:type="dxa"/>
            <w:left w:w="108" w:type="dxa"/>
            <w:bottom w:w="0" w:type="dxa"/>
            <w:right w:w="108" w:type="dxa"/>
          </w:tblCellMar>
        </w:tblPrEx>
        <w:trPr>
          <w:trHeight w:val="918" w:hRule="atLeast"/>
          <w:jc w:val="center"/>
        </w:trPr>
        <w:tc>
          <w:tcPr>
            <w:tcW w:w="372"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政府采购执行率</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638"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100%计满分，每超过（降低）5%扣2分。扣完为止。</w:t>
            </w:r>
          </w:p>
        </w:tc>
        <w:tc>
          <w:tcPr>
            <w:tcW w:w="3285"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政府采购执行率=（实际政府采购金额/政府采购预算数）×100%</w:t>
            </w:r>
          </w:p>
        </w:tc>
        <w:tc>
          <w:tcPr>
            <w:tcW w:w="585" w:type="dxa"/>
            <w:tcBorders>
              <w:top w:val="nil"/>
              <w:left w:val="nil"/>
              <w:bottom w:val="single" w:color="auto" w:sz="4" w:space="0"/>
              <w:right w:val="single" w:color="auto" w:sz="4" w:space="0"/>
            </w:tcBorders>
            <w:vAlign w:val="center"/>
          </w:tcPr>
          <w:p>
            <w:pPr>
              <w:widowControl/>
              <w:ind w:firstLine="200" w:firstLineChars="100"/>
              <w:jc w:val="left"/>
              <w:rPr>
                <w:kern w:val="0"/>
                <w:sz w:val="20"/>
                <w:szCs w:val="20"/>
              </w:rPr>
            </w:pPr>
            <w:r>
              <w:rPr>
                <w:rFonts w:hint="eastAsia"/>
                <w:kern w:val="0"/>
                <w:sz w:val="20"/>
                <w:szCs w:val="20"/>
              </w:rPr>
              <w:t>6</w:t>
            </w:r>
            <w:r>
              <w:rPr>
                <w:kern w:val="0"/>
                <w:sz w:val="20"/>
                <w:szCs w:val="20"/>
              </w:rPr>
              <w:t>　</w:t>
            </w:r>
          </w:p>
        </w:tc>
      </w:tr>
      <w:tr>
        <w:tblPrEx>
          <w:tblCellMar>
            <w:top w:w="0" w:type="dxa"/>
            <w:left w:w="108" w:type="dxa"/>
            <w:bottom w:w="0" w:type="dxa"/>
            <w:right w:w="108" w:type="dxa"/>
          </w:tblCellMar>
        </w:tblPrEx>
        <w:trPr>
          <w:jc w:val="center"/>
        </w:trPr>
        <w:tc>
          <w:tcPr>
            <w:tcW w:w="372" w:type="dxa"/>
            <w:vMerge w:val="restart"/>
            <w:tcBorders>
              <w:top w:val="single" w:color="auto" w:sz="4" w:space="0"/>
              <w:left w:val="single" w:color="auto" w:sz="4" w:space="0"/>
              <w:bottom w:val="single" w:color="000000" w:sz="4" w:space="0"/>
              <w:right w:val="single" w:color="auto" w:sz="4" w:space="0"/>
            </w:tcBorders>
            <w:vAlign w:val="center"/>
          </w:tcPr>
          <w:p>
            <w:pPr>
              <w:jc w:val="left"/>
              <w:rPr>
                <w:rFonts w:eastAsia="仿宋_GB2312"/>
                <w:kern w:val="0"/>
                <w:sz w:val="20"/>
                <w:szCs w:val="20"/>
              </w:rPr>
            </w:pPr>
            <w:r>
              <w:rPr>
                <w:rFonts w:eastAsia="仿宋_GB2312"/>
                <w:kern w:val="0"/>
                <w:sz w:val="20"/>
                <w:szCs w:val="20"/>
              </w:rPr>
              <w:t>过                                                                                                                                       程</w:t>
            </w:r>
          </w:p>
        </w:tc>
        <w:tc>
          <w:tcPr>
            <w:tcW w:w="562" w:type="dxa"/>
            <w:vMerge w:val="restart"/>
            <w:tcBorders>
              <w:top w:val="single" w:color="auto" w:sz="4" w:space="0"/>
              <w:left w:val="single" w:color="auto" w:sz="4" w:space="0"/>
              <w:bottom w:val="single" w:color="000000" w:sz="4" w:space="0"/>
              <w:right w:val="single" w:color="auto" w:sz="4" w:space="0"/>
            </w:tcBorders>
            <w:vAlign w:val="center"/>
          </w:tcPr>
          <w:p>
            <w:pPr>
              <w:jc w:val="left"/>
              <w:rPr>
                <w:rFonts w:eastAsia="仿宋_GB2312"/>
                <w:kern w:val="0"/>
                <w:sz w:val="20"/>
                <w:szCs w:val="20"/>
              </w:rPr>
            </w:pPr>
          </w:p>
        </w:tc>
        <w:tc>
          <w:tcPr>
            <w:tcW w:w="548" w:type="dxa"/>
            <w:vMerge w:val="restart"/>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预算管理</w:t>
            </w:r>
          </w:p>
        </w:tc>
        <w:tc>
          <w:tcPr>
            <w:tcW w:w="545"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管理制度健全性</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5923" w:type="dxa"/>
            <w:gridSpan w:val="2"/>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①有内部财务管理制度、会计核算制度等管理制度，2分；</w:t>
            </w:r>
            <w:r>
              <w:rPr>
                <w:rFonts w:eastAsia="仿宋_GB2312"/>
                <w:kern w:val="0"/>
                <w:sz w:val="20"/>
                <w:szCs w:val="20"/>
              </w:rPr>
              <w:br w:type="textWrapping"/>
            </w:r>
            <w:r>
              <w:rPr>
                <w:rFonts w:eastAsia="仿宋_GB2312"/>
                <w:kern w:val="0"/>
                <w:sz w:val="20"/>
                <w:szCs w:val="20"/>
              </w:rPr>
              <w:t>②有本部门厉行节约制度,2分；</w:t>
            </w:r>
            <w:r>
              <w:rPr>
                <w:rFonts w:eastAsia="仿宋_GB2312"/>
                <w:kern w:val="0"/>
                <w:sz w:val="20"/>
                <w:szCs w:val="20"/>
              </w:rPr>
              <w:br w:type="textWrapping"/>
            </w:r>
            <w:r>
              <w:rPr>
                <w:rFonts w:eastAsia="仿宋_GB2312"/>
                <w:kern w:val="0"/>
                <w:sz w:val="20"/>
                <w:szCs w:val="20"/>
              </w:rPr>
              <w:t>③相关管理制度合法、合规、完整，2分；④相关管理制度得到有效执行，2分。</w:t>
            </w:r>
          </w:p>
          <w:p>
            <w:pPr>
              <w:widowControl/>
              <w:jc w:val="left"/>
              <w:rPr>
                <w:rFonts w:eastAsia="仿宋_GB2312"/>
                <w:kern w:val="0"/>
                <w:sz w:val="20"/>
                <w:szCs w:val="20"/>
              </w:rPr>
            </w:pPr>
            <w:r>
              <w:rPr>
                <w:rFonts w:eastAsia="仿宋_GB2312"/>
                <w:kern w:val="0"/>
                <w:sz w:val="20"/>
                <w:szCs w:val="20"/>
              </w:rPr>
              <w:t>　</w:t>
            </w:r>
          </w:p>
        </w:tc>
        <w:tc>
          <w:tcPr>
            <w:tcW w:w="585" w:type="dxa"/>
            <w:tcBorders>
              <w:top w:val="nil"/>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8</w:t>
            </w:r>
          </w:p>
        </w:tc>
      </w:tr>
      <w:tr>
        <w:tblPrEx>
          <w:tblCellMar>
            <w:top w:w="0" w:type="dxa"/>
            <w:left w:w="108" w:type="dxa"/>
            <w:bottom w:w="0" w:type="dxa"/>
            <w:right w:w="108" w:type="dxa"/>
          </w:tblCellMar>
        </w:tblPrEx>
        <w:trPr>
          <w:jc w:val="center"/>
        </w:trPr>
        <w:tc>
          <w:tcPr>
            <w:tcW w:w="37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nil"/>
              <w:bottom w:val="single" w:color="auto" w:sz="4" w:space="0"/>
              <w:right w:val="single" w:color="auto" w:sz="4" w:space="0"/>
            </w:tcBorders>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资金使用合规性</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5923" w:type="dxa"/>
            <w:gridSpan w:val="2"/>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①支出符合国家财经法规和财务管理制度规定以及有关专项资金管理办法的规定；②资金拨付有完整的审批程序和手续；③项目支出按规定经过评估论证；④支出符合部门预算批复的用途；⑤资金使用无截留、挤占、挪用、虚列支出等情况。</w:t>
            </w:r>
            <w:r>
              <w:rPr>
                <w:rFonts w:eastAsia="仿宋_GB2312"/>
                <w:kern w:val="0"/>
                <w:sz w:val="20"/>
                <w:szCs w:val="20"/>
              </w:rPr>
              <w:br w:type="textWrapping"/>
            </w:r>
            <w:r>
              <w:rPr>
                <w:rFonts w:eastAsia="仿宋_GB2312"/>
                <w:kern w:val="0"/>
                <w:sz w:val="20"/>
                <w:szCs w:val="20"/>
              </w:rPr>
              <w:t>以上情况每出现一例不符合要求的扣1分，扣完为止。</w:t>
            </w:r>
          </w:p>
          <w:p>
            <w:pPr>
              <w:widowControl/>
              <w:jc w:val="left"/>
              <w:rPr>
                <w:rFonts w:eastAsia="仿宋_GB2312"/>
                <w:kern w:val="0"/>
                <w:sz w:val="20"/>
                <w:szCs w:val="20"/>
              </w:rPr>
            </w:pPr>
            <w:r>
              <w:rPr>
                <w:rFonts w:eastAsia="仿宋_GB2312"/>
                <w:kern w:val="0"/>
                <w:sz w:val="20"/>
                <w:szCs w:val="20"/>
              </w:rPr>
              <w:t>　</w:t>
            </w:r>
          </w:p>
        </w:tc>
        <w:tc>
          <w:tcPr>
            <w:tcW w:w="585" w:type="dxa"/>
            <w:tcBorders>
              <w:top w:val="nil"/>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6</w:t>
            </w:r>
          </w:p>
        </w:tc>
      </w:tr>
      <w:tr>
        <w:tblPrEx>
          <w:tblCellMar>
            <w:top w:w="0" w:type="dxa"/>
            <w:left w:w="108" w:type="dxa"/>
            <w:bottom w:w="0" w:type="dxa"/>
            <w:right w:w="108" w:type="dxa"/>
          </w:tblCellMar>
        </w:tblPrEx>
        <w:trPr>
          <w:jc w:val="center"/>
        </w:trPr>
        <w:tc>
          <w:tcPr>
            <w:tcW w:w="37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nil"/>
              <w:bottom w:val="single" w:color="auto" w:sz="4" w:space="0"/>
              <w:right w:val="single" w:color="auto" w:sz="4" w:space="0"/>
            </w:tcBorders>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预决算信息公开性</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5</w:t>
            </w:r>
          </w:p>
        </w:tc>
        <w:tc>
          <w:tcPr>
            <w:tcW w:w="2638"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 xml:space="preserve">①按规定内容公开预决算信息，1分；②按规定时限公开预决算信息，1分；③基础数据信息和会计信息资料真实，1分；④基础数据信息和会计信息资料完整，1分；⑤基础数据信息和汇集信息资料准确，1分。  </w:t>
            </w:r>
          </w:p>
        </w:tc>
        <w:tc>
          <w:tcPr>
            <w:tcW w:w="3285"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预决算信息是指与部门预算、执行、决算、监督、绩效等管理相关的信息。</w:t>
            </w:r>
          </w:p>
        </w:tc>
        <w:tc>
          <w:tcPr>
            <w:tcW w:w="585" w:type="dxa"/>
            <w:tcBorders>
              <w:top w:val="nil"/>
              <w:left w:val="nil"/>
              <w:bottom w:val="single" w:color="auto" w:sz="4" w:space="0"/>
              <w:right w:val="single" w:color="auto" w:sz="4" w:space="0"/>
            </w:tcBorders>
            <w:vAlign w:val="center"/>
          </w:tcPr>
          <w:p>
            <w:pPr>
              <w:widowControl/>
              <w:ind w:firstLine="200" w:firstLineChars="100"/>
              <w:jc w:val="left"/>
              <w:rPr>
                <w:kern w:val="0"/>
                <w:sz w:val="20"/>
                <w:szCs w:val="20"/>
              </w:rPr>
            </w:pPr>
            <w:r>
              <w:rPr>
                <w:rFonts w:hint="eastAsia"/>
                <w:kern w:val="0"/>
                <w:sz w:val="20"/>
                <w:szCs w:val="20"/>
              </w:rPr>
              <w:t>5</w:t>
            </w:r>
            <w:r>
              <w:rPr>
                <w:kern w:val="0"/>
                <w:sz w:val="20"/>
                <w:szCs w:val="20"/>
              </w:rPr>
              <w:t>　</w:t>
            </w:r>
          </w:p>
        </w:tc>
      </w:tr>
      <w:tr>
        <w:tblPrEx>
          <w:tblCellMar>
            <w:top w:w="0" w:type="dxa"/>
            <w:left w:w="108" w:type="dxa"/>
            <w:bottom w:w="0" w:type="dxa"/>
            <w:right w:w="108" w:type="dxa"/>
          </w:tblCellMar>
        </w:tblPrEx>
        <w:trPr>
          <w:jc w:val="center"/>
        </w:trPr>
        <w:tc>
          <w:tcPr>
            <w:tcW w:w="372"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产出及效率</w:t>
            </w:r>
          </w:p>
        </w:tc>
        <w:tc>
          <w:tcPr>
            <w:tcW w:w="562"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30</w:t>
            </w:r>
          </w:p>
        </w:tc>
        <w:tc>
          <w:tcPr>
            <w:tcW w:w="548"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职责履行</w:t>
            </w:r>
          </w:p>
        </w:tc>
        <w:tc>
          <w:tcPr>
            <w:tcW w:w="545"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927" w:type="dxa"/>
            <w:tcBorders>
              <w:top w:val="nil"/>
              <w:left w:val="nil"/>
              <w:bottom w:val="nil"/>
              <w:right w:val="single" w:color="auto" w:sz="4" w:space="0"/>
            </w:tcBorders>
            <w:vAlign w:val="center"/>
          </w:tcPr>
          <w:p>
            <w:pPr>
              <w:widowControl/>
              <w:jc w:val="left"/>
              <w:rPr>
                <w:rFonts w:eastAsia="仿宋_GB2312"/>
                <w:kern w:val="0"/>
                <w:sz w:val="20"/>
                <w:szCs w:val="20"/>
              </w:rPr>
            </w:pPr>
            <w:r>
              <w:rPr>
                <w:rFonts w:eastAsia="仿宋_GB2312"/>
                <w:kern w:val="0"/>
                <w:sz w:val="20"/>
                <w:szCs w:val="20"/>
              </w:rPr>
              <w:t>重点工作实际完成率</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8</w:t>
            </w:r>
          </w:p>
        </w:tc>
        <w:tc>
          <w:tcPr>
            <w:tcW w:w="5923" w:type="dxa"/>
            <w:gridSpan w:val="2"/>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根据绩效办201</w:t>
            </w:r>
            <w:r>
              <w:rPr>
                <w:rFonts w:hint="eastAsia" w:eastAsia="仿宋_GB2312"/>
                <w:kern w:val="0"/>
                <w:sz w:val="20"/>
                <w:szCs w:val="20"/>
              </w:rPr>
              <w:t>7</w:t>
            </w:r>
            <w:r>
              <w:rPr>
                <w:rFonts w:eastAsia="仿宋_GB2312"/>
                <w:kern w:val="0"/>
                <w:sz w:val="20"/>
                <w:szCs w:val="20"/>
              </w:rPr>
              <w:t>年对各部门为民办实事和部门重点工程与重点工作考核分数折算。</w:t>
            </w:r>
            <w:r>
              <w:rPr>
                <w:rFonts w:eastAsia="仿宋_GB2312"/>
                <w:kern w:val="0"/>
                <w:sz w:val="20"/>
                <w:szCs w:val="20"/>
              </w:rPr>
              <w:br w:type="textWrapping"/>
            </w:r>
            <w:r>
              <w:rPr>
                <w:rFonts w:eastAsia="仿宋_GB2312"/>
                <w:kern w:val="0"/>
                <w:sz w:val="20"/>
                <w:szCs w:val="20"/>
              </w:rPr>
              <w:t>该项得分=（绩效办对应部分考核得分/350）*8</w:t>
            </w:r>
          </w:p>
          <w:p>
            <w:pPr>
              <w:widowControl/>
              <w:jc w:val="left"/>
              <w:rPr>
                <w:rFonts w:eastAsia="仿宋_GB2312"/>
                <w:kern w:val="0"/>
                <w:sz w:val="20"/>
                <w:szCs w:val="20"/>
              </w:rPr>
            </w:pPr>
            <w:r>
              <w:rPr>
                <w:rFonts w:eastAsia="仿宋_GB2312"/>
                <w:kern w:val="0"/>
                <w:sz w:val="20"/>
                <w:szCs w:val="20"/>
              </w:rPr>
              <w:t>　</w:t>
            </w:r>
          </w:p>
        </w:tc>
        <w:tc>
          <w:tcPr>
            <w:tcW w:w="585" w:type="dxa"/>
            <w:tcBorders>
              <w:top w:val="nil"/>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8</w:t>
            </w:r>
          </w:p>
        </w:tc>
      </w:tr>
      <w:tr>
        <w:tblPrEx>
          <w:tblCellMar>
            <w:top w:w="0" w:type="dxa"/>
            <w:left w:w="108" w:type="dxa"/>
            <w:bottom w:w="0" w:type="dxa"/>
            <w:right w:w="108" w:type="dxa"/>
          </w:tblCellMar>
        </w:tblPrEx>
        <w:trPr>
          <w:trHeight w:val="445" w:hRule="atLeast"/>
          <w:jc w:val="center"/>
        </w:trPr>
        <w:tc>
          <w:tcPr>
            <w:tcW w:w="37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履职 效益</w:t>
            </w:r>
          </w:p>
        </w:tc>
        <w:tc>
          <w:tcPr>
            <w:tcW w:w="545"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927"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经济效益</w:t>
            </w:r>
          </w:p>
        </w:tc>
        <w:tc>
          <w:tcPr>
            <w:tcW w:w="420" w:type="dxa"/>
            <w:vMerge w:val="restart"/>
            <w:tcBorders>
              <w:top w:val="nil"/>
              <w:left w:val="single" w:color="auto" w:sz="4" w:space="0"/>
              <w:bottom w:val="nil"/>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10</w:t>
            </w:r>
          </w:p>
        </w:tc>
        <w:tc>
          <w:tcPr>
            <w:tcW w:w="5923" w:type="dxa"/>
            <w:gridSpan w:val="2"/>
            <w:vMerge w:val="restart"/>
            <w:tcBorders>
              <w:top w:val="single" w:color="auto" w:sz="4" w:space="0"/>
              <w:left w:val="single" w:color="auto" w:sz="4" w:space="0"/>
              <w:bottom w:val="nil"/>
              <w:right w:val="single" w:color="000000" w:sz="4" w:space="0"/>
            </w:tcBorders>
            <w:vAlign w:val="center"/>
          </w:tcPr>
          <w:p>
            <w:pPr>
              <w:widowControl/>
              <w:jc w:val="left"/>
              <w:rPr>
                <w:rFonts w:eastAsia="仿宋_GB2312"/>
                <w:kern w:val="0"/>
                <w:sz w:val="20"/>
                <w:szCs w:val="20"/>
              </w:rPr>
            </w:pPr>
            <w:r>
              <w:rPr>
                <w:rFonts w:eastAsia="仿宋_GB2312"/>
                <w:kern w:val="0"/>
                <w:sz w:val="20"/>
                <w:szCs w:val="20"/>
              </w:rPr>
              <w:t>此两项指标为设置部门整体支出绩效评价指标时必须考虑的共性要素，可根据部门实际情况有选择的进行设置，并将其细化为相应的个性化指标。</w:t>
            </w:r>
          </w:p>
        </w:tc>
        <w:tc>
          <w:tcPr>
            <w:tcW w:w="585" w:type="dxa"/>
            <w:tcBorders>
              <w:top w:val="nil"/>
              <w:left w:val="nil"/>
              <w:bottom w:val="nil"/>
              <w:right w:val="single" w:color="auto" w:sz="4" w:space="0"/>
            </w:tcBorders>
            <w:vAlign w:val="center"/>
          </w:tcPr>
          <w:p>
            <w:pPr>
              <w:widowControl/>
              <w:jc w:val="left"/>
              <w:rPr>
                <w:rFonts w:eastAsia="宋体"/>
                <w:kern w:val="0"/>
                <w:sz w:val="20"/>
                <w:szCs w:val="20"/>
              </w:rPr>
            </w:pPr>
          </w:p>
        </w:tc>
      </w:tr>
      <w:tr>
        <w:tblPrEx>
          <w:tblCellMar>
            <w:top w:w="0" w:type="dxa"/>
            <w:left w:w="108" w:type="dxa"/>
            <w:bottom w:w="0" w:type="dxa"/>
            <w:right w:w="108" w:type="dxa"/>
          </w:tblCellMar>
        </w:tblPrEx>
        <w:trPr>
          <w:trHeight w:val="383" w:hRule="atLeast"/>
          <w:jc w:val="center"/>
        </w:trPr>
        <w:tc>
          <w:tcPr>
            <w:tcW w:w="37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社会效益</w:t>
            </w:r>
          </w:p>
        </w:tc>
        <w:tc>
          <w:tcPr>
            <w:tcW w:w="420" w:type="dxa"/>
            <w:vMerge w:val="continue"/>
            <w:tcBorders>
              <w:top w:val="nil"/>
              <w:left w:val="single" w:color="auto" w:sz="4" w:space="0"/>
              <w:bottom w:val="nil"/>
              <w:right w:val="single" w:color="auto" w:sz="4" w:space="0"/>
            </w:tcBorders>
            <w:vAlign w:val="center"/>
          </w:tcPr>
          <w:p>
            <w:pPr>
              <w:widowControl/>
              <w:jc w:val="left"/>
              <w:rPr>
                <w:rFonts w:eastAsia="仿宋_GB2312"/>
                <w:kern w:val="0"/>
                <w:sz w:val="20"/>
                <w:szCs w:val="20"/>
              </w:rPr>
            </w:pPr>
          </w:p>
        </w:tc>
        <w:tc>
          <w:tcPr>
            <w:tcW w:w="5923" w:type="dxa"/>
            <w:gridSpan w:val="2"/>
            <w:vMerge w:val="continue"/>
            <w:tcBorders>
              <w:top w:val="single" w:color="auto" w:sz="4" w:space="0"/>
              <w:left w:val="single" w:color="auto" w:sz="4" w:space="0"/>
              <w:bottom w:val="nil"/>
              <w:right w:val="single" w:color="000000" w:sz="4" w:space="0"/>
            </w:tcBorders>
            <w:vAlign w:val="center"/>
          </w:tcPr>
          <w:p>
            <w:pPr>
              <w:widowControl/>
              <w:jc w:val="left"/>
              <w:rPr>
                <w:rFonts w:eastAsia="仿宋_GB2312"/>
                <w:kern w:val="0"/>
                <w:sz w:val="20"/>
                <w:szCs w:val="20"/>
              </w:rPr>
            </w:pPr>
          </w:p>
        </w:tc>
        <w:tc>
          <w:tcPr>
            <w:tcW w:w="585" w:type="dxa"/>
            <w:tcBorders>
              <w:top w:val="nil"/>
              <w:left w:val="nil"/>
              <w:bottom w:val="nil"/>
              <w:right w:val="single" w:color="auto" w:sz="4" w:space="0"/>
            </w:tcBorders>
            <w:vAlign w:val="center"/>
          </w:tcPr>
          <w:p>
            <w:pPr>
              <w:widowControl/>
              <w:jc w:val="left"/>
              <w:rPr>
                <w:kern w:val="0"/>
                <w:sz w:val="20"/>
                <w:szCs w:val="20"/>
              </w:rPr>
            </w:pPr>
            <w:r>
              <w:rPr>
                <w:kern w:val="0"/>
                <w:sz w:val="20"/>
                <w:szCs w:val="20"/>
              </w:rPr>
              <w:t>　</w:t>
            </w:r>
            <w:r>
              <w:rPr>
                <w:rFonts w:hint="eastAsia"/>
                <w:kern w:val="0"/>
                <w:sz w:val="20"/>
                <w:szCs w:val="20"/>
              </w:rPr>
              <w:t>9</w:t>
            </w:r>
          </w:p>
        </w:tc>
      </w:tr>
      <w:tr>
        <w:tblPrEx>
          <w:tblCellMar>
            <w:top w:w="0" w:type="dxa"/>
            <w:left w:w="108" w:type="dxa"/>
            <w:bottom w:w="0" w:type="dxa"/>
            <w:right w:w="108" w:type="dxa"/>
          </w:tblCellMar>
        </w:tblPrEx>
        <w:trPr>
          <w:jc w:val="center"/>
        </w:trPr>
        <w:tc>
          <w:tcPr>
            <w:tcW w:w="37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000000" w:sz="4" w:space="0"/>
              <w:right w:val="single" w:color="auto" w:sz="4" w:space="0"/>
            </w:tcBorders>
            <w:vAlign w:val="center"/>
          </w:tcPr>
          <w:p>
            <w:pPr>
              <w:widowControl/>
              <w:jc w:val="left"/>
              <w:rPr>
                <w:rFonts w:eastAsia="仿宋_GB2312"/>
                <w:kern w:val="0"/>
                <w:sz w:val="20"/>
                <w:szCs w:val="20"/>
              </w:rPr>
            </w:pPr>
          </w:p>
        </w:tc>
        <w:tc>
          <w:tcPr>
            <w:tcW w:w="545" w:type="dxa"/>
            <w:vMerge w:val="restart"/>
            <w:tcBorders>
              <w:top w:val="nil"/>
              <w:left w:val="single" w:color="auto" w:sz="4" w:space="0"/>
              <w:bottom w:val="single" w:color="000000"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12</w:t>
            </w: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行政效能</w:t>
            </w:r>
          </w:p>
        </w:tc>
        <w:tc>
          <w:tcPr>
            <w:tcW w:w="420" w:type="dxa"/>
            <w:tcBorders>
              <w:top w:val="single" w:color="auto" w:sz="4" w:space="0"/>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638"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促进部门改进文风会风，加强经费及资产管理，推动网上办事，提高行政效率，降低行政成本效果较好的计6分；一般3分；无效果或者效果不明显0分。</w:t>
            </w:r>
          </w:p>
        </w:tc>
        <w:tc>
          <w:tcPr>
            <w:tcW w:w="3285" w:type="dxa"/>
            <w:tcBorders>
              <w:top w:val="single" w:color="auto" w:sz="4" w:space="0"/>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根据部门自评材料评定。</w:t>
            </w:r>
          </w:p>
        </w:tc>
        <w:tc>
          <w:tcPr>
            <w:tcW w:w="585" w:type="dxa"/>
            <w:tcBorders>
              <w:top w:val="single" w:color="auto" w:sz="4" w:space="0"/>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5</w:t>
            </w:r>
          </w:p>
        </w:tc>
      </w:tr>
      <w:tr>
        <w:tblPrEx>
          <w:tblCellMar>
            <w:top w:w="0" w:type="dxa"/>
            <w:left w:w="108" w:type="dxa"/>
            <w:bottom w:w="0" w:type="dxa"/>
            <w:right w:w="108" w:type="dxa"/>
          </w:tblCellMar>
        </w:tblPrEx>
        <w:trPr>
          <w:jc w:val="center"/>
        </w:trPr>
        <w:tc>
          <w:tcPr>
            <w:tcW w:w="372"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562"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548"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545"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927"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社会公众或服务对象满意度</w:t>
            </w:r>
          </w:p>
        </w:tc>
        <w:tc>
          <w:tcPr>
            <w:tcW w:w="420" w:type="dxa"/>
            <w:tcBorders>
              <w:top w:val="nil"/>
              <w:left w:val="nil"/>
              <w:bottom w:val="single" w:color="auto" w:sz="4" w:space="0"/>
              <w:right w:val="single" w:color="auto" w:sz="4" w:space="0"/>
            </w:tcBorders>
            <w:vAlign w:val="center"/>
          </w:tcPr>
          <w:p>
            <w:pPr>
              <w:widowControl/>
              <w:jc w:val="center"/>
              <w:rPr>
                <w:rFonts w:eastAsia="仿宋_GB2312"/>
                <w:kern w:val="0"/>
                <w:sz w:val="20"/>
                <w:szCs w:val="20"/>
              </w:rPr>
            </w:pPr>
            <w:r>
              <w:rPr>
                <w:rFonts w:eastAsia="仿宋_GB2312"/>
                <w:kern w:val="0"/>
                <w:sz w:val="20"/>
                <w:szCs w:val="20"/>
              </w:rPr>
              <w:t>6</w:t>
            </w:r>
          </w:p>
        </w:tc>
        <w:tc>
          <w:tcPr>
            <w:tcW w:w="2638"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90%（含）以上计6分；</w:t>
            </w:r>
            <w:r>
              <w:rPr>
                <w:rFonts w:eastAsia="仿宋_GB2312"/>
                <w:kern w:val="0"/>
                <w:sz w:val="20"/>
                <w:szCs w:val="20"/>
              </w:rPr>
              <w:br w:type="textWrapping"/>
            </w:r>
            <w:r>
              <w:rPr>
                <w:rFonts w:eastAsia="仿宋_GB2312"/>
                <w:kern w:val="0"/>
                <w:sz w:val="20"/>
                <w:szCs w:val="20"/>
              </w:rPr>
              <w:t>80%（含）-90%，计4分；</w:t>
            </w:r>
            <w:r>
              <w:rPr>
                <w:rFonts w:eastAsia="仿宋_GB2312"/>
                <w:kern w:val="0"/>
                <w:sz w:val="20"/>
                <w:szCs w:val="20"/>
              </w:rPr>
              <w:br w:type="textWrapping"/>
            </w:r>
            <w:r>
              <w:rPr>
                <w:rFonts w:eastAsia="仿宋_GB2312"/>
                <w:kern w:val="0"/>
                <w:sz w:val="20"/>
                <w:szCs w:val="20"/>
              </w:rPr>
              <w:t>70%（含）-80%，计2分；</w:t>
            </w:r>
            <w:r>
              <w:rPr>
                <w:rFonts w:eastAsia="仿宋_GB2312"/>
                <w:kern w:val="0"/>
                <w:sz w:val="20"/>
                <w:szCs w:val="20"/>
              </w:rPr>
              <w:br w:type="textWrapping"/>
            </w:r>
            <w:r>
              <w:rPr>
                <w:rFonts w:eastAsia="仿宋_GB2312"/>
                <w:kern w:val="0"/>
                <w:sz w:val="20"/>
                <w:szCs w:val="20"/>
              </w:rPr>
              <w:t>低于70%计0分。</w:t>
            </w:r>
          </w:p>
        </w:tc>
        <w:tc>
          <w:tcPr>
            <w:tcW w:w="3285" w:type="dxa"/>
            <w:tcBorders>
              <w:top w:val="nil"/>
              <w:left w:val="nil"/>
              <w:bottom w:val="single" w:color="auto" w:sz="4" w:space="0"/>
              <w:right w:val="single" w:color="auto" w:sz="4" w:space="0"/>
            </w:tcBorders>
            <w:vAlign w:val="center"/>
          </w:tcPr>
          <w:p>
            <w:pPr>
              <w:widowControl/>
              <w:jc w:val="left"/>
              <w:rPr>
                <w:rFonts w:eastAsia="仿宋_GB2312"/>
                <w:kern w:val="0"/>
                <w:sz w:val="20"/>
                <w:szCs w:val="20"/>
              </w:rPr>
            </w:pPr>
            <w:r>
              <w:rPr>
                <w:rFonts w:eastAsia="仿宋_GB2312"/>
                <w:kern w:val="0"/>
                <w:sz w:val="20"/>
                <w:szCs w:val="20"/>
              </w:rPr>
              <w:t>社会公众或服务对象是指部门（单位）履行职责而影响到的部门、群体或个人，一般采取社会调查的方式。</w:t>
            </w:r>
          </w:p>
        </w:tc>
        <w:tc>
          <w:tcPr>
            <w:tcW w:w="585" w:type="dxa"/>
            <w:tcBorders>
              <w:top w:val="nil"/>
              <w:left w:val="nil"/>
              <w:bottom w:val="single" w:color="auto" w:sz="4" w:space="0"/>
              <w:right w:val="single" w:color="auto" w:sz="4" w:space="0"/>
            </w:tcBorders>
            <w:vAlign w:val="center"/>
          </w:tcPr>
          <w:p>
            <w:pPr>
              <w:widowControl/>
              <w:jc w:val="left"/>
              <w:rPr>
                <w:rFonts w:eastAsia="宋体"/>
                <w:kern w:val="0"/>
                <w:sz w:val="20"/>
                <w:szCs w:val="20"/>
              </w:rPr>
            </w:pPr>
            <w:r>
              <w:rPr>
                <w:kern w:val="0"/>
                <w:sz w:val="20"/>
                <w:szCs w:val="20"/>
              </w:rPr>
              <w:t>　</w:t>
            </w:r>
            <w:r>
              <w:rPr>
                <w:rFonts w:hint="eastAsia"/>
                <w:kern w:val="0"/>
                <w:sz w:val="20"/>
                <w:szCs w:val="20"/>
              </w:rPr>
              <w:t>6</w:t>
            </w:r>
          </w:p>
        </w:tc>
      </w:tr>
      <w:tr>
        <w:tblPrEx>
          <w:tblCellMar>
            <w:top w:w="0" w:type="dxa"/>
            <w:left w:w="108" w:type="dxa"/>
            <w:bottom w:w="0" w:type="dxa"/>
            <w:right w:w="108" w:type="dxa"/>
          </w:tblCellMar>
        </w:tblPrEx>
        <w:trPr>
          <w:trHeight w:val="507" w:hRule="atLeast"/>
          <w:jc w:val="center"/>
        </w:trPr>
        <w:tc>
          <w:tcPr>
            <w:tcW w:w="1482"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kern w:val="0"/>
                <w:sz w:val="20"/>
                <w:szCs w:val="20"/>
              </w:rPr>
            </w:pPr>
            <w:r>
              <w:rPr>
                <w:rFonts w:hint="eastAsia" w:eastAsia="仿宋_GB2312"/>
                <w:b/>
                <w:bCs/>
                <w:kern w:val="0"/>
                <w:sz w:val="20"/>
                <w:szCs w:val="20"/>
              </w:rPr>
              <w:t>合  计</w:t>
            </w:r>
          </w:p>
        </w:tc>
        <w:tc>
          <w:tcPr>
            <w:tcW w:w="545"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r>
              <w:rPr>
                <w:rFonts w:hint="eastAsia" w:eastAsia="仿宋_GB2312"/>
                <w:kern w:val="0"/>
                <w:sz w:val="20"/>
                <w:szCs w:val="20"/>
              </w:rPr>
              <w:t>100</w:t>
            </w:r>
          </w:p>
        </w:tc>
        <w:tc>
          <w:tcPr>
            <w:tcW w:w="927"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420" w:type="dxa"/>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kern w:val="0"/>
                <w:sz w:val="20"/>
                <w:szCs w:val="20"/>
              </w:rPr>
            </w:pPr>
          </w:p>
        </w:tc>
        <w:tc>
          <w:tcPr>
            <w:tcW w:w="2638"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3285"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kern w:val="0"/>
                <w:sz w:val="20"/>
                <w:szCs w:val="20"/>
              </w:rPr>
            </w:pPr>
          </w:p>
        </w:tc>
        <w:tc>
          <w:tcPr>
            <w:tcW w:w="585"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kern w:val="0"/>
                <w:sz w:val="20"/>
                <w:szCs w:val="20"/>
              </w:rPr>
            </w:pPr>
            <w:r>
              <w:rPr>
                <w:rFonts w:hint="eastAsia" w:eastAsia="宋体"/>
                <w:kern w:val="0"/>
                <w:sz w:val="20"/>
                <w:szCs w:val="20"/>
              </w:rPr>
              <w:t>98</w:t>
            </w:r>
          </w:p>
        </w:tc>
      </w:tr>
    </w:tbl>
    <w:p>
      <w:pPr>
        <w:ind w:firstLine="560" w:firstLineChars="200"/>
        <w:jc w:val="left"/>
        <w:rPr>
          <w:rFonts w:asciiTheme="minorEastAsia" w:hAnsiTheme="minorEastAsia" w:cstheme="minorEastAsia"/>
          <w:color w:val="000000"/>
          <w:kern w:val="0"/>
          <w:sz w:val="28"/>
          <w:szCs w:val="28"/>
        </w:rPr>
      </w:pPr>
    </w:p>
    <w:p>
      <w:pPr>
        <w:ind w:firstLine="560" w:firstLineChars="200"/>
        <w:jc w:val="center"/>
        <w:rPr>
          <w:rFonts w:asciiTheme="minorEastAsia" w:hAnsiTheme="minorEastAsia" w:cstheme="minorEastAsia"/>
          <w:b/>
          <w:color w:val="000000"/>
          <w:kern w:val="0"/>
          <w:sz w:val="28"/>
          <w:szCs w:val="28"/>
        </w:rPr>
      </w:pPr>
    </w:p>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方正小标宋_GBK">
    <w:altName w:val="宋体"/>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0000000000000000000"/>
    <w:charset w:val="86"/>
    <w:family w:val="auto"/>
    <w:pitch w:val="default"/>
    <w:sig w:usb0="00000000" w:usb1="00000000" w:usb2="00000010" w:usb3="00000000" w:csb0="0004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574A4B"/>
    <w:multiLevelType w:val="singleLevel"/>
    <w:tmpl w:val="9D574A4B"/>
    <w:lvl w:ilvl="0" w:tentative="0">
      <w:start w:val="2"/>
      <w:numFmt w:val="chineseCounting"/>
      <w:suff w:val="nothing"/>
      <w:lvlText w:val="%1、"/>
      <w:lvlJc w:val="left"/>
      <w:rPr>
        <w:rFonts w:hint="eastAsia"/>
      </w:rPr>
    </w:lvl>
  </w:abstractNum>
  <w:abstractNum w:abstractNumId="1">
    <w:nsid w:val="1546AFFC"/>
    <w:multiLevelType w:val="singleLevel"/>
    <w:tmpl w:val="1546AFFC"/>
    <w:lvl w:ilvl="0" w:tentative="0">
      <w:start w:val="4"/>
      <w:numFmt w:val="chineseCounting"/>
      <w:suff w:val="nothing"/>
      <w:lvlText w:val="%1、"/>
      <w:lvlJc w:val="left"/>
      <w:rPr>
        <w:rFonts w:hint="eastAsia"/>
      </w:rPr>
    </w:lvl>
  </w:abstractNum>
  <w:abstractNum w:abstractNumId="2">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jRmZjcxNGUyZGNiYmQ1ZmRjMWYzYjZiYmJkYTA1ZWEifQ=="/>
  </w:docVars>
  <w:rsids>
    <w:rsidRoot w:val="196D3D59"/>
    <w:rsid w:val="00280CAE"/>
    <w:rsid w:val="00470313"/>
    <w:rsid w:val="00847FD6"/>
    <w:rsid w:val="009045B0"/>
    <w:rsid w:val="00AB1363"/>
    <w:rsid w:val="00C85D7F"/>
    <w:rsid w:val="00D51F61"/>
    <w:rsid w:val="00DC68A1"/>
    <w:rsid w:val="00E22B41"/>
    <w:rsid w:val="00F8186F"/>
    <w:rsid w:val="01A9317C"/>
    <w:rsid w:val="06983C28"/>
    <w:rsid w:val="097A7FD3"/>
    <w:rsid w:val="0C6E64A7"/>
    <w:rsid w:val="0E983B15"/>
    <w:rsid w:val="0F080055"/>
    <w:rsid w:val="0FF759D0"/>
    <w:rsid w:val="10F65BE9"/>
    <w:rsid w:val="136D5594"/>
    <w:rsid w:val="14D51B73"/>
    <w:rsid w:val="196D3D59"/>
    <w:rsid w:val="1A02299E"/>
    <w:rsid w:val="1CDE2FD1"/>
    <w:rsid w:val="1D1125A5"/>
    <w:rsid w:val="1EDC4C44"/>
    <w:rsid w:val="211663DC"/>
    <w:rsid w:val="26BD2D04"/>
    <w:rsid w:val="290731DA"/>
    <w:rsid w:val="29545B47"/>
    <w:rsid w:val="2C506C46"/>
    <w:rsid w:val="2DB43204"/>
    <w:rsid w:val="2F82519F"/>
    <w:rsid w:val="2F9874C3"/>
    <w:rsid w:val="30A26D31"/>
    <w:rsid w:val="31A6151C"/>
    <w:rsid w:val="36341CDC"/>
    <w:rsid w:val="36DC4165"/>
    <w:rsid w:val="37A8202C"/>
    <w:rsid w:val="3835132F"/>
    <w:rsid w:val="383F5EE0"/>
    <w:rsid w:val="38E50AF4"/>
    <w:rsid w:val="3CE07B72"/>
    <w:rsid w:val="3CEA6F6C"/>
    <w:rsid w:val="3EE80F60"/>
    <w:rsid w:val="3F724CCD"/>
    <w:rsid w:val="3F7911BE"/>
    <w:rsid w:val="40150A07"/>
    <w:rsid w:val="436314FD"/>
    <w:rsid w:val="43707776"/>
    <w:rsid w:val="439671DC"/>
    <w:rsid w:val="4439400C"/>
    <w:rsid w:val="47095C8C"/>
    <w:rsid w:val="47E30E5E"/>
    <w:rsid w:val="47FD5A57"/>
    <w:rsid w:val="494C57E3"/>
    <w:rsid w:val="4B1371BC"/>
    <w:rsid w:val="4BDB2E3E"/>
    <w:rsid w:val="4C440EC3"/>
    <w:rsid w:val="4C8E2E4B"/>
    <w:rsid w:val="4E4B6CE5"/>
    <w:rsid w:val="4F9B5B7A"/>
    <w:rsid w:val="4FBF5E9B"/>
    <w:rsid w:val="51EB4B97"/>
    <w:rsid w:val="52045C59"/>
    <w:rsid w:val="527B2818"/>
    <w:rsid w:val="5313200B"/>
    <w:rsid w:val="54776AD5"/>
    <w:rsid w:val="5753429D"/>
    <w:rsid w:val="58225AE2"/>
    <w:rsid w:val="5A055FED"/>
    <w:rsid w:val="5A375E08"/>
    <w:rsid w:val="5CA62A36"/>
    <w:rsid w:val="63D843D5"/>
    <w:rsid w:val="66CF63DE"/>
    <w:rsid w:val="6C97174C"/>
    <w:rsid w:val="6D350F65"/>
    <w:rsid w:val="6DDD4AB7"/>
    <w:rsid w:val="6E3A1B11"/>
    <w:rsid w:val="71062E85"/>
    <w:rsid w:val="766D781D"/>
    <w:rsid w:val="77AF7D95"/>
    <w:rsid w:val="78E63DED"/>
    <w:rsid w:val="790A7FD0"/>
    <w:rsid w:val="7E232498"/>
    <w:rsid w:val="7EB45671"/>
    <w:rsid w:val="7EEF6826"/>
    <w:rsid w:val="7F587DDA"/>
    <w:rsid w:val="7F8612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 w:type="paragraph" w:customStyle="1" w:styleId="5">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6">
    <w:name w:val="List Paragraph"/>
    <w:basedOn w:val="1"/>
    <w:qFormat/>
    <w:uiPriority w:val="34"/>
    <w:pPr>
      <w:ind w:firstLine="420" w:firstLineChars="200"/>
    </w:pPr>
  </w:style>
  <w:style w:type="paragraph" w:customStyle="1" w:styleId="7">
    <w:name w:val="custom_unionstyle"/>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26</Pages>
  <Words>11946</Words>
  <Characters>13300</Characters>
  <Lines>120</Lines>
  <Paragraphs>33</Paragraphs>
  <TotalTime>1</TotalTime>
  <ScaleCrop>false</ScaleCrop>
  <LinksUpToDate>false</LinksUpToDate>
  <CharactersWithSpaces>15529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2022-10-27T08:19:00Z</dcterms:created>
  <dc:creator>Administrator</dc:creator>
  <cp:lastModifiedBy>WPS_1668157542</cp:lastModifiedBy>
  <dcterms:modified xsi:type="dcterms:W3CDTF">2023-09-25T08:40:18Z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F64870D8467B4B9BB3A5395C67EF0F8E</vt:lpwstr>
  </property>
</Properties>
</file>