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3360" w:firstLineChars="700"/>
        <w:jc w:val="both"/>
        <w:rPr>
          <w:rFonts w:hint="eastAsia"/>
          <w:sz w:val="48"/>
          <w:szCs w:val="48"/>
        </w:rPr>
      </w:pPr>
    </w:p>
    <w:p>
      <w:pPr>
        <w:pStyle w:val="11"/>
        <w:ind w:firstLine="3360" w:firstLineChars="700"/>
        <w:jc w:val="both"/>
        <w:rPr>
          <w:rFonts w:hint="eastAsia"/>
          <w:sz w:val="48"/>
          <w:szCs w:val="48"/>
        </w:rPr>
      </w:pPr>
      <w:r>
        <w:rPr>
          <w:rFonts w:hint="eastAsia"/>
          <w:sz w:val="48"/>
          <w:szCs w:val="48"/>
        </w:rPr>
        <w:t>新田县发展和改革局2022年度部门决算公开</w:t>
      </w:r>
    </w:p>
    <w:p>
      <w:pPr>
        <w:pStyle w:val="11"/>
        <w:spacing w:line="500" w:lineRule="exact"/>
        <w:ind w:firstLine="6626" w:firstLineChars="1500"/>
        <w:jc w:val="both"/>
        <w:rPr>
          <w:rFonts w:hint="eastAsia"/>
          <w:b/>
          <w:sz w:val="44"/>
          <w:szCs w:val="44"/>
        </w:rPr>
      </w:pPr>
    </w:p>
    <w:p>
      <w:pPr>
        <w:pStyle w:val="11"/>
        <w:spacing w:line="500" w:lineRule="exact"/>
        <w:ind w:firstLine="6626" w:firstLineChars="1500"/>
        <w:jc w:val="both"/>
        <w:rPr>
          <w:rFonts w:hint="eastAsia"/>
          <w:b/>
          <w:sz w:val="36"/>
          <w:szCs w:val="28"/>
        </w:rPr>
      </w:pPr>
      <w:r>
        <w:rPr>
          <w:rFonts w:hint="eastAsia"/>
          <w:b/>
          <w:sz w:val="44"/>
          <w:szCs w:val="44"/>
        </w:rPr>
        <w:t>目录</w:t>
      </w:r>
    </w:p>
    <w:p>
      <w:pPr>
        <w:pStyle w:val="11"/>
        <w:spacing w:line="500" w:lineRule="exact"/>
        <w:rPr>
          <w:rFonts w:hAnsi="黑体"/>
          <w:bCs/>
          <w:sz w:val="28"/>
          <w:szCs w:val="28"/>
        </w:rPr>
      </w:pPr>
    </w:p>
    <w:p>
      <w:pPr>
        <w:pStyle w:val="11"/>
        <w:spacing w:line="500" w:lineRule="exact"/>
        <w:rPr>
          <w:rFonts w:hAnsi="黑体"/>
          <w:b/>
          <w:sz w:val="28"/>
          <w:szCs w:val="28"/>
        </w:rPr>
      </w:pPr>
      <w:r>
        <w:rPr>
          <w:rFonts w:hint="eastAsia" w:hAnsi="黑体"/>
          <w:b/>
          <w:sz w:val="28"/>
          <w:szCs w:val="28"/>
        </w:rPr>
        <w:t>第一部分 县发改局单位概况</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Ansi="黑体"/>
          <w:b/>
          <w:sz w:val="28"/>
          <w:szCs w:val="28"/>
        </w:rPr>
      </w:pPr>
      <w:r>
        <w:rPr>
          <w:rFonts w:hint="eastAsia" w:hAnsi="黑体"/>
          <w:b/>
          <w:sz w:val="28"/>
          <w:szCs w:val="28"/>
        </w:rPr>
        <w:t>第二部分 部门决算表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Ansi="黑体"/>
          <w:bCs/>
          <w:sz w:val="28"/>
          <w:szCs w:val="28"/>
        </w:rPr>
      </w:pPr>
    </w:p>
    <w:p>
      <w:pPr>
        <w:pStyle w:val="11"/>
        <w:spacing w:line="500" w:lineRule="exact"/>
        <w:rPr>
          <w:rFonts w:hAnsi="黑体"/>
          <w:b/>
          <w:sz w:val="28"/>
          <w:szCs w:val="28"/>
        </w:rPr>
      </w:pPr>
      <w:r>
        <w:rPr>
          <w:rFonts w:hint="eastAsia" w:hAnsi="黑体"/>
          <w:b/>
          <w:sz w:val="28"/>
          <w:szCs w:val="28"/>
        </w:rPr>
        <w:t>第三部分 部门决算情况说明</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Ansi="黑体"/>
          <w:b/>
          <w:sz w:val="28"/>
          <w:szCs w:val="28"/>
        </w:rPr>
      </w:pPr>
      <w:r>
        <w:rPr>
          <w:rFonts w:hint="eastAsia" w:hAnsi="黑体"/>
          <w:b/>
          <w:sz w:val="28"/>
          <w:szCs w:val="28"/>
        </w:rPr>
        <w:t>第四部分 名词解释</w:t>
      </w:r>
    </w:p>
    <w:p>
      <w:pPr>
        <w:pStyle w:val="11"/>
        <w:spacing w:line="500" w:lineRule="exact"/>
        <w:rPr>
          <w:rFonts w:hAnsi="黑体"/>
          <w:b/>
          <w:sz w:val="28"/>
          <w:szCs w:val="28"/>
        </w:rPr>
      </w:pPr>
      <w:r>
        <w:rPr>
          <w:rFonts w:hAnsi="黑体"/>
          <w:b/>
          <w:sz w:val="28"/>
          <w:szCs w:val="28"/>
        </w:rPr>
        <w:t>第五部分</w:t>
      </w:r>
      <w:r>
        <w:rPr>
          <w:rFonts w:hint="eastAsia" w:hAnsi="黑体"/>
          <w:b/>
          <w:sz w:val="28"/>
          <w:szCs w:val="28"/>
        </w:rPr>
        <w:t xml:space="preserve"> </w:t>
      </w:r>
      <w:r>
        <w:rPr>
          <w:rFonts w:hAnsi="黑体"/>
          <w:b/>
          <w:sz w:val="28"/>
          <w:szCs w:val="28"/>
        </w:rPr>
        <w:t>附件</w:t>
      </w:r>
    </w:p>
    <w:p>
      <w:pPr>
        <w:rPr>
          <w:rFonts w:ascii="黑体" w:hAnsi="黑体" w:eastAsia="黑体" w:cs="黑体"/>
          <w:b/>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hint="eastAsia"/>
          <w:b/>
          <w:bCs/>
          <w:sz w:val="72"/>
          <w:szCs w:val="72"/>
        </w:rPr>
      </w:pPr>
      <w:r>
        <w:rPr>
          <w:rFonts w:hint="eastAsia" w:ascii="黑体" w:hAnsi="黑体" w:eastAsia="黑体" w:cs="黑体"/>
          <w:b/>
          <w:bCs/>
          <w:sz w:val="32"/>
          <w:szCs w:val="32"/>
        </w:rPr>
        <w:t>第一部分 单位概况</w:t>
      </w:r>
    </w:p>
    <w:p>
      <w:pPr>
        <w:pStyle w:val="12"/>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（一）负责拟订并组织实施全县国民经济和社会发展战略、中长期规划和年度计划，</w:t>
      </w:r>
      <w:r>
        <w:rPr>
          <w:rFonts w:hint="eastAsia" w:ascii="仿宋" w:hAnsi="仿宋" w:eastAsia="仿宋"/>
          <w:w w:val="98"/>
          <w:sz w:val="32"/>
          <w:szCs w:val="32"/>
        </w:rPr>
        <w:t>统筹协调相关总体规划、区域规划。</w:t>
      </w:r>
      <w:r>
        <w:rPr>
          <w:rFonts w:hint="eastAsia" w:ascii="仿宋" w:hAnsi="仿宋" w:eastAsia="仿宋"/>
          <w:sz w:val="32"/>
          <w:szCs w:val="32"/>
        </w:rPr>
        <w:t>负责提出全县国民经济发展、价格总水平调控和优化重大经济结构的目标、措施。负责提出全县综合运用各种经济手段的建议。受县人民政府委托负责向县人民代表大会提交国民经济和社会发展计划报告。</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（二）负责研究全县宏观经济运行、总量平衡、经济安全和总体产业安全等重要问题，提出宏观调控措施建议。负责协调解决全县经济运行中的重大问题。</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（三）负责汇总全县社会资金总体运行情况，综合分析财政、金融的执行效果，会同有关部门完善宏观调控协调机制，协调推进产业、创业等投资基金的发展。</w:t>
      </w:r>
    </w:p>
    <w:p>
      <w:pPr>
        <w:spacing w:line="520" w:lineRule="exact"/>
        <w:jc w:val="left"/>
        <w:rPr>
          <w:rFonts w:ascii="仿宋" w:hAnsi="仿宋" w:eastAsia="仿宋"/>
          <w:sz w:val="32"/>
          <w:szCs w:val="32"/>
        </w:rPr>
      </w:pPr>
      <w:r>
        <w:rPr>
          <w:rFonts w:hint="eastAsia" w:ascii="仿宋" w:hAnsi="仿宋" w:eastAsia="仿宋"/>
          <w:sz w:val="32"/>
          <w:szCs w:val="32"/>
        </w:rPr>
        <w:t xml:space="preserve">    （四）负责研究全县经济体制改革和对外开放重大问题。负责组织拟订全县综合性经济体制改革方案，协调有关专项改革方案，会同有关部门搞好专项改革之间的衔接。</w:t>
      </w:r>
    </w:p>
    <w:p>
      <w:pPr>
        <w:spacing w:line="520" w:lineRule="exact"/>
        <w:jc w:val="left"/>
        <w:rPr>
          <w:rFonts w:ascii="仿宋" w:hAnsi="仿宋" w:eastAsia="仿宋"/>
          <w:sz w:val="32"/>
          <w:szCs w:val="32"/>
        </w:rPr>
      </w:pPr>
      <w:r>
        <w:rPr>
          <w:rFonts w:hint="eastAsia" w:ascii="仿宋" w:hAnsi="仿宋" w:eastAsia="仿宋"/>
          <w:sz w:val="32"/>
          <w:szCs w:val="32"/>
        </w:rPr>
        <w:t xml:space="preserve">    （五）负责拟订全县社会固定资产投资总规模和投资结构的调控目标、意见及措施，统筹安排县级财政性建设资金和投资项目，编制下达政府投资年度计划。负责规划全县重大建设项目和生产力布局，按规定权限审批、核准、审核、备案跨地区、跨行业、跨领域和涉及综合平衡、重大布局的重大建设项目、外资项目、境外投资项目。负责研究提出全县利用外资和境外投资的战略、规划、总量平衡以及结构优化的目标和建议，指导和监督国外贷款建设资金的使用，引导民间投资方向。负责研究提出县重点建设项目计划，负责政府投资项目代建制实施的指导、协调和监督管理，指导工程咨询业发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六）负责贯彻实施综合性产业政策，协调全县一、二、三产业发展的重大问题并衔接平衡相关发展规划和重大政策。负责协调农业和农村经济社会发展的重大问题。负责拟定发展战略性新兴产业规划，研究提出新型工业化和产业集群发展的意见措施。负责会同有关部门贯彻执行高新技术产业、服务业发展规划和重大政策，实施高新技术产业发展的宏观指导，协调解决重大技术装备推广应用等方面的重大问题。</w:t>
      </w:r>
    </w:p>
    <w:p>
      <w:pPr>
        <w:spacing w:line="520" w:lineRule="exact"/>
        <w:jc w:val="left"/>
        <w:rPr>
          <w:rFonts w:ascii="仿宋" w:hAnsi="仿宋" w:eastAsia="仿宋"/>
          <w:sz w:val="32"/>
          <w:szCs w:val="32"/>
        </w:rPr>
      </w:pPr>
      <w:r>
        <w:rPr>
          <w:rFonts w:hint="eastAsia" w:ascii="仿宋" w:hAnsi="仿宋" w:eastAsia="仿宋"/>
          <w:sz w:val="32"/>
          <w:szCs w:val="32"/>
        </w:rPr>
        <w:t xml:space="preserve">   （七）负责贯彻落实国家西部开发、中部崛起、长江经济带开发建设的政策措施。负责研究制定统筹促进区域协调发展和老少边穷地区加快发展的战略、规划和意见措施。负责拟订并组织实施全县以工代赈规划和计划。负责参与研究拟订全县城镇化发展战略和意见措施，制定工业园区发展规划，组织重大投资项目的实施，统筹协调区域合作，承担县对口支援有关工作。</w:t>
      </w:r>
    </w:p>
    <w:p>
      <w:pPr>
        <w:spacing w:line="520" w:lineRule="exact"/>
        <w:jc w:val="left"/>
        <w:rPr>
          <w:rFonts w:ascii="仿宋" w:hAnsi="仿宋" w:eastAsia="仿宋"/>
          <w:sz w:val="32"/>
          <w:szCs w:val="32"/>
        </w:rPr>
      </w:pPr>
      <w:r>
        <w:rPr>
          <w:rFonts w:hint="eastAsia" w:ascii="仿宋" w:hAnsi="仿宋" w:eastAsia="仿宋"/>
          <w:sz w:val="32"/>
          <w:szCs w:val="32"/>
        </w:rPr>
        <w:t xml:space="preserve">    （八）承担全县重要商品总量平衡和宏观调控，编制重要农产品、工业品和原材料进出口总量平衡计划并监督执行，根据全县经济运行情况对计划进行调整。负责拟订重要战略物资储备规划，负责组织收储、动用、轮换和管理等工作。牵头负责全县物流发展工作，拟订现代物流业发展战略、规划，协调物流业发展重大布局。</w:t>
      </w:r>
    </w:p>
    <w:p>
      <w:pPr>
        <w:spacing w:line="520" w:lineRule="exact"/>
        <w:jc w:val="left"/>
        <w:rPr>
          <w:rFonts w:ascii="仿宋" w:hAnsi="仿宋" w:eastAsia="仿宋"/>
          <w:sz w:val="32"/>
          <w:szCs w:val="32"/>
        </w:rPr>
      </w:pPr>
      <w:r>
        <w:rPr>
          <w:rFonts w:hint="eastAsia" w:ascii="仿宋" w:hAnsi="仿宋" w:eastAsia="仿宋"/>
          <w:sz w:val="32"/>
          <w:szCs w:val="32"/>
        </w:rPr>
        <w:t xml:space="preserve">    （九）负责全县社会发展与国民经济发展的相互衔接，组织拟订全县社会发展战略、总体规划和年度计划，贯彻执行人口和计划生育、科学技术、教育、文化、卫生、民政等发展政策，拟订基本公共服务体系建设规划和收入分配制度改革，研究提出全县促进就业、完善社会保障与经济协调发展的意见建议，协调社会事业发展和改革中的重大问题，参与推进深化医药卫生体制改革工作。</w:t>
      </w:r>
    </w:p>
    <w:p>
      <w:pPr>
        <w:spacing w:line="520" w:lineRule="exact"/>
        <w:jc w:val="left"/>
        <w:rPr>
          <w:rFonts w:ascii="仿宋" w:hAnsi="仿宋" w:eastAsia="仿宋"/>
          <w:sz w:val="32"/>
          <w:szCs w:val="32"/>
        </w:rPr>
      </w:pPr>
      <w:r>
        <w:rPr>
          <w:rFonts w:hint="eastAsia" w:ascii="仿宋" w:hAnsi="仿宋" w:eastAsia="仿宋"/>
          <w:sz w:val="32"/>
          <w:szCs w:val="32"/>
        </w:rPr>
        <w:t xml:space="preserve">   （十）负责研究分析全县经济社会与资源、环境协调发展的重大问题，负责节能的综合协调工作，组织拟订发展循环经济、能源资源节约和综合利用规划、措施并协调实施，参与编制生态文明建设、环境保护规划，协调生态建设、能源资源节约和综合利用的重大问题，综合协调节能环保产业和清洁生产促进有关工作，完善固定资产投资项目节能评估和审查办法。</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（十一）</w:t>
      </w:r>
      <w:r>
        <w:rPr>
          <w:rFonts w:hint="eastAsia" w:ascii="仿宋" w:hAnsi="仿宋" w:eastAsia="仿宋" w:cs="仿宋_GB2312"/>
          <w:sz w:val="32"/>
          <w:szCs w:val="32"/>
        </w:rPr>
        <w:t>负责贯彻执行国家、省市价格政策，研究拟订全县重大价格改革方案并组织实施，监测、分析全县市场价格形势，组织实施全县价格总水平调控，依法组织价格听证会和价格专家论证，运用价格杠杆促进经济社会发展。负责价格调节基金的征收、管理、使用工作。负责拟订全县商品价格、服务价格及行政事业性收费的定价目录和管理办法并组织实施，制定和调整实行政府指导价、政府定价的商品、服务价格。负责管理行政机关和法律法规授权的组织依法强制使用或指定配套销售的商品和服务价格，规范中介组织的收费行为。负责依法对重大自然灾害和特殊时期实施临时价格干预措施。负责指导价格公示、价格自律、价格诚信、价格信息等价格服务工作，推行明码标价。负责依法组织对实行政府指导价、政府定价的商品、服务价格和行政事业性收费的成本监审工作。负责涉案物价格鉴证工作，指导中介机构的价格鉴证、价格评估工作。</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（十二）负责研究制定推进社会信用体系建设的政策措施，统筹推进统一的信用信息平台建设，促进信用信息资源的整合与运用，协调社会信用体系建设的重大问题。</w:t>
      </w:r>
    </w:p>
    <w:p>
      <w:pPr>
        <w:spacing w:line="520" w:lineRule="exact"/>
        <w:jc w:val="left"/>
        <w:rPr>
          <w:rFonts w:ascii="仿宋" w:hAnsi="仿宋" w:eastAsia="仿宋"/>
          <w:sz w:val="32"/>
          <w:szCs w:val="32"/>
        </w:rPr>
      </w:pPr>
      <w:r>
        <w:rPr>
          <w:rFonts w:hint="eastAsia" w:ascii="仿宋" w:hAnsi="仿宋" w:eastAsia="仿宋"/>
          <w:sz w:val="32"/>
          <w:szCs w:val="32"/>
        </w:rPr>
        <w:t xml:space="preserve">    （十三）负责组织编制全县国民经济动员和装备动员规划、计划，组织实施全县国民经济动员、装备动员有关工作，管理、分配救灾物资并监督使用，协调有关重大问题。</w:t>
      </w:r>
    </w:p>
    <w:p>
      <w:pPr>
        <w:spacing w:line="520" w:lineRule="exact"/>
        <w:ind w:firstLine="600"/>
        <w:jc w:val="left"/>
        <w:rPr>
          <w:rFonts w:ascii="仿宋" w:hAnsi="仿宋" w:eastAsia="仿宋"/>
          <w:sz w:val="32"/>
          <w:szCs w:val="32"/>
        </w:rPr>
      </w:pPr>
      <w:r>
        <w:rPr>
          <w:rFonts w:hint="eastAsia" w:ascii="仿宋" w:hAnsi="仿宋" w:eastAsia="仿宋"/>
          <w:sz w:val="32"/>
          <w:szCs w:val="32"/>
        </w:rPr>
        <w:t>（十四）牵头整合建设统一规范的公共资源交易平台，指导和协调全县公共资源交易平台建设，监督公共资源交易活动。</w:t>
      </w:r>
    </w:p>
    <w:p>
      <w:pPr>
        <w:pStyle w:val="17"/>
        <w:shd w:val="clear" w:color="auto" w:fill="auto"/>
        <w:spacing w:before="0" w:after="0" w:line="538" w:lineRule="exact"/>
        <w:ind w:left="20" w:right="40" w:firstLine="748" w:firstLineChars="200"/>
        <w:jc w:val="both"/>
        <w:rPr>
          <w:rFonts w:ascii="仿宋" w:hAnsi="仿宋" w:eastAsia="仿宋" w:cs="Times New Roman"/>
          <w:spacing w:val="0"/>
          <w:kern w:val="2"/>
          <w:sz w:val="32"/>
          <w:szCs w:val="32"/>
        </w:rPr>
      </w:pPr>
      <w:r>
        <w:rPr>
          <w:rFonts w:hint="eastAsia" w:ascii="仿宋" w:hAnsi="仿宋" w:eastAsia="仿宋"/>
          <w:sz w:val="32"/>
          <w:szCs w:val="32"/>
        </w:rPr>
        <w:t>（十五）</w:t>
      </w:r>
      <w:r>
        <w:rPr>
          <w:rFonts w:ascii="仿宋" w:hAnsi="仿宋" w:eastAsia="仿宋" w:cs="Times New Roman"/>
          <w:spacing w:val="0"/>
          <w:kern w:val="2"/>
          <w:sz w:val="32"/>
          <w:szCs w:val="32"/>
        </w:rPr>
        <w:t>负责拟订和组织实施全县粮食行业发展及市场体系建设规划；研究提出全县粮食流通体制改革方案，起草粮食行业规范性文件草案；承担粮食系统的国有资产管理和行业管理工作，承担政策性粮食供应和粮食系统统计及其信息发布工作工作。负责监督检查县级储备粮和军粮计划、数量</w:t>
      </w:r>
      <w:r>
        <w:rPr>
          <w:rFonts w:hint="eastAsia" w:eastAsia="宋体" w:cs="Times New Roman"/>
          <w:spacing w:val="0"/>
          <w:kern w:val="2"/>
          <w:sz w:val="32"/>
          <w:szCs w:val="32"/>
        </w:rPr>
        <w:t>、</w:t>
      </w:r>
      <w:r>
        <w:rPr>
          <w:rFonts w:ascii="仿宋" w:hAnsi="仿宋" w:eastAsia="仿宋" w:cs="Times New Roman"/>
          <w:spacing w:val="0"/>
          <w:kern w:val="2"/>
          <w:sz w:val="32"/>
          <w:szCs w:val="32"/>
        </w:rPr>
        <w:t>质量及技术规范的执行情况，组织实施粮食库存检查；负责粮食购销活动的监督 检查和执法工作。推动全县国有粮食企业改革和发展，调查了解国有粮食购销企业的经营管理状况并进行指导</w:t>
      </w:r>
      <w:r>
        <w:rPr>
          <w:rFonts w:cs="Times New Roman"/>
          <w:spacing w:val="0"/>
          <w:kern w:val="2"/>
          <w:sz w:val="32"/>
          <w:szCs w:val="32"/>
        </w:rPr>
        <w:t xml:space="preserve">, </w:t>
      </w:r>
      <w:r>
        <w:rPr>
          <w:rFonts w:ascii="仿宋" w:hAnsi="仿宋" w:eastAsia="仿宋" w:cs="Times New Roman"/>
          <w:spacing w:val="0"/>
          <w:kern w:val="2"/>
          <w:sz w:val="32"/>
          <w:szCs w:val="32"/>
        </w:rPr>
        <w:t>指导协调粮食产销合作；指导粮食行业质量、计量、市场建设、安全生产和加工业统计工作；承担粮食行业科技管理、科技创新和新技术推广工作。</w:t>
      </w:r>
    </w:p>
    <w:p>
      <w:pPr>
        <w:ind w:firstLine="640" w:firstLineChars="200"/>
        <w:rPr>
          <w:rFonts w:ascii="仿宋" w:hAnsi="仿宋" w:eastAsia="仿宋"/>
          <w:sz w:val="32"/>
          <w:szCs w:val="32"/>
        </w:rPr>
      </w:pPr>
      <w:r>
        <w:rPr>
          <w:rFonts w:hint="eastAsia" w:ascii="仿宋" w:hAnsi="仿宋" w:eastAsia="仿宋"/>
          <w:sz w:val="32"/>
          <w:szCs w:val="32"/>
        </w:rPr>
        <w:t>（十六）贯彻落实国家扶贫以工代赈政策,编制扶贫以工代赈中长期规划和年度计划；发展申报以工代赈项目计划，建立健全以工代赈项目库制度。组织实施以工代赈项目计划，严格按照基本建设管理程序管理、使用以工代赈项目资金。</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十七）负责编制全县重点建设项目年度计划；参与全县重点项目的前期工作，负责全县重点项目在建阶段的建设进度、工程质量、安全生产等综合管理和组织协调；研究拟定重大建设项目，监督检查具体实施意见，经批准后，组织实施。</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（十八）按机构改革的总体要求，负责对下属单位机构设置、职能配置和人员编制配备等提出调整完善意见，报机构编制部门明确。</w:t>
      </w:r>
    </w:p>
    <w:p>
      <w:pPr>
        <w:spacing w:line="520" w:lineRule="exact"/>
        <w:ind w:firstLine="600"/>
        <w:jc w:val="left"/>
        <w:rPr>
          <w:rFonts w:ascii="仿宋" w:hAnsi="仿宋" w:eastAsia="仿宋"/>
          <w:sz w:val="32"/>
          <w:szCs w:val="32"/>
        </w:rPr>
      </w:pPr>
      <w:r>
        <w:rPr>
          <w:rFonts w:hint="eastAsia" w:ascii="仿宋" w:hAnsi="仿宋" w:eastAsia="仿宋"/>
          <w:sz w:val="32"/>
          <w:szCs w:val="32"/>
        </w:rPr>
        <w:t>（十九）负责对国家粮食物资储备的宏观调控。</w:t>
      </w:r>
    </w:p>
    <w:p>
      <w:pPr>
        <w:pStyle w:val="6"/>
        <w:ind w:left="638" w:leftChars="304"/>
        <w:jc w:val="left"/>
        <w:rPr>
          <w:rFonts w:ascii="仿宋" w:hAnsi="仿宋" w:eastAsia="仿宋"/>
          <w:sz w:val="32"/>
          <w:szCs w:val="32"/>
        </w:rPr>
      </w:pPr>
      <w:r>
        <w:rPr>
          <w:rFonts w:hint="eastAsia" w:ascii="仿宋" w:hAnsi="仿宋" w:eastAsia="仿宋"/>
          <w:sz w:val="32"/>
          <w:szCs w:val="32"/>
        </w:rPr>
        <w:t>（二十）负责人民防空建设、国防动员有关的重大事项。                                           （二十一）承办县委、县人民政府交办的其他事项。</w:t>
      </w: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pStyle w:val="6"/>
        <w:ind w:left="638" w:leftChars="304"/>
        <w:jc w:val="left"/>
        <w:rPr>
          <w:rFonts w:ascii="仿宋" w:hAnsi="仿宋" w:eastAsia="仿宋"/>
          <w:sz w:val="32"/>
          <w:szCs w:val="32"/>
        </w:rPr>
      </w:pP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autoSpaceDE w:val="0"/>
        <w:autoSpaceDN w:val="0"/>
        <w:spacing w:line="520" w:lineRule="exact"/>
        <w:ind w:firstLine="627" w:firstLineChars="196"/>
        <w:rPr>
          <w:rFonts w:ascii="仿宋" w:hAnsi="仿宋" w:eastAsia="仿宋" w:cs="宋体"/>
          <w:b/>
          <w:kern w:val="0"/>
          <w:sz w:val="32"/>
          <w:szCs w:val="32"/>
        </w:rPr>
      </w:pPr>
      <w:r>
        <w:rPr>
          <w:rFonts w:hint="eastAsia" w:ascii="Times New Roman" w:hAnsi="Times New Roman" w:eastAsia="仿宋_GB2312" w:cs="仿宋_GB2312"/>
          <w:bCs/>
          <w:kern w:val="0"/>
          <w:sz w:val="32"/>
          <w:szCs w:val="32"/>
        </w:rPr>
        <w:t>（一）内设机构设置。县发改局内设机构包括：</w:t>
      </w:r>
      <w:r>
        <w:rPr>
          <w:rFonts w:hint="eastAsia" w:ascii="仿宋" w:hAnsi="仿宋" w:eastAsia="仿宋" w:cs="宋体"/>
          <w:kern w:val="0"/>
          <w:sz w:val="32"/>
          <w:szCs w:val="32"/>
        </w:rPr>
        <w:t>办公室（政工股）、</w:t>
      </w:r>
      <w:r>
        <w:rPr>
          <w:rFonts w:hint="eastAsia" w:ascii="仿宋" w:hAnsi="仿宋" w:eastAsia="仿宋" w:cs="仿宋_GB2312"/>
          <w:kern w:val="0"/>
          <w:sz w:val="32"/>
          <w:szCs w:val="32"/>
        </w:rPr>
        <w:t>综合改革规划股、</w:t>
      </w:r>
      <w:r>
        <w:rPr>
          <w:rFonts w:hint="eastAsia" w:ascii="仿宋" w:hAnsi="仿宋" w:eastAsia="仿宋" w:cs="宋体"/>
          <w:kern w:val="0"/>
          <w:sz w:val="32"/>
          <w:szCs w:val="32"/>
        </w:rPr>
        <w:t>政策法规股（县公共资源交易管理局办公室）、固定资产投资股、</w:t>
      </w:r>
      <w:r>
        <w:rPr>
          <w:rFonts w:hint="eastAsia" w:ascii="仿宋" w:hAnsi="仿宋" w:eastAsia="仿宋" w:cs="仿宋_GB2312"/>
          <w:kern w:val="0"/>
          <w:sz w:val="32"/>
          <w:szCs w:val="32"/>
        </w:rPr>
        <w:t>服务业股、</w:t>
      </w:r>
      <w:r>
        <w:rPr>
          <w:rFonts w:hint="eastAsia" w:ascii="仿宋" w:hAnsi="仿宋" w:eastAsia="仿宋" w:cs="仿宋_GB2312"/>
          <w:color w:val="000000"/>
          <w:kern w:val="0"/>
          <w:sz w:val="32"/>
          <w:szCs w:val="32"/>
        </w:rPr>
        <w:t>社会发展股、</w:t>
      </w:r>
      <w:r>
        <w:rPr>
          <w:rFonts w:hint="eastAsia" w:ascii="仿宋" w:hAnsi="仿宋" w:eastAsia="仿宋" w:cs="宋体"/>
          <w:color w:val="000000"/>
          <w:kern w:val="0"/>
          <w:sz w:val="32"/>
          <w:szCs w:val="32"/>
        </w:rPr>
        <w:t>农村</w:t>
      </w:r>
      <w:r>
        <w:rPr>
          <w:rFonts w:hint="eastAsia" w:ascii="仿宋" w:hAnsi="仿宋" w:eastAsia="仿宋" w:cs="仿宋_GB2312"/>
          <w:color w:val="000000"/>
          <w:kern w:val="0"/>
          <w:sz w:val="32"/>
          <w:szCs w:val="32"/>
        </w:rPr>
        <w:t>财</w:t>
      </w:r>
      <w:r>
        <w:rPr>
          <w:rFonts w:hint="eastAsia" w:ascii="仿宋" w:hAnsi="仿宋" w:eastAsia="仿宋" w:cs="宋体"/>
          <w:color w:val="000000"/>
          <w:kern w:val="0"/>
          <w:sz w:val="32"/>
          <w:szCs w:val="32"/>
        </w:rPr>
        <w:t>经</w:t>
      </w:r>
      <w:r>
        <w:rPr>
          <w:rFonts w:hint="eastAsia" w:ascii="仿宋" w:hAnsi="仿宋" w:eastAsia="仿宋" w:cs="仿宋_GB2312"/>
          <w:color w:val="000000"/>
          <w:kern w:val="0"/>
          <w:sz w:val="32"/>
          <w:szCs w:val="32"/>
        </w:rPr>
        <w:t>股、</w:t>
      </w:r>
      <w:r>
        <w:rPr>
          <w:rFonts w:hint="eastAsia" w:ascii="仿宋" w:hAnsi="仿宋" w:eastAsia="仿宋"/>
          <w:sz w:val="32"/>
          <w:szCs w:val="32"/>
        </w:rPr>
        <w:t>工业股、能源股（节能监察股）、</w:t>
      </w:r>
      <w:r>
        <w:rPr>
          <w:rFonts w:hint="eastAsia" w:ascii="仿宋" w:hAnsi="仿宋" w:eastAsia="仿宋" w:cs="仿宋_GB2312"/>
          <w:sz w:val="32"/>
          <w:szCs w:val="32"/>
        </w:rPr>
        <w:t>资源节约和环境保护股、</w:t>
      </w:r>
      <w:r>
        <w:rPr>
          <w:rFonts w:hint="eastAsia" w:ascii="仿宋" w:hAnsi="仿宋" w:eastAsia="仿宋" w:cs="宋体"/>
          <w:kern w:val="0"/>
          <w:sz w:val="32"/>
          <w:szCs w:val="32"/>
        </w:rPr>
        <w:t>县</w:t>
      </w:r>
      <w:r>
        <w:rPr>
          <w:rFonts w:hint="eastAsia" w:ascii="仿宋" w:hAnsi="仿宋" w:eastAsia="仿宋"/>
          <w:sz w:val="32"/>
          <w:szCs w:val="32"/>
        </w:rPr>
        <w:t>重大项目前期工作股、对口支援办公室、</w:t>
      </w:r>
      <w:r>
        <w:rPr>
          <w:rFonts w:hint="eastAsia" w:ascii="仿宋" w:hAnsi="仿宋" w:eastAsia="仿宋" w:cs="仿宋_GB2312"/>
          <w:kern w:val="0"/>
          <w:sz w:val="32"/>
          <w:szCs w:val="32"/>
        </w:rPr>
        <w:t>价格调控股（县价格调节基金管理办公室、商品</w:t>
      </w:r>
      <w:r>
        <w:rPr>
          <w:rFonts w:hint="eastAsia" w:ascii="仿宋" w:hAnsi="仿宋" w:eastAsia="仿宋"/>
          <w:sz w:val="32"/>
          <w:szCs w:val="32"/>
        </w:rPr>
        <w:t>服务价格管理股</w:t>
      </w:r>
      <w:r>
        <w:rPr>
          <w:rFonts w:hint="eastAsia" w:ascii="仿宋" w:hAnsi="仿宋" w:eastAsia="仿宋" w:cs="仿宋_GB2312"/>
          <w:kern w:val="0"/>
          <w:sz w:val="32"/>
          <w:szCs w:val="32"/>
        </w:rPr>
        <w:t>）、收费管理股、信息中心、易地扶贫搬迁服务管理股、</w:t>
      </w:r>
      <w:r>
        <w:rPr>
          <w:rFonts w:ascii="仿宋" w:hAnsi="仿宋" w:eastAsia="仿宋"/>
          <w:sz w:val="32"/>
          <w:szCs w:val="32"/>
        </w:rPr>
        <w:t>粮食</w:t>
      </w:r>
      <w:r>
        <w:rPr>
          <w:rFonts w:hint="eastAsia" w:ascii="仿宋" w:hAnsi="仿宋" w:eastAsia="仿宋"/>
          <w:sz w:val="32"/>
          <w:szCs w:val="32"/>
        </w:rPr>
        <w:t>与物资</w:t>
      </w:r>
      <w:r>
        <w:rPr>
          <w:rFonts w:ascii="仿宋" w:hAnsi="仿宋" w:eastAsia="仿宋"/>
          <w:sz w:val="32"/>
          <w:szCs w:val="32"/>
        </w:rPr>
        <w:t>调控股</w:t>
      </w:r>
      <w:r>
        <w:rPr>
          <w:rStyle w:val="18"/>
          <w:rFonts w:ascii="仿宋" w:hAnsi="仿宋" w:eastAsia="仿宋"/>
          <w:sz w:val="32"/>
          <w:szCs w:val="32"/>
        </w:rPr>
        <w:t>(</w:t>
      </w:r>
      <w:r>
        <w:rPr>
          <w:rFonts w:ascii="仿宋" w:hAnsi="仿宋" w:eastAsia="仿宋"/>
          <w:sz w:val="32"/>
          <w:szCs w:val="32"/>
        </w:rPr>
        <w:t>军粮供应股）</w:t>
      </w:r>
      <w:r>
        <w:rPr>
          <w:rFonts w:hint="eastAsia" w:ascii="仿宋" w:hAnsi="仿宋" w:eastAsia="仿宋"/>
          <w:sz w:val="32"/>
          <w:szCs w:val="32"/>
        </w:rPr>
        <w:t>、人防、国防动员办公室</w:t>
      </w:r>
    </w:p>
    <w:p>
      <w:pPr>
        <w:widowControl/>
        <w:spacing w:line="600" w:lineRule="exact"/>
        <w:ind w:firstLine="320" w:firstLineChars="100"/>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（二）决算单位构成。县发改局2022年部门决算汇总公开单位构成包括：县发改局单位本级。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6"/>
        <w:rPr>
          <w:rFonts w:ascii="黑体" w:hAnsi="黑体" w:eastAsia="黑体"/>
          <w:sz w:val="28"/>
          <w:szCs w:val="28"/>
        </w:rPr>
      </w:pPr>
    </w:p>
    <w:p>
      <w:pPr>
        <w:pStyle w:val="6"/>
        <w:rPr>
          <w:rFonts w:ascii="黑体" w:hAnsi="黑体" w:eastAsia="黑体"/>
          <w:sz w:val="28"/>
          <w:szCs w:val="28"/>
        </w:rPr>
      </w:pPr>
    </w:p>
    <w:p>
      <w:pPr>
        <w:pStyle w:val="6"/>
        <w:rPr>
          <w:rFonts w:ascii="黑体" w:hAnsi="黑体" w:eastAsia="黑体"/>
          <w:sz w:val="28"/>
          <w:szCs w:val="28"/>
        </w:rPr>
      </w:pPr>
    </w:p>
    <w:p>
      <w:pPr>
        <w:pStyle w:val="6"/>
        <w:rPr>
          <w:rFonts w:ascii="黑体" w:hAnsi="黑体" w:eastAsia="黑体"/>
          <w:sz w:val="28"/>
          <w:szCs w:val="28"/>
        </w:rPr>
      </w:pPr>
    </w:p>
    <w:p>
      <w:pPr>
        <w:pStyle w:val="6"/>
        <w:rPr>
          <w:rFonts w:ascii="黑体" w:hAnsi="黑体" w:eastAsia="黑体"/>
          <w:sz w:val="28"/>
          <w:szCs w:val="28"/>
        </w:rPr>
      </w:pPr>
    </w:p>
    <w:p>
      <w:pPr>
        <w:pStyle w:val="6"/>
        <w:rPr>
          <w:rFonts w:ascii="黑体" w:hAnsi="黑体" w:eastAsia="黑体"/>
          <w:sz w:val="28"/>
          <w:szCs w:val="28"/>
        </w:rPr>
      </w:pPr>
    </w:p>
    <w:p>
      <w:pPr>
        <w:rPr>
          <w:rFonts w:hint="eastAsia"/>
          <w:sz w:val="72"/>
          <w:szCs w:val="72"/>
        </w:rPr>
      </w:pPr>
    </w:p>
    <w:tbl>
      <w:tblPr>
        <w:tblStyle w:val="7"/>
        <w:tblW w:w="15500" w:type="dxa"/>
        <w:tblInd w:w="317" w:type="dxa"/>
        <w:tblLayout w:type="autofit"/>
        <w:tblCellMar>
          <w:top w:w="0" w:type="dxa"/>
          <w:left w:w="0" w:type="dxa"/>
          <w:bottom w:w="0" w:type="dxa"/>
          <w:right w:w="0" w:type="dxa"/>
        </w:tblCellMar>
      </w:tblPr>
      <w:tblGrid>
        <w:gridCol w:w="247"/>
        <w:gridCol w:w="529"/>
        <w:gridCol w:w="108"/>
        <w:gridCol w:w="1837"/>
        <w:gridCol w:w="108"/>
        <w:gridCol w:w="1629"/>
        <w:gridCol w:w="108"/>
        <w:gridCol w:w="1629"/>
        <w:gridCol w:w="108"/>
        <w:gridCol w:w="1629"/>
        <w:gridCol w:w="108"/>
        <w:gridCol w:w="1629"/>
        <w:gridCol w:w="108"/>
        <w:gridCol w:w="1629"/>
        <w:gridCol w:w="108"/>
        <w:gridCol w:w="1629"/>
        <w:gridCol w:w="108"/>
        <w:gridCol w:w="2354"/>
        <w:gridCol w:w="108"/>
      </w:tblGrid>
      <w:tr>
        <w:trPr>
          <w:gridAfter w:val="1"/>
          <w:wAfter w:w="108" w:type="dxa"/>
          <w:trHeight w:val="435" w:hRule="atLeast"/>
        </w:trPr>
        <w:tc>
          <w:tcPr>
            <w:tcW w:w="15392"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7"/>
              <w:tblW w:w="4999" w:type="pct"/>
              <w:tblInd w:w="0" w:type="dxa"/>
              <w:tblLayout w:type="autofit"/>
              <w:tblCellMar>
                <w:top w:w="0" w:type="dxa"/>
                <w:left w:w="108" w:type="dxa"/>
                <w:bottom w:w="0" w:type="dxa"/>
                <w:right w:w="108" w:type="dxa"/>
              </w:tblCellMar>
            </w:tblPr>
            <w:tblGrid>
              <w:gridCol w:w="4479"/>
              <w:gridCol w:w="616"/>
              <w:gridCol w:w="1397"/>
              <w:gridCol w:w="5081"/>
              <w:gridCol w:w="1157"/>
              <w:gridCol w:w="495"/>
              <w:gridCol w:w="498"/>
              <w:gridCol w:w="1849"/>
            </w:tblGrid>
            <w:tr>
              <w:trPr>
                <w:trHeight w:val="397" w:hRule="atLeast"/>
              </w:trPr>
              <w:tc>
                <w:tcPr>
                  <w:tcW w:w="1444" w:type="pct"/>
                  <w:tcBorders>
                    <w:top w:val="nil"/>
                    <w:left w:val="nil"/>
                    <w:bottom w:val="nil"/>
                    <w:right w:val="nil"/>
                  </w:tcBorders>
                  <w:shd w:val="clear" w:color="auto" w:fill="auto"/>
                  <w:noWrap/>
                  <w:vAlign w:val="center"/>
                </w:tcPr>
                <w:p>
                  <w:pPr>
                    <w:jc w:val="left"/>
                    <w:rPr>
                      <w:rFonts w:ascii="黑体" w:hAnsi="宋体" w:eastAsia="黑体" w:cs="黑体"/>
                      <w:color w:val="000000"/>
                      <w:sz w:val="24"/>
                      <w:szCs w:val="24"/>
                    </w:rPr>
                  </w:pPr>
                  <w:r>
                    <w:rPr>
                      <w:rFonts w:hint="eastAsia" w:ascii="黑体" w:hAnsi="黑体" w:eastAsia="黑体" w:cs="黑体"/>
                      <w:b/>
                      <w:bCs/>
                      <w:sz w:val="32"/>
                      <w:szCs w:val="32"/>
                    </w:rPr>
                    <w:t>第二部分 部门决算表</w:t>
                  </w:r>
                </w:p>
              </w:tc>
              <w:tc>
                <w:tcPr>
                  <w:tcW w:w="194"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453"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1637"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524" w:type="pct"/>
                  <w:gridSpan w:val="2"/>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745" w:type="pct"/>
                  <w:gridSpan w:val="2"/>
                  <w:tcBorders>
                    <w:top w:val="nil"/>
                    <w:left w:val="nil"/>
                    <w:bottom w:val="nil"/>
                    <w:right w:val="nil"/>
                  </w:tcBorders>
                  <w:shd w:val="clear" w:color="auto" w:fill="auto"/>
                  <w:noWrap/>
                  <w:vAlign w:val="center"/>
                </w:tcPr>
                <w:p>
                  <w:pPr>
                    <w:jc w:val="right"/>
                    <w:rPr>
                      <w:rFonts w:ascii="黑体" w:hAnsi="宋体" w:eastAsia="黑体" w:cs="黑体"/>
                      <w:color w:val="000000"/>
                      <w:sz w:val="24"/>
                      <w:szCs w:val="24"/>
                    </w:rPr>
                  </w:pPr>
                </w:p>
              </w:tc>
            </w:tr>
            <w:tr>
              <w:tblPrEx>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收入支出决算总表</w:t>
                  </w:r>
                </w:p>
              </w:tc>
            </w:tr>
            <w:tr>
              <w:trPr>
                <w:trHeight w:val="304" w:hRule="atLeast"/>
              </w:trPr>
              <w:tc>
                <w:tcPr>
                  <w:tcW w:w="1444"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94"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453"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637"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524" w:type="pct"/>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745" w:type="pct"/>
                  <w:gridSpan w:val="2"/>
                  <w:tcBorders>
                    <w:top w:val="nil"/>
                    <w:left w:val="nil"/>
                    <w:bottom w:val="nil"/>
                    <w:right w:val="nil"/>
                  </w:tcBorders>
                  <w:shd w:val="clear" w:color="auto" w:fill="FFFFFF"/>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4" w:hRule="atLeast"/>
              </w:trPr>
              <w:tc>
                <w:tcPr>
                  <w:tcW w:w="1444" w:type="pct"/>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新田县发展和改革局</w:t>
                  </w:r>
                </w:p>
              </w:tc>
              <w:tc>
                <w:tcPr>
                  <w:tcW w:w="194"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453"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637"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524" w:type="pct"/>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745" w:type="pct"/>
                  <w:gridSpan w:val="2"/>
                  <w:tcBorders>
                    <w:top w:val="nil"/>
                    <w:left w:val="nil"/>
                    <w:bottom w:val="nil"/>
                    <w:right w:val="nil"/>
                  </w:tcBorders>
                  <w:shd w:val="clear" w:color="auto" w:fill="FFFFFF"/>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98" w:type="pct"/>
                <w:trHeight w:val="397" w:hRule="atLeast"/>
              </w:trPr>
              <w:tc>
                <w:tcPr>
                  <w:tcW w:w="209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收入</w:t>
                  </w:r>
                </w:p>
              </w:tc>
              <w:tc>
                <w:tcPr>
                  <w:tcW w:w="2309"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支出</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979.69</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1218.28</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三、国有资本经营预算财政拨款收入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四、上级补助收入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五、事业收入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六、经营收入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七、附属单位上缴收入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八、其他收入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20" w:firstLineChars="100"/>
                    <w:jc w:val="lef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979.69</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sz w:val="22"/>
                    </w:rPr>
                    <w:t>1218.28</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使用非财政拨款结余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结余分配</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sz w:val="22"/>
                    </w:rPr>
                    <w:t>0</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年初结转和结余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238.59</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sz w:val="22"/>
                    </w:rPr>
                    <w:t>0</w:t>
                  </w:r>
                </w:p>
              </w:tc>
            </w:tr>
            <w:tr>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1218.28</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r>
                    <w:rPr>
                      <w:rFonts w:hint="eastAsia" w:ascii="宋体" w:hAnsi="宋体" w:eastAsia="宋体" w:cs="宋体"/>
                      <w:b/>
                      <w:color w:val="000000"/>
                      <w:sz w:val="22"/>
                    </w:rPr>
                    <w:t>1218.28</w:t>
                  </w:r>
                </w:p>
              </w:tc>
            </w:tr>
            <w:tr>
              <w:trPr>
                <w:trHeight w:val="1015" w:hRule="atLeast"/>
              </w:trPr>
              <w:tc>
                <w:tcPr>
                  <w:tcW w:w="5000" w:type="pct"/>
                  <w:gridSpan w:val="8"/>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jc w:val="center"/>
              <w:rPr>
                <w:rFonts w:ascii="华文中宋" w:hAnsi="华文中宋" w:eastAsia="华文中宋"/>
                <w:color w:val="000000"/>
                <w:sz w:val="32"/>
                <w:szCs w:val="32"/>
              </w:rPr>
            </w:pPr>
          </w:p>
          <w:p>
            <w:pPr>
              <w:jc w:val="center"/>
              <w:rPr>
                <w:rFonts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7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9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56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Times New Roman" w:hAnsi="Times New Roman" w:eastAsia="仿宋_GB2312" w:cs="Times New Roman"/>
                <w:color w:val="000000"/>
                <w:kern w:val="0"/>
                <w:szCs w:val="21"/>
              </w:rPr>
              <w:t>新田县发展和改革局</w:t>
            </w: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2508"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56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945"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56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45"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508"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rPr>
          <w:gridAfter w:val="1"/>
          <w:wAfter w:w="108" w:type="dxa"/>
          <w:trHeight w:val="450" w:hRule="atLeast"/>
        </w:trPr>
        <w:tc>
          <w:tcPr>
            <w:tcW w:w="2508"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979.69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979.69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r>
      <w:tr>
        <w:tblPrEx>
          <w:tblCellMar>
            <w:top w:w="0" w:type="dxa"/>
            <w:left w:w="0" w:type="dxa"/>
            <w:bottom w:w="0" w:type="dxa"/>
            <w:right w:w="0" w:type="dxa"/>
          </w:tblCellMar>
        </w:tblPrEx>
        <w:trPr>
          <w:gridAfter w:val="1"/>
          <w:wAfter w:w="108" w:type="dxa"/>
          <w:trHeight w:val="450" w:hRule="atLeast"/>
        </w:trPr>
        <w:tc>
          <w:tcPr>
            <w:tcW w:w="56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201</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一般公共服务支出</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 w:val="24"/>
                <w:szCs w:val="24"/>
              </w:rPr>
            </w:pPr>
            <w:r>
              <w:rPr>
                <w:rFonts w:hint="eastAsia"/>
              </w:rPr>
              <w:t>979.69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 w:val="24"/>
                <w:szCs w:val="24"/>
              </w:rPr>
            </w:pPr>
            <w:r>
              <w:rPr>
                <w:rFonts w:hint="eastAsia"/>
              </w:rPr>
              <w:t>979.69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r>
      <w:tr>
        <w:tblPrEx>
          <w:tblCellMar>
            <w:top w:w="0" w:type="dxa"/>
            <w:left w:w="0" w:type="dxa"/>
            <w:bottom w:w="0" w:type="dxa"/>
            <w:right w:w="0" w:type="dxa"/>
          </w:tblCellMar>
        </w:tblPrEx>
        <w:trPr>
          <w:gridAfter w:val="1"/>
          <w:wAfter w:w="108" w:type="dxa"/>
          <w:trHeight w:val="450" w:hRule="atLeast"/>
        </w:trPr>
        <w:tc>
          <w:tcPr>
            <w:tcW w:w="56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20104</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发展与改革事务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 w:val="24"/>
                <w:szCs w:val="24"/>
              </w:rPr>
            </w:pPr>
            <w:r>
              <w:rPr>
                <w:rFonts w:hint="eastAsia"/>
              </w:rPr>
              <w:t>979.69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cs="宋体"/>
                <w:sz w:val="24"/>
                <w:szCs w:val="24"/>
              </w:rPr>
            </w:pPr>
            <w:r>
              <w:rPr>
                <w:rFonts w:hint="eastAsia"/>
              </w:rPr>
              <w:t>979.69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r>
      <w:tr>
        <w:tblPrEx>
          <w:tblCellMar>
            <w:top w:w="0" w:type="dxa"/>
            <w:left w:w="0" w:type="dxa"/>
            <w:bottom w:w="0" w:type="dxa"/>
            <w:right w:w="0" w:type="dxa"/>
          </w:tblCellMar>
        </w:tblPrEx>
        <w:trPr>
          <w:gridAfter w:val="1"/>
          <w:wAfter w:w="108" w:type="dxa"/>
          <w:trHeight w:val="450" w:hRule="atLeast"/>
        </w:trPr>
        <w:tc>
          <w:tcPr>
            <w:tcW w:w="56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2010401</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行政运行</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558.6</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558.6</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r>
      <w:tr>
        <w:tblPrEx>
          <w:tblCellMar>
            <w:top w:w="0" w:type="dxa"/>
            <w:left w:w="0" w:type="dxa"/>
            <w:bottom w:w="0" w:type="dxa"/>
            <w:right w:w="0" w:type="dxa"/>
          </w:tblCellMar>
        </w:tblPrEx>
        <w:trPr>
          <w:gridAfter w:val="1"/>
          <w:wAfter w:w="108" w:type="dxa"/>
          <w:trHeight w:val="450" w:hRule="atLeast"/>
        </w:trPr>
        <w:tc>
          <w:tcPr>
            <w:tcW w:w="56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cs="宋体"/>
                <w:sz w:val="24"/>
                <w:szCs w:val="24"/>
              </w:rPr>
            </w:pPr>
            <w:r>
              <w:rPr>
                <w:rFonts w:hint="eastAsia"/>
              </w:rPr>
              <w:t>2010402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一般行政管理事务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421.09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421.09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0</w:t>
            </w:r>
          </w:p>
        </w:tc>
      </w:tr>
      <w:tr>
        <w:tblPrEx>
          <w:tblCellMar>
            <w:top w:w="0" w:type="dxa"/>
            <w:left w:w="0" w:type="dxa"/>
            <w:bottom w:w="0" w:type="dxa"/>
            <w:right w:w="0" w:type="dxa"/>
          </w:tblCellMar>
        </w:tblPrEx>
        <w:trPr>
          <w:gridAfter w:val="1"/>
          <w:wAfter w:w="108" w:type="dxa"/>
          <w:trHeight w:val="450" w:hRule="atLeast"/>
        </w:trPr>
        <w:tc>
          <w:tcPr>
            <w:tcW w:w="56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56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615" w:hRule="atLeast"/>
        </w:trPr>
        <w:tc>
          <w:tcPr>
            <w:tcW w:w="15392"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新田县发展和改革局</w:t>
            </w:r>
          </w:p>
        </w:tc>
        <w:tc>
          <w:tcPr>
            <w:tcW w:w="240" w:type="dxa"/>
            <w:tcBorders>
              <w:top w:val="nil"/>
              <w:left w:val="nil"/>
              <w:bottom w:val="nil"/>
              <w:right w:val="nil"/>
            </w:tcBorders>
            <w:shd w:val="clear" w:color="000000" w:fill="FFFFFF"/>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1218.28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558.6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659.68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0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rPr>
              <w:t>201</w:t>
            </w:r>
          </w:p>
        </w:tc>
        <w:tc>
          <w:tcPr>
            <w:tcW w:w="1481"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一般公共服务支出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1218.28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558.6</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659.68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rPr>
              <w:t>20104</w:t>
            </w:r>
          </w:p>
        </w:tc>
        <w:tc>
          <w:tcPr>
            <w:tcW w:w="1481"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发展与改革事务</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1218.28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558.6</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659.68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rPr>
              <w:t>2010401</w:t>
            </w:r>
          </w:p>
        </w:tc>
        <w:tc>
          <w:tcPr>
            <w:tcW w:w="1481"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rPr>
              <w:t>行政运行</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558.6</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558.6</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4"/>
                <w:szCs w:val="24"/>
              </w:rPr>
            </w:pPr>
            <w:r>
              <w:rPr>
                <w:rFonts w:hint="eastAsia"/>
              </w:rPr>
              <w:t>2010402</w:t>
            </w:r>
          </w:p>
        </w:tc>
        <w:tc>
          <w:tcPr>
            <w:tcW w:w="1481"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sz w:val="24"/>
                <w:szCs w:val="24"/>
              </w:rPr>
            </w:pPr>
            <w:r>
              <w:rPr>
                <w:rFonts w:hint="eastAsia"/>
              </w:rPr>
              <w:t>一般行政管理事务</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659.68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659.68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21"/>
        </w:rPr>
      </w:pPr>
    </w:p>
    <w:tbl>
      <w:tblPr>
        <w:tblStyle w:val="7"/>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新田县发展和改革局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979.69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1218.28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1218.28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979.69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1218.28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1218.28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238.59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238.59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1218.28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1218.28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1218.28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kern w:val="0"/>
                <w:sz w:val="22"/>
              </w:rPr>
              <w:t>0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kern w:val="0"/>
                <w:sz w:val="22"/>
              </w:rPr>
              <w:t>0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新田县发展和改革局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1218.28</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558.6</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659.68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201</w:t>
            </w:r>
          </w:p>
        </w:tc>
        <w:tc>
          <w:tcPr>
            <w:tcW w:w="352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1218.28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558.6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659.68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20104</w:t>
            </w:r>
          </w:p>
        </w:tc>
        <w:tc>
          <w:tcPr>
            <w:tcW w:w="352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发展与改革事务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1218.28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558.6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659.68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2010401</w:t>
            </w:r>
          </w:p>
        </w:tc>
        <w:tc>
          <w:tcPr>
            <w:tcW w:w="352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558.6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558.6</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2010402</w:t>
            </w:r>
          </w:p>
        </w:tc>
        <w:tc>
          <w:tcPr>
            <w:tcW w:w="352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kern w:val="0"/>
                <w:szCs w:val="21"/>
              </w:rPr>
            </w:pPr>
            <w:r>
              <w:rPr>
                <w:rFonts w:hint="eastAsia"/>
              </w:rPr>
              <w:t>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659.68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659.68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fixed"/>
        <w:tblCellMar>
          <w:top w:w="0" w:type="dxa"/>
          <w:left w:w="108" w:type="dxa"/>
          <w:bottom w:w="0" w:type="dxa"/>
          <w:right w:w="108" w:type="dxa"/>
        </w:tblCellMar>
      </w:tblPr>
      <w:tblGrid>
        <w:gridCol w:w="991"/>
        <w:gridCol w:w="240"/>
        <w:gridCol w:w="94"/>
        <w:gridCol w:w="1291"/>
        <w:gridCol w:w="2031"/>
        <w:gridCol w:w="77"/>
        <w:gridCol w:w="1022"/>
        <w:gridCol w:w="944"/>
        <w:gridCol w:w="306"/>
        <w:gridCol w:w="1979"/>
        <w:gridCol w:w="112"/>
        <w:gridCol w:w="874"/>
        <w:gridCol w:w="864"/>
        <w:gridCol w:w="356"/>
        <w:gridCol w:w="2091"/>
        <w:gridCol w:w="1701"/>
        <w:gridCol w:w="390"/>
        <w:gridCol w:w="251"/>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新田县发展和改革局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2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宋体" w:hAnsi="宋体" w:eastAsia="宋体" w:cs="宋体"/>
                <w:color w:val="000000"/>
                <w:kern w:val="0"/>
                <w:szCs w:val="20"/>
              </w:rPr>
            </w:pPr>
            <w:r>
              <w:rPr>
                <w:rFonts w:hint="eastAsia" w:ascii="宋体" w:hAnsi="宋体" w:eastAsia="宋体" w:cs="宋体"/>
                <w:color w:val="000000"/>
                <w:kern w:val="0"/>
                <w:szCs w:val="20"/>
              </w:rPr>
              <w:t>464.09</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55.56</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49.31</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0.25</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92.49</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12.03</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97.03</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0.1</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25.91</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48.3</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2.77</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24.5</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4.78</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9.7</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33.78</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87.9</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38.94</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4.49</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17.85</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13.75</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0.06</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12.95</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1.34</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0.33</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7.27</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2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2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8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11.2</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4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4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503.04</w:t>
            </w:r>
          </w:p>
        </w:tc>
        <w:tc>
          <w:tcPr>
            <w:tcW w:w="9227"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公用经费合计55.56</w:t>
            </w:r>
          </w:p>
        </w:tc>
        <w:tc>
          <w:tcPr>
            <w:tcW w:w="64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CellMar>
            <w:top w:w="0" w:type="dxa"/>
            <w:left w:w="108" w:type="dxa"/>
            <w:bottom w:w="0" w:type="dxa"/>
            <w:right w:w="108" w:type="dxa"/>
          </w:tblCellMar>
        </w:tblPrEx>
        <w:trPr>
          <w:gridAfter w:val="1"/>
          <w:wAfter w:w="251" w:type="dxa"/>
          <w:trHeight w:val="690" w:hRule="atLeast"/>
        </w:trPr>
        <w:tc>
          <w:tcPr>
            <w:tcW w:w="15363" w:type="dxa"/>
            <w:gridSpan w:val="17"/>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108" w:type="dxa"/>
            <w:bottom w:w="0" w:type="dxa"/>
            <w:right w:w="108" w:type="dxa"/>
          </w:tblCellMar>
        </w:tblPrEx>
        <w:trPr>
          <w:gridAfter w:val="1"/>
          <w:wAfter w:w="251" w:type="dxa"/>
          <w:trHeight w:val="345" w:hRule="atLeast"/>
        </w:trPr>
        <w:tc>
          <w:tcPr>
            <w:tcW w:w="99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40"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1385" w:type="dxa"/>
            <w:gridSpan w:val="2"/>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108"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272"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4"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1"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rPr>
          <w:gridAfter w:val="1"/>
          <w:wAfter w:w="251" w:type="dxa"/>
          <w:trHeight w:val="690" w:hRule="atLeast"/>
        </w:trPr>
        <w:tc>
          <w:tcPr>
            <w:tcW w:w="991" w:type="dxa"/>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新田县发展和改革局</w:t>
            </w:r>
            <w:r>
              <w:rPr>
                <w:rFonts w:ascii="Times New Roman" w:hAnsi="Times New Roman" w:eastAsia="仿宋_GB2312" w:cs="Times New Roman"/>
                <w:color w:val="000000"/>
                <w:kern w:val="0"/>
                <w:szCs w:val="21"/>
              </w:rPr>
              <w:t xml:space="preserve"> </w:t>
            </w:r>
          </w:p>
        </w:tc>
        <w:tc>
          <w:tcPr>
            <w:tcW w:w="240"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1385" w:type="dxa"/>
            <w:gridSpan w:val="2"/>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108"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272"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4"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1"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251" w:type="dxa"/>
          <w:trHeight w:val="459" w:hRule="atLeast"/>
        </w:trPr>
        <w:tc>
          <w:tcPr>
            <w:tcW w:w="26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Style w:val="14"/>
                <w:rFonts w:hint="default"/>
              </w:rPr>
              <w:t xml:space="preserve">   </w:t>
            </w:r>
            <w:r>
              <w:rPr>
                <w:rStyle w:val="15"/>
                <w:rFonts w:hint="default"/>
              </w:rPr>
              <w:t>目</w:t>
            </w:r>
          </w:p>
        </w:tc>
        <w:tc>
          <w:tcPr>
            <w:tcW w:w="21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年初结转和结余</w:t>
            </w:r>
          </w:p>
        </w:tc>
        <w:tc>
          <w:tcPr>
            <w:tcW w:w="22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本年收入</w:t>
            </w:r>
          </w:p>
        </w:tc>
        <w:tc>
          <w:tcPr>
            <w:tcW w:w="62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c>
          <w:tcPr>
            <w:tcW w:w="20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年末结转和结余</w:t>
            </w:r>
          </w:p>
        </w:tc>
      </w:tr>
      <w:tr>
        <w:tblPrEx>
          <w:tblCellMar>
            <w:top w:w="0" w:type="dxa"/>
            <w:left w:w="108" w:type="dxa"/>
            <w:bottom w:w="0" w:type="dxa"/>
            <w:right w:w="108" w:type="dxa"/>
          </w:tblCellMar>
        </w:tblPrEx>
        <w:trPr>
          <w:gridAfter w:val="1"/>
          <w:wAfter w:w="251" w:type="dxa"/>
          <w:trHeight w:val="609" w:hRule="atLeast"/>
        </w:trPr>
        <w:tc>
          <w:tcPr>
            <w:tcW w:w="12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13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21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209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409" w:hRule="atLeast"/>
        </w:trPr>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26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r>
      <w:tr>
        <w:tblPrEx>
          <w:tblCellMar>
            <w:top w:w="0" w:type="dxa"/>
            <w:left w:w="108" w:type="dxa"/>
            <w:bottom w:w="0" w:type="dxa"/>
            <w:right w:w="108" w:type="dxa"/>
          </w:tblCellMar>
        </w:tblPrEx>
        <w:trPr>
          <w:gridAfter w:val="1"/>
          <w:wAfter w:w="251" w:type="dxa"/>
          <w:trHeight w:val="509" w:hRule="atLeast"/>
        </w:trPr>
        <w:tc>
          <w:tcPr>
            <w:tcW w:w="26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2747"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r>
              <w:rPr>
                <w:rFonts w:hint="eastAsia" w:ascii="楷体" w:hAnsi="楷体" w:eastAsia="楷体" w:cs="楷体"/>
                <w:b/>
                <w:bCs/>
                <w:kern w:val="0"/>
                <w:sz w:val="24"/>
                <w:szCs w:val="24"/>
              </w:rPr>
              <w:t>我单位没有政府性基金收入，也没有使用政府性基金安排的支出，故本表无数据。</w:t>
            </w:r>
          </w:p>
        </w:tc>
      </w:tr>
      <w:tr>
        <w:tblPrEx>
          <w:tblCellMar>
            <w:top w:w="0" w:type="dxa"/>
            <w:left w:w="108" w:type="dxa"/>
            <w:bottom w:w="0" w:type="dxa"/>
            <w:right w:w="108" w:type="dxa"/>
          </w:tblCellMar>
        </w:tblPrEx>
        <w:trPr>
          <w:gridAfter w:val="1"/>
          <w:wAfter w:w="251" w:type="dxa"/>
          <w:trHeight w:val="509" w:hRule="atLeast"/>
        </w:trPr>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509" w:hRule="atLeast"/>
        </w:trPr>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51" w:type="dxa"/>
          <w:trHeight w:val="725" w:hRule="atLeast"/>
        </w:trPr>
        <w:tc>
          <w:tcPr>
            <w:tcW w:w="15363" w:type="dxa"/>
            <w:gridSpan w:val="17"/>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说明：我单位没有政府性基金收入，也没有使用政府性基金安排的支出，故本表无数据。（当表格数据为空时，应有此说明）</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tbl>
      <w:tblPr>
        <w:tblStyle w:val="7"/>
        <w:tblW w:w="15120" w:type="dxa"/>
        <w:tblInd w:w="93" w:type="dxa"/>
        <w:tblLayout w:type="autofit"/>
        <w:tblCellMar>
          <w:top w:w="0" w:type="dxa"/>
          <w:left w:w="108" w:type="dxa"/>
          <w:bottom w:w="0" w:type="dxa"/>
          <w:right w:w="108" w:type="dxa"/>
        </w:tblCellMar>
      </w:tblPr>
      <w:tblGrid>
        <w:gridCol w:w="2706"/>
        <w:gridCol w:w="639"/>
        <w:gridCol w:w="2087"/>
        <w:gridCol w:w="2948"/>
        <w:gridCol w:w="2948"/>
        <w:gridCol w:w="3792"/>
      </w:tblGrid>
      <w:tr>
        <w:tblPrEx>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0" w:type="dxa"/>
            <w:left w:w="108" w:type="dxa"/>
            <w:bottom w:w="0" w:type="dxa"/>
            <w:right w:w="108" w:type="dxa"/>
          </w:tblCellMar>
        </w:tblPrEx>
        <w:trPr>
          <w:trHeight w:val="417" w:hRule="atLeast"/>
        </w:trPr>
        <w:tc>
          <w:tcPr>
            <w:tcW w:w="2706"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639"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087"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948"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948"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新田县发展和改革局</w:t>
            </w:r>
          </w:p>
        </w:tc>
        <w:tc>
          <w:tcPr>
            <w:tcW w:w="639"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087"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948"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948"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48" w:hRule="atLeast"/>
        </w:trPr>
        <w:tc>
          <w:tcPr>
            <w:tcW w:w="5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9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r>
      <w:tr>
        <w:tblPrEx>
          <w:tblCellMar>
            <w:top w:w="0" w:type="dxa"/>
            <w:left w:w="108" w:type="dxa"/>
            <w:bottom w:w="0" w:type="dxa"/>
            <w:right w:w="108" w:type="dxa"/>
          </w:tblCellMar>
        </w:tblPrEx>
        <w:trPr>
          <w:trHeight w:val="548" w:hRule="atLeast"/>
        </w:trPr>
        <w:tc>
          <w:tcPr>
            <w:tcW w:w="33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2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3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r>
      <w:tr>
        <w:tblPrEx>
          <w:tblCellMar>
            <w:top w:w="0" w:type="dxa"/>
            <w:left w:w="108" w:type="dxa"/>
            <w:bottom w:w="0" w:type="dxa"/>
            <w:right w:w="108" w:type="dxa"/>
          </w:tblCellMar>
        </w:tblPrEx>
        <w:trPr>
          <w:trHeight w:val="548" w:hRule="atLeast"/>
        </w:trPr>
        <w:tc>
          <w:tcPr>
            <w:tcW w:w="33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33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5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48" w:hRule="atLeast"/>
        </w:trPr>
        <w:tc>
          <w:tcPr>
            <w:tcW w:w="5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7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r>
              <w:rPr>
                <w:rFonts w:hint="eastAsia" w:ascii="楷体" w:hAnsi="楷体" w:eastAsia="楷体" w:cs="楷体"/>
                <w:b/>
                <w:bCs/>
                <w:kern w:val="0"/>
                <w:sz w:val="24"/>
                <w:szCs w:val="24"/>
              </w:rPr>
              <w:t>我单位没有使用国有资本经营预算安排的支出，故本表无数据。</w:t>
            </w:r>
          </w:p>
        </w:tc>
      </w:tr>
      <w:tr>
        <w:tblPrEx>
          <w:tblCellMar>
            <w:top w:w="0" w:type="dxa"/>
            <w:left w:w="108" w:type="dxa"/>
            <w:bottom w:w="0" w:type="dxa"/>
            <w:right w:w="108" w:type="dxa"/>
          </w:tblCellMar>
        </w:tblPrEx>
        <w:trPr>
          <w:trHeight w:val="548" w:hRule="atLeast"/>
        </w:trPr>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7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说明：我单位没有使用国有资本经营预算安排的支出，故本表无数据。（当表格数据为空时，应有此说明）</w:t>
            </w:r>
          </w:p>
        </w:tc>
      </w:tr>
    </w:tbl>
    <w:p>
      <w:pPr>
        <w:widowControl/>
        <w:jc w:val="center"/>
        <w:rPr>
          <w:rFonts w:ascii="Times New Roman" w:hAnsi="Times New Roman" w:eastAsia="方正小标宋_GBK" w:cs="Times New Roman"/>
          <w:color w:val="000000"/>
          <w:kern w:val="0"/>
          <w:sz w:val="36"/>
          <w:szCs w:val="36"/>
        </w:rPr>
      </w:pPr>
    </w:p>
    <w:tbl>
      <w:tblPr>
        <w:tblStyle w:val="7"/>
        <w:tblW w:w="15140" w:type="dxa"/>
        <w:tblInd w:w="93" w:type="dxa"/>
        <w:tblLayout w:type="autofit"/>
        <w:tblCellMar>
          <w:top w:w="0" w:type="dxa"/>
          <w:left w:w="108" w:type="dxa"/>
          <w:bottom w:w="0" w:type="dxa"/>
          <w:right w:w="108" w:type="dxa"/>
        </w:tblCellMar>
      </w:tblPr>
      <w:tblGrid>
        <w:gridCol w:w="2706"/>
        <w:gridCol w:w="1169"/>
        <w:gridCol w:w="1117"/>
        <w:gridCol w:w="1065"/>
        <w:gridCol w:w="1118"/>
        <w:gridCol w:w="1118"/>
        <w:gridCol w:w="1118"/>
        <w:gridCol w:w="1170"/>
        <w:gridCol w:w="1118"/>
        <w:gridCol w:w="1066"/>
        <w:gridCol w:w="1118"/>
        <w:gridCol w:w="1257"/>
      </w:tblGrid>
      <w:tr>
        <w:tblPrEx>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新田县发展和改革局</w:t>
            </w:r>
            <w:r>
              <w:rPr>
                <w:rFonts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14.95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3.15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3.15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11.8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6.08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1.34</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4.74</w:t>
            </w:r>
          </w:p>
        </w:tc>
      </w:tr>
      <w:tr>
        <w:tblPrEx>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hint="eastAsia" w:ascii="宋体" w:eastAsia="宋体" w:cs="宋体"/>
          <w:kern w:val="0"/>
          <w:sz w:val="24"/>
          <w:szCs w:val="24"/>
        </w:rPr>
      </w:pPr>
    </w:p>
    <w:p>
      <w:pPr>
        <w:autoSpaceDE w:val="0"/>
        <w:autoSpaceDN w:val="0"/>
        <w:adjustRightInd w:val="0"/>
        <w:ind w:left="315" w:leftChars="150"/>
        <w:jc w:val="left"/>
        <w:rPr>
          <w:rFonts w:hint="eastAsia" w:ascii="宋体" w:eastAsia="宋体" w:cs="宋体"/>
          <w:kern w:val="0"/>
          <w:sz w:val="24"/>
          <w:szCs w:val="24"/>
        </w:rPr>
      </w:pPr>
    </w:p>
    <w:p>
      <w:pPr>
        <w:autoSpaceDE w:val="0"/>
        <w:autoSpaceDN w:val="0"/>
        <w:adjustRightInd w:val="0"/>
        <w:ind w:left="315" w:leftChars="150"/>
        <w:jc w:val="left"/>
        <w:rPr>
          <w:rFonts w:hint="eastAsia" w:ascii="宋体" w:eastAsia="宋体" w:cs="宋体"/>
          <w:kern w:val="0"/>
          <w:sz w:val="24"/>
          <w:szCs w:val="24"/>
        </w:rPr>
      </w:pPr>
    </w:p>
    <w:p>
      <w:pPr>
        <w:autoSpaceDE w:val="0"/>
        <w:autoSpaceDN w:val="0"/>
        <w:adjustRightInd w:val="0"/>
        <w:ind w:left="315" w:leftChars="150"/>
        <w:jc w:val="left"/>
        <w:rPr>
          <w:rFonts w:hint="eastAsia" w:ascii="宋体" w:eastAsia="宋体" w:cs="宋体"/>
          <w:kern w:val="0"/>
          <w:sz w:val="24"/>
          <w:szCs w:val="24"/>
        </w:rPr>
      </w:pPr>
    </w:p>
    <w:p>
      <w:pPr>
        <w:autoSpaceDE w:val="0"/>
        <w:autoSpaceDN w:val="0"/>
        <w:adjustRightInd w:val="0"/>
        <w:ind w:left="315" w:leftChars="150"/>
        <w:jc w:val="left"/>
        <w:rPr>
          <w:rFonts w:hint="eastAsia" w:ascii="宋体" w:eastAsia="宋体" w:cs="宋体"/>
          <w:kern w:val="0"/>
          <w:sz w:val="24"/>
          <w:szCs w:val="24"/>
        </w:rPr>
      </w:pPr>
    </w:p>
    <w:p>
      <w:pPr>
        <w:widowControl/>
        <w:rPr>
          <w:rFonts w:hint="eastAsia"/>
          <w:sz w:val="72"/>
          <w:szCs w:val="72"/>
        </w:rPr>
        <w:sectPr>
          <w:pgSz w:w="16838" w:h="11906" w:orient="landscape"/>
          <w:pgMar w:top="720" w:right="720" w:bottom="720" w:left="720" w:header="851" w:footer="992" w:gutter="0"/>
          <w:cols w:space="425" w:num="1"/>
          <w:docGrid w:type="lines" w:linePitch="312" w:charSpace="0"/>
        </w:sectPr>
      </w:pPr>
    </w:p>
    <w:p>
      <w:pPr>
        <w:pStyle w:val="11"/>
        <w:rPr>
          <w:rFonts w:hint="eastAsia"/>
          <w:b/>
          <w:bCs/>
          <w:sz w:val="32"/>
          <w:szCs w:val="32"/>
        </w:rPr>
      </w:pPr>
      <w:r>
        <w:rPr>
          <w:rFonts w:hint="eastAsia"/>
          <w:b/>
          <w:bCs/>
          <w:sz w:val="32"/>
          <w:szCs w:val="32"/>
        </w:rPr>
        <w:t>第三部分 2022年度部门决算情况说明</w:t>
      </w:r>
    </w:p>
    <w:p>
      <w:pPr>
        <w:pStyle w:val="11"/>
        <w:spacing w:line="600" w:lineRule="exact"/>
        <w:rPr>
          <w:rFonts w:hAnsi="黑体"/>
          <w:bCs/>
          <w:sz w:val="32"/>
          <w:szCs w:val="32"/>
        </w:rPr>
      </w:pPr>
      <w:r>
        <w:rPr>
          <w:rFonts w:hint="eastAsia" w:hAnsi="黑体"/>
          <w:bCs/>
          <w:sz w:val="32"/>
          <w:szCs w:val="32"/>
        </w:rPr>
        <w:t>一、收入支出决算总体情况说明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2022年度收、支总计1218.28万元。与上年相比，增加209.98万元，增长21%，主要是因为一些需要拨付到企业的中央预算内资金均由财政划拨至我单位，以及全县30个产业项目建设指挥部工作经费均由我单位代为管理。</w:t>
      </w:r>
    </w:p>
    <w:p>
      <w:pPr>
        <w:pStyle w:val="11"/>
        <w:spacing w:line="600" w:lineRule="exact"/>
        <w:ind w:firstLine="640" w:firstLineChars="200"/>
        <w:rPr>
          <w:rFonts w:hAnsi="黑体"/>
          <w:bCs/>
          <w:sz w:val="32"/>
          <w:szCs w:val="32"/>
        </w:rPr>
      </w:pPr>
      <w:r>
        <w:rPr>
          <w:rFonts w:hint="eastAsia" w:hAnsi="黑体"/>
          <w:bCs/>
          <w:sz w:val="32"/>
          <w:szCs w:val="32"/>
        </w:rPr>
        <w:t>二、收入决算情况说明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2022年度收入合计979.69万元，其中：财政拨款收入979.69万元，占100%；上级补助收入0万元，占0%；事业收入0万元，占0%；经营收入0万元，占0%；附属单位上缴收入0万元，占0%；其他收入0万元，占0%。</w:t>
      </w:r>
    </w:p>
    <w:p>
      <w:pPr>
        <w:pStyle w:val="11"/>
        <w:spacing w:line="600" w:lineRule="exact"/>
        <w:ind w:firstLine="640" w:firstLineChars="200"/>
        <w:rPr>
          <w:rFonts w:hAnsi="黑体"/>
          <w:bCs/>
          <w:sz w:val="32"/>
          <w:szCs w:val="32"/>
        </w:rPr>
      </w:pPr>
      <w:r>
        <w:rPr>
          <w:rFonts w:hint="eastAsia" w:hAnsi="黑体"/>
          <w:bCs/>
          <w:sz w:val="32"/>
          <w:szCs w:val="32"/>
        </w:rPr>
        <w:t>三、支出决算情况说明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2022年度支出合计1218.28万元，其中：基本支出558.6万元，占46%；项目支出659.68万元，占54%；上缴上级支出0万元，占0%；经营支出0万元，占0%；对附属单位补助支出0万元，占0%。</w:t>
      </w:r>
    </w:p>
    <w:p>
      <w:pPr>
        <w:pStyle w:val="11"/>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11"/>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2022年度财政拨款收、支总计1218.28万元，与上年相比，增加209.98万元，增长21%，主要是因为一些需要拨付到企业的中央预算内资金均由财政划拨至我单位，以及全县30个产业项目建设指挥部工作经费均由我单位代为管理。</w:t>
      </w:r>
    </w:p>
    <w:p>
      <w:pPr>
        <w:pStyle w:val="11"/>
        <w:spacing w:line="600" w:lineRule="exact"/>
        <w:ind w:firstLine="640" w:firstLineChars="200"/>
        <w:rPr>
          <w:rFonts w:hAnsi="黑体"/>
          <w:bCs/>
          <w:sz w:val="32"/>
          <w:szCs w:val="32"/>
        </w:rPr>
      </w:pPr>
      <w:r>
        <w:rPr>
          <w:rFonts w:hint="eastAsia" w:hAnsi="黑体"/>
          <w:bCs/>
          <w:sz w:val="32"/>
          <w:szCs w:val="32"/>
        </w:rPr>
        <w:t>五、一般公共预算财政拨款支出决算情况说明</w:t>
      </w:r>
    </w:p>
    <w:p>
      <w:pPr>
        <w:pStyle w:val="11"/>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2022年度财政拨款支出1218.28万元，占本年支出合计的100%，与上年相比，财政拨款支出增加209.98万元，增长21%，主要是因为支付给产业项目指挥部的经费增加以及拨付企业的项目资金增加。</w:t>
      </w:r>
    </w:p>
    <w:p>
      <w:pPr>
        <w:pStyle w:val="11"/>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2022年度财政拨款支出1218.28万元，主要用于以下方面：一般公共服务（类）支出1218.28万元，占100%。</w:t>
      </w:r>
    </w:p>
    <w:p>
      <w:pPr>
        <w:pStyle w:val="11"/>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2022年度财政拨款支出年初预算数为1849.24万元，支出决算数为1218.28万元，完成年初预算的66%，其中：</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1、一般公共服务（类）发展与改革事务行政运行（项）。</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年初预算为523.53万元，支出决算为558.6万元，完成年初预算的106%，决算数大于年初预算数的主要原因是：人员经费中工资福利支出增加。</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2、一般公共服务（类）发展与改革事务（款）一般行政管理事务（项）。</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color w:val="auto"/>
          <w:sz w:val="32"/>
          <w:szCs w:val="32"/>
        </w:rPr>
        <w:t>年初预算为85万元，支出决算为421.09万元，完成年初预算的490%，</w:t>
      </w:r>
      <w:r>
        <w:rPr>
          <w:rFonts w:hint="eastAsia" w:ascii="Times New Roman" w:hAnsi="Times New Roman" w:eastAsia="仿宋_GB2312"/>
          <w:sz w:val="32"/>
          <w:szCs w:val="32"/>
        </w:rPr>
        <w:t>决算数大于年初预算数的主要原因是：年初预算时一些开支未归类至一般行政管理事务中。</w:t>
      </w:r>
    </w:p>
    <w:p>
      <w:pPr>
        <w:pStyle w:val="11"/>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2022年度财政拨款基本支出558.6万元，其中：</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503.04万元，占基本支出的90%,主要包括基本工资、津贴补贴、奖金、伙食补助费、社会保障缴费、生活补助、抚恤金等。</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55.56万元，占基本支出的10%，主要包括办公费、印刷费、咨询费、手续费、接待费、工会费等。</w:t>
      </w:r>
    </w:p>
    <w:p>
      <w:pPr>
        <w:pStyle w:val="11"/>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11"/>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“三公”经费财政拨款支出预算为14.95万元，支出决算为6.08万元，完成预算的41%，其中：</w:t>
      </w:r>
    </w:p>
    <w:p>
      <w:pPr>
        <w:pStyle w:val="11"/>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万元，因预算数为0，无法计算预算完成百分比。决算数与预算数一致，与上年相比持平，原因是上年及本年均无因公出国（境）支出。</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11.8万元，支出决算为4.74万元，完成预算的40%，决算数小于预算数的主要原因是我单位厉行节约，严格控制三公经费开支，且小部分接待费因单位年底经费紧张未及时报账。与上年相比减少9.12万元，减少60%,减少的主要原因是我单位厉行节约，严格控制三公经费开支，且小部分接待费因单位年底经费紧张未及时报账。</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公务用车购置费支出预算为0万元，支出决算为0万元，因预算数为0，无法计算预算完成百分比。决算数与预算数一致，与上年相比持平，原因是上年及本年均无公务用车购置费支出。</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3.15万元，支出决算为1.34万元，完成预算的43%，决算数小于预算数的主要原因是因单位经费紧张，维修费未及时报账，与上年相比减少1.81万元，减少57%,减少（增长）的主要原因是单位经费紧张，维修费未及时报账。</w:t>
      </w:r>
    </w:p>
    <w:p>
      <w:pPr>
        <w:pStyle w:val="11"/>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2022年度“三公”经费财政拨款支出决算中，公务接待费支出决算4.74万元，占78%,因公出国（境）费支出决算0万元，占0%,公务用车购置费及运行维护费支出决算1.34万元，占22%。其中：</w:t>
      </w:r>
    </w:p>
    <w:p>
      <w:pPr>
        <w:pStyle w:val="11"/>
        <w:spacing w:line="600" w:lineRule="exact"/>
        <w:ind w:firstLine="800" w:firstLineChars="250"/>
        <w:rPr>
          <w:rFonts w:ascii="楷体" w:hAnsi="楷体" w:eastAsia="楷体"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r>
        <w:rPr>
          <w:rFonts w:hint="eastAsia" w:ascii="楷体" w:hAnsi="楷体" w:eastAsia="楷体" w:cs="楷体"/>
          <w:b/>
          <w:bCs/>
          <w:i/>
          <w:color w:val="auto"/>
          <w:sz w:val="32"/>
          <w:szCs w:val="32"/>
        </w:rPr>
        <w:t>；</w:t>
      </w:r>
    </w:p>
    <w:p>
      <w:pPr>
        <w:pStyle w:val="11"/>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2、公务接待费支出决算为4.74万元，全年共接待来访团组147个、来宾1180人次，主要是县市相关单位交流衔接、省市领导检查调研发生的接待支出。</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1.34万元，其中：公务用车购置费0万元，公务用车运行维护费1.34万元，主要是公车燃油费及修理费支出，截止2022年12月31日，我单位开支财政拨款的公务用车保有量为1辆。</w:t>
      </w:r>
    </w:p>
    <w:p>
      <w:pPr>
        <w:pStyle w:val="11"/>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11"/>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2022年度政府性基金预算财政拨款收入0万元；年初结转和结余0万元；支出0万元，其中基本支出0万元，项目支出0万元；年末结转和结余0万元。具体情况如下：（本单位无政府性基金收支）</w:t>
      </w:r>
    </w:p>
    <w:p>
      <w:pPr>
        <w:pStyle w:val="11"/>
        <w:spacing w:line="60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九、关于机关运行经费支出说明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本部门2022年度机关运行经费支出55.56万元，比上年决算数减少13.64 万元，降低20%。主要原因是：因县财政经费紧张，核减了部分开支。</w:t>
      </w:r>
    </w:p>
    <w:p>
      <w:pPr>
        <w:pStyle w:val="11"/>
        <w:spacing w:line="600" w:lineRule="exact"/>
        <w:ind w:firstLine="640" w:firstLineChars="200"/>
        <w:rPr>
          <w:rFonts w:hAnsi="黑体"/>
          <w:bCs/>
          <w:sz w:val="32"/>
          <w:szCs w:val="32"/>
        </w:rPr>
      </w:pPr>
      <w:r>
        <w:rPr>
          <w:rFonts w:hint="eastAsia" w:hAnsi="黑体"/>
          <w:bCs/>
          <w:sz w:val="32"/>
          <w:szCs w:val="32"/>
        </w:rPr>
        <w:t>十、一般性支出情况说明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2022年本部门开支会议费0万元，人数0人；开支培训费0万元，人数0人；举办节庆、晚会、论坛、赛事活动，开支0万元。</w:t>
      </w:r>
      <w:bookmarkStart w:id="3" w:name="_GoBack"/>
      <w:bookmarkEnd w:id="3"/>
    </w:p>
    <w:p>
      <w:pPr>
        <w:pStyle w:val="11"/>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本部门2022年度政府采购支出总额127.43万元，其中：政府采购货物支出127.43 万元、政府采购工程支出0万元、政府采购服务支出0万元。授予中小企业合同金额57.43万元，占政府采购支出总额的45%，其中：授予小微企业合同金额7.4万元，占政府采购支出总额的6%。货物采购授予中小企业合同金额占货物支出金额的45%，工程采购授予中小企业合同金额占工程支出金额的0%，服务采购授予中小企业合同金额占服务支出金额的0%。</w:t>
      </w:r>
    </w:p>
    <w:p>
      <w:pPr>
        <w:pStyle w:val="11"/>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11"/>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1辆，其中，主要领导干部用车0辆，机要通信用车1辆、应急保障用车0辆、执法执勤用车0辆、特种专业技术用车0辆、其他用车0辆；单位价值50万元以上通用设备0台（套）；单位价值100万元以上专用设备0台（套）。</w:t>
      </w:r>
    </w:p>
    <w:p>
      <w:pPr>
        <w:pStyle w:val="11"/>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1"/>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ind w:firstLine="640" w:firstLineChars="200"/>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我单位绩效管理情况较为理想，达到了年初设定的各项绩效目标。所有资金使用严格按审批程序办理、操作规范，会计核算结果真实、准确，各项支出严格按照各项制度执行。主要绩效表现在如下几个方面：</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1.“一主一特”产业集聚。</w:t>
      </w:r>
      <w:r>
        <w:rPr>
          <w:rFonts w:hint="eastAsia" w:ascii="仿宋_GB2312" w:hAnsi="仿宋_GB2312" w:eastAsia="仿宋_GB2312" w:cs="仿宋_GB2312"/>
          <w:color w:val="000000"/>
          <w:kern w:val="0"/>
          <w:sz w:val="32"/>
          <w:szCs w:val="32"/>
        </w:rPr>
        <w:t>2022年实施的118个重点项目中，实施产业项目47个，占总个数的40.2%；产业开发区内“一主一特”产业企业达84家，占工业企业总数的70.8%。2022年全省第一次“2·18”集中开工签约活动，永州主会场设在新田（湖南鲁丽绿色新材料科技产业园）。</w:t>
      </w:r>
      <w:r>
        <w:rPr>
          <w:rFonts w:hint="eastAsia" w:ascii="仿宋_GB2312" w:hAnsi="仿宋_GB2312" w:eastAsia="仿宋_GB2312" w:cs="仿宋_GB2312"/>
          <w:b/>
          <w:bCs/>
          <w:color w:val="000000"/>
          <w:kern w:val="0"/>
          <w:sz w:val="32"/>
          <w:szCs w:val="32"/>
        </w:rPr>
        <w:t>一方面，做优“新材料、新能源”主导产业。</w:t>
      </w:r>
      <w:r>
        <w:rPr>
          <w:rFonts w:hint="eastAsia" w:ascii="仿宋_GB2312" w:hAnsi="仿宋_GB2312" w:eastAsia="仿宋_GB2312" w:cs="仿宋_GB2312"/>
          <w:color w:val="000000"/>
          <w:kern w:val="0"/>
          <w:sz w:val="32"/>
          <w:szCs w:val="32"/>
        </w:rPr>
        <w:t>形成了以德润产业园、新煜田、晟鑫如泰、普瑞达、和祥润等企业为代表的新材料，镁鑫锂电池、茂家光伏发电、九峰山风力发电、舍子源风力发电等新能源项目，共同构建了我县具有特色的主导产业链，将推动新材料新能源产业链延链、强链，新田“新材料新能源之都”初具雏形。</w:t>
      </w:r>
      <w:r>
        <w:rPr>
          <w:rFonts w:hint="eastAsia" w:ascii="仿宋_GB2312" w:hAnsi="仿宋_GB2312" w:eastAsia="仿宋_GB2312" w:cs="仿宋_GB2312"/>
          <w:b/>
          <w:bCs/>
          <w:color w:val="000000"/>
          <w:kern w:val="0"/>
          <w:sz w:val="32"/>
          <w:szCs w:val="32"/>
        </w:rPr>
        <w:t>另一方面，做强硒锶资源及智能制造传统特色产业。</w:t>
      </w:r>
      <w:r>
        <w:rPr>
          <w:rFonts w:hint="eastAsia" w:ascii="仿宋_GB2312" w:hAnsi="仿宋_GB2312" w:eastAsia="仿宋_GB2312" w:cs="仿宋_GB2312"/>
          <w:color w:val="000000"/>
          <w:kern w:val="0"/>
          <w:sz w:val="32"/>
          <w:szCs w:val="32"/>
        </w:rPr>
        <w:t>形成了以德力重工、龙昶机械等企业为代表的智能制造特色产业，以恒丰米业、达利粮油等企业为代表的富硒农产品深加工产业，以吉星家居、闽新板材等企业为代表的林产工业产业，中国500强企业鲁丽集团落户新田，项目建成后可形成林产品加工为主导产业的全产业链工业体系，带动新田县林工产业产值达百亿以上。</w:t>
      </w:r>
    </w:p>
    <w:p>
      <w:pPr>
        <w:widowControl/>
        <w:spacing w:line="540" w:lineRule="exact"/>
        <w:ind w:firstLine="640"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2.创新机制调度项目。</w:t>
      </w:r>
      <w:r>
        <w:rPr>
          <w:rFonts w:hint="eastAsia" w:ascii="仿宋_GB2312" w:hAnsi="仿宋_GB2312" w:eastAsia="仿宋_GB2312" w:cs="仿宋_GB2312"/>
          <w:b/>
          <w:bCs/>
          <w:color w:val="000000"/>
          <w:kern w:val="0"/>
          <w:sz w:val="32"/>
          <w:szCs w:val="32"/>
        </w:rPr>
        <w:t>实行一周一调度，常态化督查机制。</w:t>
      </w:r>
      <w:r>
        <w:rPr>
          <w:rFonts w:hint="eastAsia" w:ascii="仿宋_GB2312" w:hAnsi="仿宋_GB2312" w:eastAsia="仿宋_GB2312" w:cs="仿宋_GB2312"/>
          <w:color w:val="000000"/>
          <w:kern w:val="0"/>
          <w:sz w:val="32"/>
          <w:szCs w:val="32"/>
        </w:rPr>
        <w:t>对所有的重点项目实行一周一调度，全面督查调度117个重点项目；</w:t>
      </w:r>
      <w:r>
        <w:rPr>
          <w:rFonts w:hint="eastAsia" w:ascii="仿宋_GB2312" w:hAnsi="仿宋_GB2312" w:eastAsia="仿宋_GB2312" w:cs="仿宋_GB2312"/>
          <w:b/>
          <w:bCs/>
          <w:color w:val="000000"/>
          <w:kern w:val="0"/>
          <w:sz w:val="32"/>
          <w:szCs w:val="32"/>
        </w:rPr>
        <w:t>实行“五定”工作方法，限时办结机制，</w:t>
      </w:r>
      <w:r>
        <w:rPr>
          <w:rFonts w:hint="eastAsia" w:ascii="仿宋_GB2312" w:hAnsi="仿宋_GB2312" w:eastAsia="仿宋_GB2312" w:cs="仿宋_GB2312"/>
          <w:color w:val="000000"/>
          <w:kern w:val="0"/>
          <w:sz w:val="32"/>
          <w:szCs w:val="32"/>
        </w:rPr>
        <w:t>对反馈的难点、堵点进行重点督办，保障项目要素，开通项目建设绿色通道，实行特事特办，提高重点项目难题解决效率；</w:t>
      </w:r>
      <w:r>
        <w:rPr>
          <w:rFonts w:hint="eastAsia" w:ascii="仿宋_GB2312" w:hAnsi="仿宋_GB2312" w:eastAsia="仿宋_GB2312" w:cs="仿宋_GB2312"/>
          <w:b/>
          <w:bCs/>
          <w:color w:val="000000"/>
          <w:kern w:val="0"/>
          <w:sz w:val="32"/>
          <w:szCs w:val="32"/>
        </w:rPr>
        <w:t>实行“一平台、八清单”，全周期管理机制。</w:t>
      </w:r>
      <w:r>
        <w:rPr>
          <w:rFonts w:hint="eastAsia" w:ascii="仿宋_GB2312" w:hAnsi="仿宋_GB2312" w:eastAsia="仿宋_GB2312" w:cs="仿宋_GB2312"/>
          <w:color w:val="000000"/>
          <w:kern w:val="0"/>
          <w:sz w:val="32"/>
          <w:szCs w:val="32"/>
        </w:rPr>
        <w:t>对省市重点项目，“用好重点项目视频管理云平台”，强化“项目储备清单、帮代服务清单、用地进展清单、投资进度清单、金融融资清单、用工培训清单、产值纳税清单和问题交办清单”等“八清单”动态跟踪管理制度实现对项目的谋划包装、要素保障、建设推进、竣工投产、后期评价等实行全周期管理。</w:t>
      </w:r>
    </w:p>
    <w:p>
      <w:pPr>
        <w:pStyle w:val="11"/>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pStyle w:val="11"/>
        <w:rPr>
          <w:rFonts w:hint="eastAsia"/>
          <w:sz w:val="72"/>
          <w:szCs w:val="72"/>
        </w:rPr>
      </w:pPr>
      <w:r>
        <w:rPr>
          <w:rFonts w:hint="eastAsia" w:ascii="仿宋" w:hAnsi="仿宋" w:eastAsia="仿宋" w:cs="仿宋"/>
          <w:sz w:val="32"/>
          <w:szCs w:val="32"/>
        </w:rPr>
        <w:t>预算绩效管理工作有待加强。虽然该办开展了预算绩效管理工作，但仍存在一些不足：一是绩效目标编制不规范：目标设立不够明确、细化、量化，使用定性指标较多，数量指标较少；二是部门整体支出绩效自评工作不够全面，绩效自评报告质量质量任有待提高。</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1"/>
        <w:jc w:val="both"/>
        <w:rPr>
          <w:rFonts w:hAnsi="黑体"/>
          <w:b/>
          <w:bCs/>
          <w:sz w:val="32"/>
          <w:szCs w:val="32"/>
        </w:rPr>
      </w:pPr>
      <w:r>
        <w:rPr>
          <w:rFonts w:hint="eastAsia" w:hAnsi="黑体"/>
          <w:b/>
          <w:bCs/>
          <w:sz w:val="32"/>
          <w:szCs w:val="32"/>
        </w:rPr>
        <w:t>第四部分 名词解释</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一、收入科目</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财政拨款收入：指财政当年拨付的资金。</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二、支出科目</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1.基本支出：指为保障机构正常运转、完成日常工作任务而发生的人员支出和公用支出。</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2.项目支出：指在基本支出之外为完成特定行政任务和事业发展目标所发生的支出。</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3.年末结转和结余：指本年度或以前年度预算安排、因客观条件发生变化无法按原计划实施，需延迟到以后年度按有关规定继续使用的资金。</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三、“三公”经费</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四、机关运行经费</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11"/>
        <w:ind w:firstLine="640" w:firstLineChars="200"/>
        <w:jc w:val="both"/>
        <w:rPr>
          <w:rFonts w:hAnsi="黑体"/>
          <w:b/>
          <w:bCs/>
          <w:sz w:val="32"/>
          <w:szCs w:val="32"/>
        </w:rPr>
      </w:pPr>
      <w:r>
        <w:rPr>
          <w:rFonts w:hint="eastAsia" w:hAnsi="黑体"/>
          <w:b/>
          <w:bCs/>
          <w:sz w:val="32"/>
          <w:szCs w:val="32"/>
        </w:rPr>
        <w:t>第五部分 附件</w:t>
      </w:r>
    </w:p>
    <w:p>
      <w:pPr>
        <w:ind w:firstLine="560" w:firstLineChars="200"/>
        <w:jc w:val="center"/>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2022年度部门整体支出绩效评价报告</w:t>
      </w:r>
    </w:p>
    <w:p>
      <w:pPr>
        <w:pStyle w:val="11"/>
        <w:jc w:val="center"/>
        <w:rPr>
          <w:rFonts w:hint="eastAsia"/>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roma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方正小标宋_GBK">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YxZDMyODA1YTRhODQ1ZDg5ZDE2MzZmZjZmNmU5OTk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B70"/>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BE56EE"/>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023D2"/>
    <w:rsid w:val="00F74360"/>
    <w:rsid w:val="00FB462F"/>
    <w:rsid w:val="00FE16FA"/>
    <w:rsid w:val="00FE328A"/>
    <w:rsid w:val="00FE6269"/>
    <w:rsid w:val="00FF5CD6"/>
    <w:rsid w:val="01F928B5"/>
    <w:rsid w:val="031E276F"/>
    <w:rsid w:val="04074FB1"/>
    <w:rsid w:val="09AA26F7"/>
    <w:rsid w:val="0CE378B7"/>
    <w:rsid w:val="0EDA6C48"/>
    <w:rsid w:val="0F0A1DF9"/>
    <w:rsid w:val="100B407B"/>
    <w:rsid w:val="13734411"/>
    <w:rsid w:val="1791636F"/>
    <w:rsid w:val="17C0574B"/>
    <w:rsid w:val="1B696270"/>
    <w:rsid w:val="1C095853"/>
    <w:rsid w:val="1ECC422C"/>
    <w:rsid w:val="1F1F71FB"/>
    <w:rsid w:val="1F4F0EF6"/>
    <w:rsid w:val="25B34174"/>
    <w:rsid w:val="27BF157B"/>
    <w:rsid w:val="290C07F0"/>
    <w:rsid w:val="2A64640A"/>
    <w:rsid w:val="2BC11C08"/>
    <w:rsid w:val="2C620487"/>
    <w:rsid w:val="3071362F"/>
    <w:rsid w:val="31EB0D2A"/>
    <w:rsid w:val="33D15CE8"/>
    <w:rsid w:val="341F0E9E"/>
    <w:rsid w:val="39551D3F"/>
    <w:rsid w:val="3C8D0178"/>
    <w:rsid w:val="3EEF6792"/>
    <w:rsid w:val="3FB377C0"/>
    <w:rsid w:val="3FB4328D"/>
    <w:rsid w:val="3FE457A9"/>
    <w:rsid w:val="44223166"/>
    <w:rsid w:val="4582210E"/>
    <w:rsid w:val="461940F5"/>
    <w:rsid w:val="465B295F"/>
    <w:rsid w:val="47AF6ABF"/>
    <w:rsid w:val="4CA47BB9"/>
    <w:rsid w:val="50157601"/>
    <w:rsid w:val="54E3590D"/>
    <w:rsid w:val="57686C8A"/>
    <w:rsid w:val="5777D4F5"/>
    <w:rsid w:val="58337298"/>
    <w:rsid w:val="59861649"/>
    <w:rsid w:val="5B4D68C3"/>
    <w:rsid w:val="5B61411C"/>
    <w:rsid w:val="5C5F6C2F"/>
    <w:rsid w:val="5D184CAE"/>
    <w:rsid w:val="5DF9688E"/>
    <w:rsid w:val="5E1E4546"/>
    <w:rsid w:val="5EFF44A4"/>
    <w:rsid w:val="5F8F08CA"/>
    <w:rsid w:val="5FC6BB1E"/>
    <w:rsid w:val="5FF720F1"/>
    <w:rsid w:val="609B351E"/>
    <w:rsid w:val="627D16F1"/>
    <w:rsid w:val="64460F7D"/>
    <w:rsid w:val="64A54408"/>
    <w:rsid w:val="64AC6408"/>
    <w:rsid w:val="657B5C7B"/>
    <w:rsid w:val="6787618F"/>
    <w:rsid w:val="6A0E36C1"/>
    <w:rsid w:val="6B680BAF"/>
    <w:rsid w:val="6BF5575A"/>
    <w:rsid w:val="6D0B038C"/>
    <w:rsid w:val="6E8E3022"/>
    <w:rsid w:val="6EF96718"/>
    <w:rsid w:val="6F71097A"/>
    <w:rsid w:val="6F9B0B8C"/>
    <w:rsid w:val="737D59BA"/>
    <w:rsid w:val="74DA0D6F"/>
    <w:rsid w:val="769C7F3D"/>
    <w:rsid w:val="77B06588"/>
    <w:rsid w:val="77C37683"/>
    <w:rsid w:val="78E201F2"/>
    <w:rsid w:val="797D43BF"/>
    <w:rsid w:val="79FF515B"/>
    <w:rsid w:val="7C2D3E7B"/>
    <w:rsid w:val="7D690EE2"/>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semiHidden/>
    <w:qFormat/>
    <w:uiPriority w:val="99"/>
    <w:pPr>
      <w:ind w:left="1680" w:leftChars="8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 w:type="paragraph" w:customStyle="1" w:styleId="17">
    <w:name w:val="正文文本1"/>
    <w:basedOn w:val="1"/>
    <w:link w:val="19"/>
    <w:qFormat/>
    <w:uiPriority w:val="0"/>
    <w:pPr>
      <w:shd w:val="clear" w:color="auto" w:fill="FFFFFF"/>
      <w:spacing w:before="540" w:after="240" w:line="0" w:lineRule="atLeast"/>
      <w:jc w:val="left"/>
    </w:pPr>
    <w:rPr>
      <w:rFonts w:ascii="MingLiU" w:hAnsi="MingLiU" w:eastAsia="MingLiU" w:cs="MingLiU"/>
      <w:spacing w:val="27"/>
      <w:kern w:val="0"/>
      <w:sz w:val="26"/>
      <w:szCs w:val="26"/>
    </w:rPr>
  </w:style>
  <w:style w:type="character" w:customStyle="1" w:styleId="18">
    <w:name w:val="正文文本 + MS Mincho"/>
    <w:basedOn w:val="19"/>
    <w:qFormat/>
    <w:uiPriority w:val="0"/>
    <w:rPr>
      <w:rFonts w:ascii="MS Mincho" w:hAnsi="MS Mincho" w:eastAsia="MS Mincho" w:cs="MS Mincho"/>
      <w:color w:val="000000"/>
      <w:spacing w:val="10"/>
      <w:w w:val="100"/>
      <w:position w:val="0"/>
      <w:sz w:val="25"/>
      <w:szCs w:val="25"/>
      <w:u w:val="none"/>
      <w:lang w:val="zh-TW"/>
    </w:rPr>
  </w:style>
  <w:style w:type="character" w:customStyle="1" w:styleId="19">
    <w:name w:val="正文文本_"/>
    <w:basedOn w:val="8"/>
    <w:link w:val="17"/>
    <w:qFormat/>
    <w:uiPriority w:val="0"/>
    <w:rPr>
      <w:rFonts w:ascii="MingLiU" w:hAnsi="MingLiU" w:eastAsia="MingLiU" w:cs="MingLiU"/>
      <w:spacing w:val="27"/>
      <w:kern w:val="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9639</Words>
  <Characters>10793</Characters>
  <Lines>93</Lines>
  <Paragraphs>26</Paragraphs>
  <TotalTime>0</TotalTime>
  <ScaleCrop>false</ScaleCrop>
  <LinksUpToDate>false</LinksUpToDate>
  <CharactersWithSpaces>11779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WPS_1668157542</cp:lastModifiedBy>
  <cp:lastPrinted>2023-09-05T02:55:00Z</cp:lastPrinted>
  <dcterms:modified xsi:type="dcterms:W3CDTF">2023-10-09T02:52:03Z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5D56C29A46D44D3696FEF5F2B9E2A2F2_13</vt:lpwstr>
  </property>
</Properties>
</file>