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A08338">
      <w:pPr>
        <w:pStyle w:val="2"/>
        <w:keepNext w:val="0"/>
        <w:keepLines w:val="0"/>
        <w:widowControl/>
        <w:suppressLineNumbers w:val="0"/>
        <w:spacing w:before="0" w:beforeAutospacing="0" w:after="0" w:afterAutospacing="0"/>
        <w:jc w:val="center"/>
      </w:pPr>
      <w:r>
        <w:rPr>
          <w:i w:val="0"/>
          <w:iCs w:val="0"/>
          <w:caps w:val="0"/>
          <w:color w:val="000000"/>
          <w:spacing w:val="0"/>
        </w:rPr>
        <w:drawing>
          <wp:inline distT="0" distB="0" distL="114300" distR="114300">
            <wp:extent cx="5273040" cy="7465060"/>
            <wp:effectExtent l="0" t="0" r="0" b="254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5273040" cy="7465060"/>
                    </a:xfrm>
                    <a:prstGeom prst="rect">
                      <a:avLst/>
                    </a:prstGeom>
                    <a:noFill/>
                    <a:ln w="9525">
                      <a:noFill/>
                    </a:ln>
                  </pic:spPr>
                </pic:pic>
              </a:graphicData>
            </a:graphic>
          </wp:inline>
        </w:drawing>
      </w:r>
      <w:r>
        <w:rPr>
          <w:i w:val="0"/>
          <w:iCs w:val="0"/>
          <w:caps w:val="0"/>
          <w:color w:val="000000"/>
          <w:spacing w:val="0"/>
        </w:rPr>
        <w:drawing>
          <wp:inline distT="0" distB="0" distL="114300" distR="114300">
            <wp:extent cx="5273040" cy="7465060"/>
            <wp:effectExtent l="0" t="0" r="0" b="2540"/>
            <wp:docPr id="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5"/>
                    <a:stretch>
                      <a:fillRect/>
                    </a:stretch>
                  </pic:blipFill>
                  <pic:spPr>
                    <a:xfrm>
                      <a:off x="0" y="0"/>
                      <a:ext cx="5273040" cy="7465060"/>
                    </a:xfrm>
                    <a:prstGeom prst="rect">
                      <a:avLst/>
                    </a:prstGeom>
                    <a:noFill/>
                    <a:ln w="9525">
                      <a:noFill/>
                    </a:ln>
                  </pic:spPr>
                </pic:pic>
              </a:graphicData>
            </a:graphic>
          </wp:inline>
        </w:drawing>
      </w:r>
      <w:r>
        <w:rPr>
          <w:i w:val="0"/>
          <w:iCs w:val="0"/>
          <w:caps w:val="0"/>
          <w:color w:val="000000"/>
          <w:spacing w:val="0"/>
        </w:rPr>
        <w:drawing>
          <wp:inline distT="0" distB="0" distL="114300" distR="114300">
            <wp:extent cx="5273040" cy="7465060"/>
            <wp:effectExtent l="0" t="0" r="0" b="2540"/>
            <wp:docPr id="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IMG_258"/>
                    <pic:cNvPicPr>
                      <a:picLocks noChangeAspect="1"/>
                    </pic:cNvPicPr>
                  </pic:nvPicPr>
                  <pic:blipFill>
                    <a:blip r:embed="rId6"/>
                    <a:stretch>
                      <a:fillRect/>
                    </a:stretch>
                  </pic:blipFill>
                  <pic:spPr>
                    <a:xfrm>
                      <a:off x="0" y="0"/>
                      <a:ext cx="5273040" cy="7465060"/>
                    </a:xfrm>
                    <a:prstGeom prst="rect">
                      <a:avLst/>
                    </a:prstGeom>
                    <a:noFill/>
                    <a:ln w="9525">
                      <a:noFill/>
                    </a:ln>
                  </pic:spPr>
                </pic:pic>
              </a:graphicData>
            </a:graphic>
          </wp:inline>
        </w:drawing>
      </w:r>
    </w:p>
    <w:p w14:paraId="45DE667B">
      <w:pPr>
        <w:keepNext w:val="0"/>
        <w:keepLines w:val="0"/>
        <w:widowControl/>
        <w:suppressLineNumbers w:val="0"/>
        <w:jc w:val="left"/>
      </w:pPr>
    </w:p>
    <w:p w14:paraId="4A40064C">
      <w:pPr>
        <w:pStyle w:val="2"/>
        <w:keepNext w:val="0"/>
        <w:keepLines w:val="0"/>
        <w:widowControl/>
        <w:suppressLineNumbers w:val="0"/>
        <w:spacing w:before="0" w:beforeAutospacing="0" w:after="0" w:afterAutospacing="0" w:line="600" w:lineRule="atLeast"/>
        <w:jc w:val="center"/>
      </w:pPr>
      <w:r>
        <w:rPr>
          <w:rFonts w:ascii="方正小标宋简体" w:hAnsi="方正小标宋简体" w:eastAsia="方正小标宋简体" w:cs="方正小标宋简体"/>
          <w:i w:val="0"/>
          <w:iCs w:val="0"/>
          <w:caps w:val="0"/>
          <w:color w:val="000000"/>
          <w:spacing w:val="0"/>
          <w:sz w:val="44"/>
          <w:szCs w:val="44"/>
        </w:rPr>
        <w:t>新田县人民政府</w:t>
      </w:r>
    </w:p>
    <w:p w14:paraId="0C85E88D">
      <w:pPr>
        <w:pStyle w:val="2"/>
        <w:keepNext w:val="0"/>
        <w:keepLines w:val="0"/>
        <w:widowControl/>
        <w:suppressLineNumbers w:val="0"/>
        <w:spacing w:before="0" w:beforeAutospacing="0" w:after="0" w:afterAutospacing="0" w:line="600" w:lineRule="atLeast"/>
        <w:jc w:val="center"/>
      </w:pPr>
      <w:r>
        <w:rPr>
          <w:rFonts w:hint="default" w:ascii="方正小标宋简体" w:hAnsi="方正小标宋简体" w:eastAsia="方正小标宋简体" w:cs="方正小标宋简体"/>
          <w:i w:val="0"/>
          <w:iCs w:val="0"/>
          <w:caps w:val="0"/>
          <w:color w:val="000000"/>
          <w:spacing w:val="0"/>
          <w:sz w:val="44"/>
          <w:szCs w:val="44"/>
        </w:rPr>
        <w:t>关于公布森林防火区和加强森林火源管理的通  告</w:t>
      </w:r>
    </w:p>
    <w:p w14:paraId="25A9FD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ascii="仿宋_GB2312" w:hAnsi="宋体" w:eastAsia="仿宋_GB2312" w:cs="仿宋_GB2312"/>
          <w:i w:val="0"/>
          <w:iCs w:val="0"/>
          <w:caps w:val="0"/>
          <w:color w:val="000000"/>
          <w:spacing w:val="0"/>
          <w:kern w:val="0"/>
          <w:sz w:val="32"/>
          <w:szCs w:val="32"/>
          <w:bdr w:val="none" w:color="auto" w:sz="0" w:space="0"/>
          <w:lang w:val="en-US" w:eastAsia="zh-CN" w:bidi="ar"/>
        </w:rPr>
        <w:t>新政函〔</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2024〕58号</w:t>
      </w:r>
    </w:p>
    <w:p w14:paraId="3E5E494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ascii="仿宋" w:hAnsi="仿宋" w:eastAsia="仿宋" w:cs="仿宋"/>
          <w:i w:val="0"/>
          <w:iCs w:val="0"/>
          <w:caps w:val="0"/>
          <w:color w:val="000000"/>
          <w:spacing w:val="0"/>
          <w:kern w:val="0"/>
          <w:sz w:val="21"/>
          <w:szCs w:val="21"/>
          <w:bdr w:val="none" w:color="auto" w:sz="0" w:space="0"/>
          <w:lang w:val="en-US" w:eastAsia="zh-CN" w:bidi="ar"/>
        </w:rPr>
        <w:t> </w:t>
      </w:r>
    </w:p>
    <w:p w14:paraId="2A6144E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为加强森林火源管理，预防森林火灾，根据《森林防火条例》《湖南省森林防火若干规定》《永州市森林火源管理若干规定》等相关规定，经县人民政府同意，现将全县重点森林防火区、一般森林防火区范围予以公布，并就加强森林火源管理有关事项通知如下。</w:t>
      </w:r>
    </w:p>
    <w:p w14:paraId="4C3D96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ascii="黑体" w:hAnsi="宋体" w:eastAsia="黑体" w:cs="黑体"/>
          <w:i w:val="0"/>
          <w:iCs w:val="0"/>
          <w:caps w:val="0"/>
          <w:color w:val="000000"/>
          <w:spacing w:val="0"/>
          <w:kern w:val="0"/>
          <w:sz w:val="32"/>
          <w:szCs w:val="32"/>
          <w:bdr w:val="none" w:color="auto" w:sz="0" w:space="0"/>
          <w:lang w:val="en-US" w:eastAsia="zh-CN" w:bidi="ar"/>
        </w:rPr>
        <w:t>一、重点森林防火区</w:t>
      </w:r>
    </w:p>
    <w:p w14:paraId="166563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全县重点森林防火区包括自然保护地、国有林场、风景名胜区和具有重要生态价值的大面积天然林、公益林、集体经济林区(见附件1红色区域)，具体名单如下:</w:t>
      </w:r>
    </w:p>
    <w:p w14:paraId="13F17A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门楼下乡：门楼下村、起头岭村、上里源村、青皮源村、小水岗村、竹林坪村、高岱源村、鲁塘村、泥塘村、刘家村、舍子源村、三塘源村、两江口村、九峰林场</w:t>
      </w:r>
    </w:p>
    <w:p w14:paraId="61B85BD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金陵镇：下户社区、金陵圩社区、永桂城社区、傲头社区、龙珠村、千马坪村、磨刀岭村、山林岗村、下兰冲村、大元冲村、兰田村、小源村、上游村、莲花塘村</w:t>
      </w:r>
    </w:p>
    <w:p w14:paraId="74D393D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骥村镇：李家山社区、骥村社区、胡家社区、三和社区、乌下村、黄公塘村、下荣村、黄栗山村、肥源村、肥溪源村、贺家村、刘家山村、李家湾村、槎源村</w:t>
      </w:r>
    </w:p>
    <w:p w14:paraId="79B83BE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陶岭镇：陶市社区、大坪村、郑家村、周家村、富上村、仁岗村、刘何村、石塘村、牛塘村、田心村、洪仁村、合福坊村、东山村、邝胡社区、李家社区</w:t>
      </w:r>
    </w:p>
    <w:p w14:paraId="6960381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枧头镇：大观堡村、龙家大院村、桑田村、大利村、云溪欧家村、马场岭村、周家山村</w:t>
      </w:r>
    </w:p>
    <w:p w14:paraId="6C5B1A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石羊镇：欧家窝村、塘罗村</w:t>
      </w:r>
    </w:p>
    <w:p w14:paraId="22315F5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国有肥源林场、福音山国家森林公园（大湾林场）</w:t>
      </w:r>
    </w:p>
    <w:p w14:paraId="18A2AF8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二、一般森林防火区</w:t>
      </w:r>
    </w:p>
    <w:p w14:paraId="053E0C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本县区域内重点森林防火区以外的森林防火区均为一般森林防火区。</w:t>
      </w:r>
    </w:p>
    <w:p w14:paraId="095710F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三、森林防火区与防火期的确定</w:t>
      </w:r>
    </w:p>
    <w:p w14:paraId="415C946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本通告所称森林防火区是指林地及距离林地边缘不少于50米范围内的区域。</w:t>
      </w:r>
    </w:p>
    <w:p w14:paraId="7335A7E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重点森林防火区实行全年森林防火；一般森林防火区在县人民政府规定的森林防火期防火。</w:t>
      </w:r>
    </w:p>
    <w:p w14:paraId="365FE5D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420" w:right="0" w:firstLine="32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四、部门职责</w:t>
      </w:r>
    </w:p>
    <w:p w14:paraId="29B0717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应急管理、公安、农业农村、生态环境、气象、工信、文旅广体、交通运输、民政等有关部门按照职责分工，负责森林火源管理工作。</w:t>
      </w:r>
    </w:p>
    <w:p w14:paraId="27BF94E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乡镇人民政府（街道办事处）负责本辖区内的森林防火区火源管控具体工作。村（居）民委员会协助做好本辖区内森林火源管控工作。</w:t>
      </w:r>
    </w:p>
    <w:p w14:paraId="5CDA714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民政部门负责祭祀用火的监督管理,引导公民移风易俗,采用绿色、环保、文明方式祭祀。 </w:t>
      </w:r>
    </w:p>
    <w:p w14:paraId="50E92F1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自然保护地、国有林场、风景名胜区、重要军事设施、革命纪念地等管理机构以及森林、林木、林地的经营单位和个人，负责其管理经营范围内火源日常管理工作。</w:t>
      </w:r>
    </w:p>
    <w:p w14:paraId="08DEA3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森林防火区内的公路、铁路、电力、通信线路及设备、石油天然气管道等的经营主体单位及工矿企业应当公布故障报警电话，开展日常检查，及时检测检修，加强输配线路森林防火通道维护管理，消除火灾隐患。</w:t>
      </w:r>
    </w:p>
    <w:p w14:paraId="1C9F8AC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五、森林防火区用火批准程序</w:t>
      </w:r>
    </w:p>
    <w:p w14:paraId="07D129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重点森林防火区内的村(居)民应当确保生活用火安全。禁止外来人员携带火种火源进入重点森林防火区。禁止野外用火，确因防治病虫鼠害、冻害、造林抚育、工程建设等特殊情况需用火的，填写《新田县重点森林防火区野外用火审批表》，逐级报村（社区）、乡镇（街道）、县林业局批准。</w:t>
      </w:r>
    </w:p>
    <w:p w14:paraId="38820D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一般森林防火区在森林防火期内禁止野外用火。确因特殊情况需要用火的，填写《新田县一般森林防火区野外用火审批表》，逐级报村（社区）、乡镇（街道）批准。乡镇（街道）填写《新田县森林防火区野外用火报备表》报县林业局、县森林防灭火指挥部备案。</w:t>
      </w:r>
    </w:p>
    <w:p w14:paraId="35843FB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经批准野外用火的，用火单位或者个人应当组织监烧，并检查清理火场，审批单位应当进行指导和监督，确保明火和火星彻底熄灭，严防失火。</w:t>
      </w:r>
    </w:p>
    <w:p w14:paraId="4FA00FE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420" w:right="0" w:firstLine="32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六、责任追究</w:t>
      </w:r>
    </w:p>
    <w:p w14:paraId="62D3863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任何单位和个人在森林防火期内，未经批准擅自在森林防火区内野外用火，依据《永州市森林火源管理若干规定》第十条规定，未引起森林火灾的，由乡镇人民政府（街道办事处）责令停止违法行为，给予警告，对个人处二百元以上二千元以下罚款，对单位处一万元以上三万元以下罚款；引起森林火灾的，对个人处二千元以上三千元以下罚款，对单位处三万元以上五万元以下罚款；造成损失的，依法承担赔偿责任；构成犯罪的，依法追究刑事责任。</w:t>
      </w:r>
    </w:p>
    <w:p w14:paraId="325796A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本通告自公布之日起施行，有效期5年。</w:t>
      </w:r>
    </w:p>
    <w:p w14:paraId="3911CD2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仿宋" w:hAnsi="仿宋" w:eastAsia="仿宋" w:cs="仿宋"/>
          <w:i w:val="0"/>
          <w:iCs w:val="0"/>
          <w:caps w:val="0"/>
          <w:color w:val="000000"/>
          <w:spacing w:val="0"/>
          <w:kern w:val="0"/>
          <w:sz w:val="24"/>
          <w:szCs w:val="24"/>
          <w:bdr w:val="none" w:color="auto" w:sz="0" w:space="0"/>
          <w:lang w:val="en-US" w:eastAsia="zh-CN" w:bidi="ar"/>
        </w:rPr>
        <w:t> </w:t>
      </w:r>
    </w:p>
    <w:p w14:paraId="239B92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附件：</w:t>
      </w:r>
      <w:r>
        <w:rPr>
          <w:rFonts w:hint="default" w:ascii="仿宋_GB2312" w:hAnsi="宋体" w:eastAsia="仿宋_GB2312" w:cs="仿宋_GB2312"/>
          <w:i w:val="0"/>
          <w:iCs w:val="0"/>
          <w:caps w:val="0"/>
          <w:color w:val="000000"/>
          <w:spacing w:val="-6"/>
          <w:kern w:val="0"/>
          <w:sz w:val="32"/>
          <w:szCs w:val="32"/>
          <w:bdr w:val="none" w:color="auto" w:sz="0" w:space="0"/>
          <w:lang w:val="en-US" w:eastAsia="zh-CN" w:bidi="ar"/>
        </w:rPr>
        <w:t>1.新田县重点森林防火区和一般森林防火区分布图</w:t>
      </w:r>
    </w:p>
    <w:p w14:paraId="2035FDE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160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2.新田县重点森林防火区野外用火审批表</w:t>
      </w:r>
    </w:p>
    <w:p w14:paraId="2897068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160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3.新田县一般森林防火区野外用火审批表</w:t>
      </w:r>
    </w:p>
    <w:p w14:paraId="5CB24A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160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4.新田县森林防火区野外用火报备表</w:t>
      </w:r>
    </w:p>
    <w:p w14:paraId="30D1C5F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8131A5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21"/>
          <w:szCs w:val="21"/>
          <w:bdr w:val="none" w:color="auto" w:sz="0" w:space="0"/>
          <w:lang w:val="en-US" w:eastAsia="zh-CN" w:bidi="ar"/>
        </w:rPr>
        <w:t> </w:t>
      </w:r>
    </w:p>
    <w:p w14:paraId="1FCEF8B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21"/>
          <w:szCs w:val="21"/>
          <w:bdr w:val="none" w:color="auto" w:sz="0" w:space="0"/>
          <w:lang w:val="en-US" w:eastAsia="zh-CN" w:bidi="ar"/>
        </w:rPr>
        <w:t> </w:t>
      </w:r>
    </w:p>
    <w:p w14:paraId="38BBA24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                    新田县人民政府</w:t>
      </w:r>
    </w:p>
    <w:p w14:paraId="2311BA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                    2024年8月10日</w:t>
      </w:r>
    </w:p>
    <w:p w14:paraId="2731B41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仿宋" w:hAnsi="仿宋" w:eastAsia="仿宋" w:cs="仿宋"/>
          <w:i w:val="0"/>
          <w:iCs w:val="0"/>
          <w:caps w:val="0"/>
          <w:color w:val="000000"/>
          <w:spacing w:val="0"/>
          <w:kern w:val="0"/>
          <w:sz w:val="24"/>
          <w:szCs w:val="24"/>
          <w:bdr w:val="none" w:color="auto" w:sz="0" w:space="0"/>
          <w:lang w:val="en-US" w:eastAsia="zh-CN" w:bidi="ar"/>
        </w:rPr>
        <w:t> </w:t>
      </w:r>
    </w:p>
    <w:p w14:paraId="2E48F1A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仿宋" w:hAnsi="仿宋" w:eastAsia="仿宋" w:cs="仿宋"/>
          <w:i w:val="0"/>
          <w:iCs w:val="0"/>
          <w:caps w:val="0"/>
          <w:color w:val="000000"/>
          <w:spacing w:val="0"/>
          <w:kern w:val="0"/>
          <w:sz w:val="24"/>
          <w:szCs w:val="24"/>
          <w:bdr w:val="none" w:color="auto" w:sz="0" w:space="0"/>
          <w:lang w:val="en-US" w:eastAsia="zh-CN" w:bidi="ar"/>
        </w:rPr>
        <w:t> </w:t>
      </w:r>
    </w:p>
    <w:p w14:paraId="343F55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仿宋" w:hAnsi="仿宋" w:eastAsia="仿宋" w:cs="仿宋"/>
          <w:i w:val="0"/>
          <w:iCs w:val="0"/>
          <w:caps w:val="0"/>
          <w:color w:val="000000"/>
          <w:spacing w:val="0"/>
          <w:kern w:val="0"/>
          <w:sz w:val="24"/>
          <w:szCs w:val="24"/>
          <w:bdr w:val="none" w:color="auto" w:sz="0" w:space="0"/>
          <w:lang w:val="en-US" w:eastAsia="zh-CN" w:bidi="ar"/>
        </w:rPr>
        <w:t> </w:t>
      </w:r>
    </w:p>
    <w:p w14:paraId="0D29202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仿宋" w:hAnsi="仿宋" w:eastAsia="仿宋" w:cs="仿宋"/>
          <w:i w:val="0"/>
          <w:iCs w:val="0"/>
          <w:caps w:val="0"/>
          <w:color w:val="000000"/>
          <w:spacing w:val="0"/>
          <w:kern w:val="0"/>
          <w:sz w:val="24"/>
          <w:szCs w:val="24"/>
          <w:bdr w:val="none" w:color="auto" w:sz="0" w:space="0"/>
          <w:lang w:val="en-US" w:eastAsia="zh-CN" w:bidi="ar"/>
        </w:rPr>
        <w:t> </w:t>
      </w:r>
    </w:p>
    <w:p w14:paraId="29036C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附件1</w:t>
      </w:r>
    </w:p>
    <w:tbl>
      <w:tblPr>
        <w:tblW w:w="0" w:type="auto"/>
        <w:tblCellSpacing w:w="0" w:type="dxa"/>
        <w:tblInd w:w="10" w:type="dxa"/>
        <w:tblBorders>
          <w:top w:val="dotted" w:color="D3D3D3" w:sz="4" w:space="0"/>
          <w:left w:val="dotted" w:color="D3D3D3" w:sz="4" w:space="0"/>
          <w:bottom w:val="dotted" w:color="D3D3D3" w:sz="4" w:space="0"/>
          <w:right w:val="dotted" w:color="D3D3D3" w:sz="4" w:space="0"/>
          <w:insideH w:val="none" w:color="auto" w:sz="0" w:space="0"/>
          <w:insideV w:val="none" w:color="auto" w:sz="0" w:space="0"/>
        </w:tblBorders>
        <w:shd w:val="clear"/>
        <w:tblLayout w:type="autofit"/>
        <w:tblCellMar>
          <w:top w:w="0" w:type="dxa"/>
          <w:left w:w="0" w:type="dxa"/>
          <w:bottom w:w="0" w:type="dxa"/>
          <w:right w:w="0" w:type="dxa"/>
        </w:tblCellMar>
      </w:tblPr>
      <w:tblGrid>
        <w:gridCol w:w="234"/>
        <w:gridCol w:w="8060"/>
      </w:tblGrid>
      <w:tr w14:paraId="5FFC85CD">
        <w:tblPrEx>
          <w:tblBorders>
            <w:top w:val="dotted" w:color="D3D3D3" w:sz="4" w:space="0"/>
            <w:left w:val="dotted" w:color="D3D3D3" w:sz="4" w:space="0"/>
            <w:bottom w:val="dotted" w:color="D3D3D3" w:sz="4" w:space="0"/>
            <w:right w:val="dotted" w:color="D3D3D3" w:sz="4" w:space="0"/>
            <w:insideH w:val="none" w:color="auto" w:sz="0" w:space="0"/>
            <w:insideV w:val="none" w:color="auto" w:sz="0" w:space="0"/>
          </w:tblBorders>
          <w:shd w:val="clear"/>
          <w:tblCellMar>
            <w:top w:w="0" w:type="dxa"/>
            <w:left w:w="0" w:type="dxa"/>
            <w:bottom w:w="0" w:type="dxa"/>
            <w:right w:w="0" w:type="dxa"/>
          </w:tblCellMar>
        </w:tblPrEx>
        <w:trPr>
          <w:gridAfter w:val="1"/>
          <w:trHeight w:val="0" w:hRule="atLeast"/>
          <w:tblCellSpacing w:w="0" w:type="dxa"/>
        </w:trPr>
        <w:tc>
          <w:tcPr>
            <w:tcW w:w="234" w:type="dxa"/>
            <w:tcBorders>
              <w:top w:val="dotted" w:color="D3D3D3" w:sz="4" w:space="0"/>
              <w:left w:val="dotted" w:color="D3D3D3" w:sz="4" w:space="0"/>
              <w:bottom w:val="dotted" w:color="D3D3D3" w:sz="4" w:space="0"/>
              <w:right w:val="dotted" w:color="D3D3D3" w:sz="4" w:space="0"/>
            </w:tcBorders>
            <w:shd w:val="clear"/>
            <w:vAlign w:val="center"/>
          </w:tcPr>
          <w:p w14:paraId="4D8FB081">
            <w:pPr>
              <w:rPr>
                <w:rFonts w:hint="eastAsia" w:ascii="宋体" w:hAnsi="宋体" w:eastAsia="宋体" w:cs="宋体"/>
                <w:sz w:val="18"/>
                <w:szCs w:val="18"/>
              </w:rPr>
            </w:pPr>
          </w:p>
        </w:tc>
      </w:tr>
      <w:tr w14:paraId="11E48774">
        <w:tblPrEx>
          <w:tblBorders>
            <w:top w:val="dotted" w:color="D3D3D3" w:sz="4" w:space="0"/>
            <w:left w:val="dotted" w:color="D3D3D3" w:sz="4" w:space="0"/>
            <w:bottom w:val="dotted" w:color="D3D3D3" w:sz="4" w:space="0"/>
            <w:right w:val="dotted" w:color="D3D3D3" w:sz="4" w:space="0"/>
            <w:insideH w:val="none" w:color="auto" w:sz="0" w:space="0"/>
            <w:insideV w:val="none" w:color="auto" w:sz="0" w:space="0"/>
          </w:tblBorders>
          <w:shd w:val="clear"/>
          <w:tblCellMar>
            <w:top w:w="0" w:type="dxa"/>
            <w:left w:w="0" w:type="dxa"/>
            <w:bottom w:w="0" w:type="dxa"/>
            <w:right w:w="0" w:type="dxa"/>
          </w:tblCellMar>
        </w:tblPrEx>
        <w:trPr>
          <w:tblCellSpacing w:w="0" w:type="dxa"/>
        </w:trPr>
        <w:tc>
          <w:tcPr>
            <w:tcW w:w="0" w:type="auto"/>
            <w:tcBorders>
              <w:top w:val="dotted" w:color="D3D3D3" w:sz="4" w:space="0"/>
              <w:left w:val="dotted" w:color="D3D3D3" w:sz="4" w:space="0"/>
              <w:bottom w:val="dotted" w:color="D3D3D3" w:sz="4" w:space="0"/>
              <w:right w:val="dotted" w:color="D3D3D3" w:sz="4" w:space="0"/>
            </w:tcBorders>
            <w:shd w:val="clear"/>
            <w:vAlign w:val="center"/>
          </w:tcPr>
          <w:p w14:paraId="64C82CC3">
            <w:pPr>
              <w:rPr>
                <w:rFonts w:hint="eastAsia" w:ascii="宋体" w:hAnsi="宋体" w:eastAsia="宋体" w:cs="宋体"/>
                <w:sz w:val="18"/>
                <w:szCs w:val="18"/>
              </w:rPr>
            </w:pPr>
          </w:p>
        </w:tc>
        <w:tc>
          <w:tcPr>
            <w:tcW w:w="0" w:type="auto"/>
            <w:tcBorders>
              <w:top w:val="dotted" w:color="D3D3D3" w:sz="4" w:space="0"/>
              <w:left w:val="dotted" w:color="D3D3D3" w:sz="4" w:space="0"/>
              <w:bottom w:val="dotted" w:color="D3D3D3" w:sz="4" w:space="0"/>
              <w:right w:val="dotted" w:color="D3D3D3" w:sz="4" w:space="0"/>
            </w:tcBorders>
            <w:shd w:val="clear"/>
            <w:vAlign w:val="center"/>
          </w:tcPr>
          <w:p w14:paraId="1A521F73">
            <w:pPr>
              <w:keepNext w:val="0"/>
              <w:keepLines w:val="0"/>
              <w:widowControl/>
              <w:suppressLineNumbers w:val="0"/>
              <w:jc w:val="left"/>
              <w:rPr>
                <w:rFonts w:hint="eastAsia" w:ascii="宋体" w:hAnsi="宋体" w:eastAsia="宋体" w:cs="宋体"/>
                <w:sz w:val="18"/>
                <w:szCs w:val="18"/>
              </w:rPr>
            </w:pPr>
            <w:r>
              <w:rPr>
                <w:rFonts w:hint="eastAsia" w:ascii="宋体" w:hAnsi="宋体" w:eastAsia="宋体" w:cs="宋体"/>
                <w:kern w:val="0"/>
                <w:sz w:val="18"/>
                <w:szCs w:val="18"/>
                <w:bdr w:val="none" w:color="auto" w:sz="0" w:space="0"/>
                <w:lang w:val="en-US" w:eastAsia="zh-CN" w:bidi="ar"/>
              </w:rPr>
              <w:drawing>
                <wp:inline distT="0" distB="0" distL="114300" distR="114300">
                  <wp:extent cx="5105400" cy="6610350"/>
                  <wp:effectExtent l="0" t="0" r="0" b="3810"/>
                  <wp:docPr id="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IMG_259"/>
                          <pic:cNvPicPr>
                            <a:picLocks noChangeAspect="1"/>
                          </pic:cNvPicPr>
                        </pic:nvPicPr>
                        <pic:blipFill>
                          <a:blip r:embed="rId7"/>
                          <a:stretch>
                            <a:fillRect/>
                          </a:stretch>
                        </pic:blipFill>
                        <pic:spPr>
                          <a:xfrm>
                            <a:off x="0" y="0"/>
                            <a:ext cx="5105400" cy="6610350"/>
                          </a:xfrm>
                          <a:prstGeom prst="rect">
                            <a:avLst/>
                          </a:prstGeom>
                          <a:noFill/>
                          <a:ln w="9525">
                            <a:noFill/>
                          </a:ln>
                        </pic:spPr>
                      </pic:pic>
                    </a:graphicData>
                  </a:graphic>
                </wp:inline>
              </w:drawing>
            </w:r>
          </w:p>
        </w:tc>
      </w:tr>
    </w:tbl>
    <w:p w14:paraId="3FC5935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仿宋" w:hAnsi="仿宋" w:eastAsia="仿宋" w:cs="仿宋"/>
          <w:i w:val="0"/>
          <w:iCs w:val="0"/>
          <w:caps w:val="0"/>
          <w:color w:val="000000"/>
          <w:spacing w:val="0"/>
          <w:kern w:val="0"/>
          <w:sz w:val="24"/>
          <w:szCs w:val="24"/>
          <w:bdr w:val="none" w:color="auto" w:sz="0" w:space="0"/>
          <w:lang w:val="en-US" w:eastAsia="zh-CN" w:bidi="ar"/>
        </w:rPr>
        <w:t> </w:t>
      </w:r>
    </w:p>
    <w:p w14:paraId="58A618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509848D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70B20EF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附件2</w:t>
      </w:r>
    </w:p>
    <w:p w14:paraId="61830B5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 </w:t>
      </w:r>
    </w:p>
    <w:p w14:paraId="2833EB30">
      <w:pPr>
        <w:pStyle w:val="2"/>
        <w:keepNext w:val="0"/>
        <w:keepLines w:val="0"/>
        <w:widowControl/>
        <w:suppressLineNumbers w:val="0"/>
        <w:spacing w:before="0" w:beforeAutospacing="0" w:after="0" w:afterAutospacing="0" w:line="560" w:lineRule="atLeast"/>
        <w:jc w:val="center"/>
      </w:pPr>
      <w:r>
        <w:rPr>
          <w:rFonts w:hint="default" w:ascii="方正小标宋简体" w:hAnsi="方正小标宋简体" w:eastAsia="方正小标宋简体" w:cs="方正小标宋简体"/>
          <w:i w:val="0"/>
          <w:iCs w:val="0"/>
          <w:caps w:val="0"/>
          <w:color w:val="000000"/>
          <w:spacing w:val="0"/>
          <w:sz w:val="44"/>
          <w:szCs w:val="44"/>
        </w:rPr>
        <w:t>新田县重点森林防火区野外用火审批表</w:t>
      </w:r>
    </w:p>
    <w:p w14:paraId="5BABBE2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tbl>
      <w:tblPr>
        <w:tblW w:w="8996" w:type="dxa"/>
        <w:tblInd w:w="0"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Layout w:type="autofit"/>
        <w:tblCellMar>
          <w:top w:w="15" w:type="dxa"/>
          <w:left w:w="15" w:type="dxa"/>
          <w:bottom w:w="15" w:type="dxa"/>
          <w:right w:w="15" w:type="dxa"/>
        </w:tblCellMar>
      </w:tblPr>
      <w:tblGrid>
        <w:gridCol w:w="1677"/>
        <w:gridCol w:w="981"/>
        <w:gridCol w:w="704"/>
        <w:gridCol w:w="1123"/>
        <w:gridCol w:w="1045"/>
        <w:gridCol w:w="743"/>
        <w:gridCol w:w="830"/>
        <w:gridCol w:w="1893"/>
      </w:tblGrid>
      <w:tr w14:paraId="61EAC269">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853" w:hRule="atLeast"/>
        </w:trPr>
        <w:tc>
          <w:tcPr>
            <w:tcW w:w="1677"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67C18F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申请单位</w:t>
            </w:r>
          </w:p>
          <w:p w14:paraId="4D19E8B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(盖章)</w:t>
            </w:r>
          </w:p>
        </w:tc>
        <w:tc>
          <w:tcPr>
            <w:tcW w:w="1685" w:type="dxa"/>
            <w:gridSpan w:val="2"/>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4F37DEE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1123"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CCE85D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责任人</w:t>
            </w:r>
          </w:p>
        </w:tc>
        <w:tc>
          <w:tcPr>
            <w:tcW w:w="1045"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66726CB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743"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A98B04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电话</w:t>
            </w:r>
          </w:p>
        </w:tc>
        <w:tc>
          <w:tcPr>
            <w:tcW w:w="2723" w:type="dxa"/>
            <w:gridSpan w:val="2"/>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71B08DE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41DA85AB">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2"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2617A3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地点</w:t>
            </w:r>
          </w:p>
        </w:tc>
        <w:tc>
          <w:tcPr>
            <w:tcW w:w="7319" w:type="dxa"/>
            <w:gridSpan w:val="7"/>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73AAFE3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镇            村        组，山名：</w:t>
            </w:r>
          </w:p>
        </w:tc>
      </w:tr>
      <w:tr w14:paraId="43FFBFFB">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853"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A931F9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小班号</w:t>
            </w:r>
          </w:p>
        </w:tc>
        <w:tc>
          <w:tcPr>
            <w:tcW w:w="981"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225735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704"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C0EB53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小地名</w:t>
            </w:r>
          </w:p>
        </w:tc>
        <w:tc>
          <w:tcPr>
            <w:tcW w:w="1123"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2A64D9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1045"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A4AC66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面积</w:t>
            </w:r>
          </w:p>
        </w:tc>
        <w:tc>
          <w:tcPr>
            <w:tcW w:w="743"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25BDAA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830"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5CBEE7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地类</w:t>
            </w:r>
          </w:p>
        </w:tc>
        <w:tc>
          <w:tcPr>
            <w:tcW w:w="1893"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E87917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1434A291">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64"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1107E0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用火目的</w:t>
            </w:r>
          </w:p>
        </w:tc>
        <w:tc>
          <w:tcPr>
            <w:tcW w:w="2808"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66FA08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BFA96F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风力</w:t>
            </w:r>
          </w:p>
          <w:p w14:paraId="08F2F1D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等级</w:t>
            </w:r>
          </w:p>
        </w:tc>
        <w:tc>
          <w:tcPr>
            <w:tcW w:w="346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20C55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三级以下</w:t>
            </w:r>
          </w:p>
        </w:tc>
      </w:tr>
      <w:tr w14:paraId="6509A76C">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853"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1676B3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用火日期</w:t>
            </w:r>
          </w:p>
        </w:tc>
        <w:tc>
          <w:tcPr>
            <w:tcW w:w="2808"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04E44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年   月    日</w:t>
            </w:r>
          </w:p>
          <w:p w14:paraId="5EA230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至   年  月  日</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3943F9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w:t>
            </w:r>
          </w:p>
          <w:p w14:paraId="1664D5A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时间</w:t>
            </w:r>
          </w:p>
        </w:tc>
        <w:tc>
          <w:tcPr>
            <w:tcW w:w="346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84F36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当天      时       分</w:t>
            </w:r>
          </w:p>
          <w:p w14:paraId="193540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至      时      分</w:t>
            </w:r>
          </w:p>
        </w:tc>
      </w:tr>
      <w:tr w14:paraId="5E2DE4F6">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729" w:hRule="atLeast"/>
        </w:trPr>
        <w:tc>
          <w:tcPr>
            <w:tcW w:w="1677" w:type="dxa"/>
            <w:vMerge w:val="restart"/>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192896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焚烧点经纬度</w:t>
            </w:r>
          </w:p>
        </w:tc>
        <w:tc>
          <w:tcPr>
            <w:tcW w:w="981"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6E78CC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火点1</w:t>
            </w:r>
          </w:p>
        </w:tc>
        <w:tc>
          <w:tcPr>
            <w:tcW w:w="1827"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C6A6E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39421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火点6</w:t>
            </w:r>
          </w:p>
        </w:tc>
        <w:tc>
          <w:tcPr>
            <w:tcW w:w="3466" w:type="dxa"/>
            <w:gridSpan w:val="3"/>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3B6989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34657E03">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29"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CB261DE">
            <w:pPr>
              <w:rPr>
                <w:rFonts w:hint="eastAsia" w:ascii="宋体" w:hAnsi="宋体" w:eastAsia="宋体" w:cs="宋体"/>
                <w:sz w:val="18"/>
                <w:szCs w:val="18"/>
              </w:rPr>
            </w:pPr>
          </w:p>
        </w:tc>
        <w:tc>
          <w:tcPr>
            <w:tcW w:w="981"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346D3E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火点2</w:t>
            </w:r>
          </w:p>
        </w:tc>
        <w:tc>
          <w:tcPr>
            <w:tcW w:w="1827"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C3C21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142B45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火点7</w:t>
            </w:r>
          </w:p>
        </w:tc>
        <w:tc>
          <w:tcPr>
            <w:tcW w:w="346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87926C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7C8E47BC">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29"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2700EE0">
            <w:pPr>
              <w:rPr>
                <w:rFonts w:hint="eastAsia" w:ascii="宋体" w:hAnsi="宋体" w:eastAsia="宋体" w:cs="宋体"/>
                <w:sz w:val="18"/>
                <w:szCs w:val="18"/>
              </w:rPr>
            </w:pPr>
          </w:p>
        </w:tc>
        <w:tc>
          <w:tcPr>
            <w:tcW w:w="981"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9194DB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火点3</w:t>
            </w:r>
          </w:p>
        </w:tc>
        <w:tc>
          <w:tcPr>
            <w:tcW w:w="1827"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B58FD8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98FA79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火点8</w:t>
            </w:r>
          </w:p>
        </w:tc>
        <w:tc>
          <w:tcPr>
            <w:tcW w:w="346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D36F5A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3561FBB7">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29"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9893352">
            <w:pPr>
              <w:rPr>
                <w:rFonts w:hint="eastAsia" w:ascii="宋体" w:hAnsi="宋体" w:eastAsia="宋体" w:cs="宋体"/>
                <w:sz w:val="18"/>
                <w:szCs w:val="18"/>
              </w:rPr>
            </w:pPr>
          </w:p>
        </w:tc>
        <w:tc>
          <w:tcPr>
            <w:tcW w:w="981"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3E1695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火点4</w:t>
            </w:r>
          </w:p>
        </w:tc>
        <w:tc>
          <w:tcPr>
            <w:tcW w:w="1827"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5DB49A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2B8273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火点9</w:t>
            </w:r>
          </w:p>
        </w:tc>
        <w:tc>
          <w:tcPr>
            <w:tcW w:w="346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5DB65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64B646C0">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01"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2A04F52">
            <w:pPr>
              <w:rPr>
                <w:rFonts w:hint="eastAsia" w:ascii="宋体" w:hAnsi="宋体" w:eastAsia="宋体" w:cs="宋体"/>
                <w:sz w:val="18"/>
                <w:szCs w:val="18"/>
              </w:rPr>
            </w:pPr>
          </w:p>
        </w:tc>
        <w:tc>
          <w:tcPr>
            <w:tcW w:w="981"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7180F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火点5</w:t>
            </w:r>
          </w:p>
        </w:tc>
        <w:tc>
          <w:tcPr>
            <w:tcW w:w="1827"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2A6E0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9CEB6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火点10</w:t>
            </w:r>
          </w:p>
        </w:tc>
        <w:tc>
          <w:tcPr>
            <w:tcW w:w="346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3316C1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4691F052">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393" w:hRule="atLeast"/>
        </w:trPr>
        <w:tc>
          <w:tcPr>
            <w:tcW w:w="1677" w:type="dxa"/>
            <w:vMerge w:val="restart"/>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21EE7B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安全措施落实情况</w:t>
            </w:r>
          </w:p>
        </w:tc>
        <w:tc>
          <w:tcPr>
            <w:tcW w:w="4596"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B7BC55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1.是否签订《野外用火安全承诺书》，用火山场周边是否开设10米以上的防火隔离带。</w:t>
            </w:r>
          </w:p>
        </w:tc>
        <w:tc>
          <w:tcPr>
            <w:tcW w:w="830"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5A1A04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89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A8D0B8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2BC20842">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1235"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4479B41">
            <w:pPr>
              <w:rPr>
                <w:rFonts w:hint="eastAsia" w:ascii="宋体" w:hAnsi="宋体" w:eastAsia="宋体" w:cs="宋体"/>
                <w:sz w:val="18"/>
                <w:szCs w:val="18"/>
              </w:rPr>
            </w:pPr>
          </w:p>
        </w:tc>
        <w:tc>
          <w:tcPr>
            <w:tcW w:w="4596"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AE6E92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2.用火单位（个人）组织好10-30人的防火扑火队伍。</w:t>
            </w:r>
          </w:p>
        </w:tc>
        <w:tc>
          <w:tcPr>
            <w:tcW w:w="830"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1654D0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89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3DD4C6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12E378DB">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908"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6CD4F50">
            <w:pPr>
              <w:rPr>
                <w:rFonts w:hint="eastAsia" w:ascii="宋体" w:hAnsi="宋体" w:eastAsia="宋体" w:cs="宋体"/>
                <w:sz w:val="18"/>
                <w:szCs w:val="18"/>
              </w:rPr>
            </w:pPr>
          </w:p>
        </w:tc>
        <w:tc>
          <w:tcPr>
            <w:tcW w:w="4596"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54F0B0B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3.用火单位（个人）准备好防火扑火工具（附工具清单）</w:t>
            </w:r>
          </w:p>
        </w:tc>
        <w:tc>
          <w:tcPr>
            <w:tcW w:w="830"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1146696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89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16144D5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57FDA47C">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1170"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0F1F27E">
            <w:pPr>
              <w:rPr>
                <w:rFonts w:hint="eastAsia" w:ascii="宋体" w:hAnsi="宋体" w:eastAsia="宋体" w:cs="宋体"/>
                <w:sz w:val="18"/>
                <w:szCs w:val="18"/>
              </w:rPr>
            </w:pPr>
          </w:p>
        </w:tc>
        <w:tc>
          <w:tcPr>
            <w:tcW w:w="4596"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50827B0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4.生产性用火山场内无分布国家级或省级重点保护野生动植物，或对上述保护的野生动植物已采取有效的防火隔离措施。</w:t>
            </w:r>
          </w:p>
        </w:tc>
        <w:tc>
          <w:tcPr>
            <w:tcW w:w="830"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AC5C7B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89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451DE4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3FAA68AD">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64" w:hRule="atLeast"/>
        </w:trPr>
        <w:tc>
          <w:tcPr>
            <w:tcW w:w="1677"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4F48D9">
            <w:pPr>
              <w:rPr>
                <w:rFonts w:hint="eastAsia" w:ascii="宋体" w:hAnsi="宋体" w:eastAsia="宋体" w:cs="宋体"/>
                <w:sz w:val="18"/>
                <w:szCs w:val="18"/>
              </w:rPr>
            </w:pPr>
          </w:p>
        </w:tc>
        <w:tc>
          <w:tcPr>
            <w:tcW w:w="4596"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7BAADBF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5.高火险天气或风力等级超过3级需立即停止野外用火。</w:t>
            </w:r>
          </w:p>
        </w:tc>
        <w:tc>
          <w:tcPr>
            <w:tcW w:w="830"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974C1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是否安排</w:t>
            </w:r>
          </w:p>
        </w:tc>
        <w:tc>
          <w:tcPr>
            <w:tcW w:w="189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48D67EE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144FA66F">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3405"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10DA8A3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1FA28B1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D1B373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3223386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安全措施</w:t>
            </w:r>
          </w:p>
          <w:p w14:paraId="4E001CB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落实情况</w:t>
            </w:r>
          </w:p>
        </w:tc>
        <w:tc>
          <w:tcPr>
            <w:tcW w:w="7319" w:type="dxa"/>
            <w:gridSpan w:val="7"/>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48D7B18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6FA4D2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3DF2F70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6C48D21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23FC98E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3890087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41D932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4E5E185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安全责任落实负责人（签名）：                年    月   日</w:t>
            </w:r>
          </w:p>
          <w:p w14:paraId="305763C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520E423A">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2069"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645457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 </w:t>
            </w:r>
          </w:p>
          <w:p w14:paraId="7E85553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村级</w:t>
            </w:r>
          </w:p>
          <w:p w14:paraId="3D4E976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审批</w:t>
            </w:r>
          </w:p>
          <w:p w14:paraId="3311A0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意见</w:t>
            </w:r>
          </w:p>
        </w:tc>
        <w:tc>
          <w:tcPr>
            <w:tcW w:w="7319" w:type="dxa"/>
            <w:gridSpan w:val="7"/>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6E6C88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3348B16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543F90D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E0990D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51CC155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负责人（签名）：        单位（盖章）：          年     月    日</w:t>
            </w:r>
          </w:p>
        </w:tc>
      </w:tr>
      <w:tr w14:paraId="6EF6D67D">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2650"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05D537F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5D3C3A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乡镇（街道）</w:t>
            </w:r>
          </w:p>
          <w:p w14:paraId="2982741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审批意见</w:t>
            </w:r>
          </w:p>
        </w:tc>
        <w:tc>
          <w:tcPr>
            <w:tcW w:w="7319" w:type="dxa"/>
            <w:gridSpan w:val="7"/>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30F4433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2702AB2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48C465D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FA879A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370FDE0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D39C73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负责人（签名）：         单位（盖章）：         年    月     日</w:t>
            </w:r>
          </w:p>
          <w:p w14:paraId="03572F2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018AD6C1">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2828" w:hRule="atLeast"/>
        </w:trPr>
        <w:tc>
          <w:tcPr>
            <w:tcW w:w="16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0E43D24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68BF6AF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2F02E0B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A032B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林业局</w:t>
            </w:r>
          </w:p>
          <w:p w14:paraId="5BE0E9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审批意见</w:t>
            </w:r>
          </w:p>
        </w:tc>
        <w:tc>
          <w:tcPr>
            <w:tcW w:w="7319" w:type="dxa"/>
            <w:gridSpan w:val="7"/>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12B241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52DBA93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3D6EA15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724C255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05388CC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1750D7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p w14:paraId="647553A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相关负责人（签名）：     单位（盖章）：         年    月    日</w:t>
            </w:r>
          </w:p>
        </w:tc>
      </w:tr>
    </w:tbl>
    <w:p w14:paraId="09B4C2F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附件3</w:t>
      </w:r>
    </w:p>
    <w:p w14:paraId="50E7BF4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880"/>
        <w:jc w:val="left"/>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 </w:t>
      </w:r>
    </w:p>
    <w:p w14:paraId="01017C3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880"/>
        <w:jc w:val="left"/>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新田县一般森林防火区野外用火审批表</w:t>
      </w:r>
    </w:p>
    <w:p w14:paraId="47A0DF0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880"/>
        <w:jc w:val="left"/>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 </w:t>
      </w:r>
    </w:p>
    <w:tbl>
      <w:tblPr>
        <w:tblW w:w="8838" w:type="dxa"/>
        <w:tblInd w:w="0"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Layout w:type="autofit"/>
        <w:tblCellMar>
          <w:top w:w="15" w:type="dxa"/>
          <w:left w:w="15" w:type="dxa"/>
          <w:bottom w:w="15" w:type="dxa"/>
          <w:right w:w="15" w:type="dxa"/>
        </w:tblCellMar>
      </w:tblPr>
      <w:tblGrid>
        <w:gridCol w:w="1582"/>
        <w:gridCol w:w="877"/>
        <w:gridCol w:w="1051"/>
        <w:gridCol w:w="948"/>
        <w:gridCol w:w="1047"/>
        <w:gridCol w:w="860"/>
        <w:gridCol w:w="798"/>
        <w:gridCol w:w="63"/>
        <w:gridCol w:w="1612"/>
      </w:tblGrid>
      <w:tr w14:paraId="5A21226D">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822" w:hRule="atLeast"/>
        </w:trPr>
        <w:tc>
          <w:tcPr>
            <w:tcW w:w="1582"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05D78E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申请单位</w:t>
            </w:r>
          </w:p>
          <w:p w14:paraId="062860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(盖章)</w:t>
            </w:r>
          </w:p>
        </w:tc>
        <w:tc>
          <w:tcPr>
            <w:tcW w:w="1928" w:type="dxa"/>
            <w:gridSpan w:val="2"/>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B5F60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948"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4C1109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责任人</w:t>
            </w:r>
          </w:p>
        </w:tc>
        <w:tc>
          <w:tcPr>
            <w:tcW w:w="1047"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6234C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860"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F39520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电话</w:t>
            </w:r>
          </w:p>
        </w:tc>
        <w:tc>
          <w:tcPr>
            <w:tcW w:w="2473" w:type="dxa"/>
            <w:gridSpan w:val="3"/>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72A340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44442D48">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17"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CFE67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地点</w:t>
            </w:r>
          </w:p>
        </w:tc>
        <w:tc>
          <w:tcPr>
            <w:tcW w:w="7256" w:type="dxa"/>
            <w:gridSpan w:val="8"/>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9777D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镇            村        组，山名：</w:t>
            </w:r>
          </w:p>
        </w:tc>
      </w:tr>
      <w:tr w14:paraId="351E079E">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822"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D958E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小班号</w:t>
            </w:r>
          </w:p>
        </w:tc>
        <w:tc>
          <w:tcPr>
            <w:tcW w:w="8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8A1F01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1051"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ED652C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小地名</w:t>
            </w:r>
          </w:p>
        </w:tc>
        <w:tc>
          <w:tcPr>
            <w:tcW w:w="948"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D0045B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1047"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1C8C9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面积</w:t>
            </w:r>
          </w:p>
        </w:tc>
        <w:tc>
          <w:tcPr>
            <w:tcW w:w="860"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71EE12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798" w:type="dxa"/>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5BBC42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地类</w:t>
            </w:r>
          </w:p>
        </w:tc>
        <w:tc>
          <w:tcPr>
            <w:tcW w:w="1675" w:type="dxa"/>
            <w:gridSpan w:val="2"/>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62A25A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2DD19151">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749"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319B19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用火目的</w:t>
            </w:r>
          </w:p>
        </w:tc>
        <w:tc>
          <w:tcPr>
            <w:tcW w:w="287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666861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931FED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风力</w:t>
            </w:r>
          </w:p>
          <w:p w14:paraId="3119AA6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等级</w:t>
            </w:r>
          </w:p>
        </w:tc>
        <w:tc>
          <w:tcPr>
            <w:tcW w:w="3333"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DFC472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三级以下</w:t>
            </w:r>
          </w:p>
        </w:tc>
      </w:tr>
      <w:tr w14:paraId="315072D5">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413"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348CC8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用火日期</w:t>
            </w:r>
          </w:p>
        </w:tc>
        <w:tc>
          <w:tcPr>
            <w:tcW w:w="2876"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05CE9B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 年     月    日至     年    月   日</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794EC8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w:t>
            </w:r>
          </w:p>
          <w:p w14:paraId="5ACEB5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时间</w:t>
            </w:r>
          </w:p>
        </w:tc>
        <w:tc>
          <w:tcPr>
            <w:tcW w:w="3333"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05D99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当天      时       分</w:t>
            </w:r>
          </w:p>
          <w:p w14:paraId="6E2F5FD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至      时      分</w:t>
            </w:r>
          </w:p>
        </w:tc>
      </w:tr>
      <w:tr w14:paraId="679FACFB">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077" w:hRule="atLeast"/>
        </w:trPr>
        <w:tc>
          <w:tcPr>
            <w:tcW w:w="1582" w:type="dxa"/>
            <w:vMerge w:val="restart"/>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B64E8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焚烧点经纬度</w:t>
            </w:r>
          </w:p>
        </w:tc>
        <w:tc>
          <w:tcPr>
            <w:tcW w:w="8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6B841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火点1</w:t>
            </w:r>
          </w:p>
        </w:tc>
        <w:tc>
          <w:tcPr>
            <w:tcW w:w="1999"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9C7C31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0B6CBE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火点6</w:t>
            </w:r>
          </w:p>
        </w:tc>
        <w:tc>
          <w:tcPr>
            <w:tcW w:w="3333" w:type="dxa"/>
            <w:gridSpan w:val="4"/>
            <w:tcBorders>
              <w:top w:val="single" w:color="auto" w:sz="8" w:space="0"/>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8DC7D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3BE1F965">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077"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A997F5D">
            <w:pPr>
              <w:rPr>
                <w:rFonts w:hint="eastAsia" w:ascii="宋体" w:hAnsi="宋体" w:eastAsia="宋体" w:cs="宋体"/>
                <w:sz w:val="18"/>
                <w:szCs w:val="18"/>
              </w:rPr>
            </w:pPr>
          </w:p>
        </w:tc>
        <w:tc>
          <w:tcPr>
            <w:tcW w:w="8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81F1E8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火点2</w:t>
            </w:r>
          </w:p>
        </w:tc>
        <w:tc>
          <w:tcPr>
            <w:tcW w:w="1999"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74A47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DEB787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火点7</w:t>
            </w:r>
          </w:p>
        </w:tc>
        <w:tc>
          <w:tcPr>
            <w:tcW w:w="3333"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E4FC24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06D11C36">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1077"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A55C7B">
            <w:pPr>
              <w:rPr>
                <w:rFonts w:hint="eastAsia" w:ascii="宋体" w:hAnsi="宋体" w:eastAsia="宋体" w:cs="宋体"/>
                <w:sz w:val="18"/>
                <w:szCs w:val="18"/>
              </w:rPr>
            </w:pPr>
          </w:p>
        </w:tc>
        <w:tc>
          <w:tcPr>
            <w:tcW w:w="8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360D8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火点3</w:t>
            </w:r>
          </w:p>
        </w:tc>
        <w:tc>
          <w:tcPr>
            <w:tcW w:w="1999"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1AB3A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0A3C37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火点8</w:t>
            </w:r>
          </w:p>
        </w:tc>
        <w:tc>
          <w:tcPr>
            <w:tcW w:w="3333"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624314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7980B620">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077"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4BB809E">
            <w:pPr>
              <w:rPr>
                <w:rFonts w:hint="eastAsia" w:ascii="宋体" w:hAnsi="宋体" w:eastAsia="宋体" w:cs="宋体"/>
                <w:sz w:val="18"/>
                <w:szCs w:val="18"/>
              </w:rPr>
            </w:pPr>
          </w:p>
        </w:tc>
        <w:tc>
          <w:tcPr>
            <w:tcW w:w="8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C1D118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火点4</w:t>
            </w:r>
          </w:p>
        </w:tc>
        <w:tc>
          <w:tcPr>
            <w:tcW w:w="1999"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57E657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1702BA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火点9</w:t>
            </w:r>
          </w:p>
        </w:tc>
        <w:tc>
          <w:tcPr>
            <w:tcW w:w="3333"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7CC8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6243A2DA">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077"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EA96537">
            <w:pPr>
              <w:rPr>
                <w:rFonts w:hint="eastAsia" w:ascii="宋体" w:hAnsi="宋体" w:eastAsia="宋体" w:cs="宋体"/>
                <w:sz w:val="18"/>
                <w:szCs w:val="18"/>
              </w:rPr>
            </w:pPr>
          </w:p>
        </w:tc>
        <w:tc>
          <w:tcPr>
            <w:tcW w:w="87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4BE349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火点5</w:t>
            </w:r>
          </w:p>
        </w:tc>
        <w:tc>
          <w:tcPr>
            <w:tcW w:w="1999"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8364D4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c>
          <w:tcPr>
            <w:tcW w:w="1047"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5F3959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火点10</w:t>
            </w:r>
          </w:p>
        </w:tc>
        <w:tc>
          <w:tcPr>
            <w:tcW w:w="3333"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087393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东经         北纬</w:t>
            </w:r>
          </w:p>
        </w:tc>
      </w:tr>
      <w:tr w14:paraId="145A2E14">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1243" w:hRule="atLeast"/>
        </w:trPr>
        <w:tc>
          <w:tcPr>
            <w:tcW w:w="1582" w:type="dxa"/>
            <w:vMerge w:val="restart"/>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5B3C06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安全措施落实情况</w:t>
            </w:r>
          </w:p>
        </w:tc>
        <w:tc>
          <w:tcPr>
            <w:tcW w:w="4783"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01B3C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1.是否签订《野外用火安全承诺书》，用火山场周边是否开设10米以上的防火隔离带。</w:t>
            </w:r>
          </w:p>
        </w:tc>
        <w:tc>
          <w:tcPr>
            <w:tcW w:w="861"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76211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61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A006AE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1C856CF0">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1025"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4A88275">
            <w:pPr>
              <w:rPr>
                <w:rFonts w:hint="eastAsia" w:ascii="宋体" w:hAnsi="宋体" w:eastAsia="宋体" w:cs="宋体"/>
                <w:sz w:val="18"/>
                <w:szCs w:val="18"/>
              </w:rPr>
            </w:pPr>
          </w:p>
        </w:tc>
        <w:tc>
          <w:tcPr>
            <w:tcW w:w="4783"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2C63A3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2.用火单位（个人）组织好10-30人的防火扑火队伍。</w:t>
            </w:r>
          </w:p>
        </w:tc>
        <w:tc>
          <w:tcPr>
            <w:tcW w:w="861"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84EF95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61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A74D2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51DCE447">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822"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B4394D5">
            <w:pPr>
              <w:rPr>
                <w:rFonts w:hint="eastAsia" w:ascii="宋体" w:hAnsi="宋体" w:eastAsia="宋体" w:cs="宋体"/>
                <w:sz w:val="18"/>
                <w:szCs w:val="18"/>
              </w:rPr>
            </w:pPr>
          </w:p>
        </w:tc>
        <w:tc>
          <w:tcPr>
            <w:tcW w:w="4783"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957D6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3.用火单位（个人）准备好防火扑火工具（附工具清单）</w:t>
            </w:r>
          </w:p>
        </w:tc>
        <w:tc>
          <w:tcPr>
            <w:tcW w:w="861"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F7B11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61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9D2DFA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50ED6DD3">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1438"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4C87FCA">
            <w:pPr>
              <w:rPr>
                <w:rFonts w:hint="eastAsia" w:ascii="宋体" w:hAnsi="宋体" w:eastAsia="宋体" w:cs="宋体"/>
                <w:sz w:val="18"/>
                <w:szCs w:val="18"/>
              </w:rPr>
            </w:pPr>
          </w:p>
        </w:tc>
        <w:tc>
          <w:tcPr>
            <w:tcW w:w="4783"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7C0F94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4.生产性用火山场内无分布国家级或省级重点保护野生动植物，或对上述保护的野生动植物已采取有效的防火隔离措施。</w:t>
            </w:r>
          </w:p>
        </w:tc>
        <w:tc>
          <w:tcPr>
            <w:tcW w:w="861"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9300EB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是否完成</w:t>
            </w:r>
          </w:p>
        </w:tc>
        <w:tc>
          <w:tcPr>
            <w:tcW w:w="161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ADC426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512C4DF5">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852" w:hRule="atLeast"/>
        </w:trPr>
        <w:tc>
          <w:tcPr>
            <w:tcW w:w="1582" w:type="dxa"/>
            <w:vMerge w:val="continue"/>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0A5CDE">
            <w:pPr>
              <w:rPr>
                <w:rFonts w:hint="eastAsia" w:ascii="宋体" w:hAnsi="宋体" w:eastAsia="宋体" w:cs="宋体"/>
                <w:sz w:val="18"/>
                <w:szCs w:val="18"/>
              </w:rPr>
            </w:pPr>
          </w:p>
        </w:tc>
        <w:tc>
          <w:tcPr>
            <w:tcW w:w="4783" w:type="dxa"/>
            <w:gridSpan w:val="5"/>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9E0BC1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left"/>
            </w:pPr>
            <w:r>
              <w:rPr>
                <w:rFonts w:hint="default" w:ascii="仿宋_GB2312" w:hAnsi="宋体" w:eastAsia="仿宋_GB2312" w:cs="仿宋_GB2312"/>
                <w:kern w:val="0"/>
                <w:sz w:val="24"/>
                <w:szCs w:val="24"/>
                <w:bdr w:val="none" w:color="auto" w:sz="0" w:space="0"/>
                <w:lang w:val="en-US" w:eastAsia="zh-CN" w:bidi="ar"/>
              </w:rPr>
              <w:t>5.高火险天气或风力等级超过3级需立即停止野外用火。</w:t>
            </w:r>
          </w:p>
        </w:tc>
        <w:tc>
          <w:tcPr>
            <w:tcW w:w="861"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9CEE9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是否安排</w:t>
            </w:r>
          </w:p>
        </w:tc>
        <w:tc>
          <w:tcPr>
            <w:tcW w:w="161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65EA88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r>
      <w:tr w14:paraId="266B55AB">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2732"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5278918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53059DF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1882BA4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3F4A006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安全措施</w:t>
            </w:r>
          </w:p>
          <w:p w14:paraId="6A78FEC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落实情况</w:t>
            </w:r>
          </w:p>
        </w:tc>
        <w:tc>
          <w:tcPr>
            <w:tcW w:w="7256" w:type="dxa"/>
            <w:gridSpan w:val="8"/>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304F88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105A954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4A12F7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27AD11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0AF12C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1D3F78B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469A6FA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安全责任落实负责人（签名）：                   年    月    日</w:t>
            </w:r>
          </w:p>
        </w:tc>
      </w:tr>
      <w:tr w14:paraId="7EA7805D">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2732"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2F26A2D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5630790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2B60FE6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村级</w:t>
            </w:r>
          </w:p>
          <w:p w14:paraId="306825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审批意见</w:t>
            </w:r>
          </w:p>
        </w:tc>
        <w:tc>
          <w:tcPr>
            <w:tcW w:w="7256" w:type="dxa"/>
            <w:gridSpan w:val="8"/>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3173E34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022917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1D06481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5C5378D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569F62B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46807AF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0FC8723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负责人（签名）：         单位（盖章）：          年     月    日</w:t>
            </w:r>
          </w:p>
        </w:tc>
      </w:tr>
      <w:tr w14:paraId="0B9E883F">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2026" w:hRule="atLeast"/>
        </w:trPr>
        <w:tc>
          <w:tcPr>
            <w:tcW w:w="1582"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35ECCDE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765A313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7173C1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乡镇（街道）审批意见</w:t>
            </w:r>
          </w:p>
        </w:tc>
        <w:tc>
          <w:tcPr>
            <w:tcW w:w="7256" w:type="dxa"/>
            <w:gridSpan w:val="8"/>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top"/>
          </w:tcPr>
          <w:p w14:paraId="271E975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61733A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055EA8C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462243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p w14:paraId="3D030E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负责人（签名）：        单位（盖章）：         年    月     日</w:t>
            </w:r>
          </w:p>
        </w:tc>
      </w:tr>
    </w:tbl>
    <w:p w14:paraId="34D58275">
      <w:pPr>
        <w:keepNext w:val="0"/>
        <w:keepLines w:val="0"/>
        <w:widowControl/>
        <w:suppressLineNumbers w:val="0"/>
        <w:jc w:val="left"/>
      </w:pPr>
    </w:p>
    <w:p w14:paraId="0022E5D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附件4</w:t>
      </w:r>
    </w:p>
    <w:tbl>
      <w:tblPr>
        <w:tblW w:w="14779" w:type="dxa"/>
        <w:tblInd w:w="135" w:type="dxa"/>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Layout w:type="autofit"/>
        <w:tblCellMar>
          <w:top w:w="15" w:type="dxa"/>
          <w:left w:w="15" w:type="dxa"/>
          <w:bottom w:w="15" w:type="dxa"/>
          <w:right w:w="15" w:type="dxa"/>
        </w:tblCellMar>
      </w:tblPr>
      <w:tblGrid>
        <w:gridCol w:w="820"/>
        <w:gridCol w:w="1006"/>
        <w:gridCol w:w="2063"/>
        <w:gridCol w:w="1582"/>
        <w:gridCol w:w="1262"/>
        <w:gridCol w:w="1448"/>
        <w:gridCol w:w="1349"/>
        <w:gridCol w:w="1324"/>
        <w:gridCol w:w="1202"/>
        <w:gridCol w:w="1238"/>
        <w:gridCol w:w="1485"/>
      </w:tblGrid>
      <w:tr w14:paraId="490A23A8">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74" w:hRule="atLeast"/>
        </w:trPr>
        <w:tc>
          <w:tcPr>
            <w:tcW w:w="654" w:type="dxa"/>
            <w:tcBorders>
              <w:top w:val="nil"/>
              <w:left w:val="nil"/>
              <w:bottom w:val="single" w:color="auto" w:sz="8" w:space="0"/>
              <w:right w:val="nil"/>
            </w:tcBorders>
            <w:shd w:val="clear"/>
            <w:tcMar>
              <w:top w:w="0" w:type="dxa"/>
              <w:left w:w="0" w:type="dxa"/>
              <w:bottom w:w="0" w:type="dxa"/>
              <w:right w:w="0" w:type="dxa"/>
            </w:tcMar>
            <w:vAlign w:val="top"/>
          </w:tcPr>
          <w:p w14:paraId="6593DE2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4125" w:type="dxa"/>
            <w:gridSpan w:val="10"/>
            <w:tcBorders>
              <w:top w:val="nil"/>
              <w:left w:val="nil"/>
              <w:bottom w:val="single" w:color="auto" w:sz="8" w:space="0"/>
              <w:right w:val="nil"/>
            </w:tcBorders>
            <w:shd w:val="clear"/>
            <w:tcMar>
              <w:top w:w="0" w:type="dxa"/>
              <w:left w:w="0" w:type="dxa"/>
              <w:bottom w:w="0" w:type="dxa"/>
              <w:right w:w="0" w:type="dxa"/>
            </w:tcMar>
            <w:vAlign w:val="top"/>
          </w:tcPr>
          <w:p w14:paraId="7AB4220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default" w:ascii="方正小标宋简体" w:hAnsi="方正小标宋简体" w:eastAsia="方正小标宋简体" w:cs="方正小标宋简体"/>
                <w:kern w:val="0"/>
                <w:sz w:val="44"/>
                <w:szCs w:val="44"/>
                <w:bdr w:val="none" w:color="auto" w:sz="0" w:space="0"/>
                <w:lang w:val="en-US" w:eastAsia="zh-CN" w:bidi="ar"/>
              </w:rPr>
              <w:t>新田县森林防火区野外用火报备表</w:t>
            </w:r>
          </w:p>
          <w:p w14:paraId="21105B7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方正小标宋简体" w:hAnsi="方正小标宋简体" w:eastAsia="方正小标宋简体" w:cs="方正小标宋简体"/>
                <w:kern w:val="0"/>
                <w:sz w:val="44"/>
                <w:szCs w:val="44"/>
                <w:bdr w:val="none" w:color="auto" w:sz="0" w:space="0"/>
                <w:lang w:val="en-US" w:eastAsia="zh-CN" w:bidi="ar"/>
              </w:rPr>
              <w:t> </w:t>
            </w:r>
          </w:p>
        </w:tc>
      </w:tr>
      <w:tr w14:paraId="16F6B304">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611" w:hRule="atLeast"/>
        </w:trPr>
        <w:tc>
          <w:tcPr>
            <w:tcW w:w="654" w:type="dxa"/>
            <w:tcBorders>
              <w:top w:val="nil"/>
              <w:left w:val="single" w:color="auto" w:sz="8" w:space="0"/>
              <w:bottom w:val="single" w:color="auto" w:sz="8" w:space="0"/>
              <w:right w:val="single" w:color="auto" w:sz="8" w:space="0"/>
            </w:tcBorders>
            <w:shd w:val="clear"/>
            <w:tcMar>
              <w:top w:w="0" w:type="dxa"/>
              <w:left w:w="0" w:type="dxa"/>
              <w:bottom w:w="0" w:type="dxa"/>
              <w:right w:w="0" w:type="dxa"/>
            </w:tcMar>
            <w:vAlign w:val="center"/>
          </w:tcPr>
          <w:p w14:paraId="0AB4F16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序号</w:t>
            </w:r>
          </w:p>
        </w:tc>
        <w:tc>
          <w:tcPr>
            <w:tcW w:w="1011" w:type="dxa"/>
            <w:tcBorders>
              <w:top w:val="nil"/>
              <w:left w:val="nil"/>
              <w:bottom w:val="single" w:color="auto" w:sz="8" w:space="0"/>
              <w:right w:val="single" w:color="auto" w:sz="8" w:space="0"/>
            </w:tcBorders>
            <w:shd w:val="clear"/>
            <w:tcMar>
              <w:top w:w="0" w:type="dxa"/>
              <w:left w:w="0" w:type="dxa"/>
              <w:bottom w:w="0" w:type="dxa"/>
              <w:right w:w="0" w:type="dxa"/>
            </w:tcMar>
            <w:vAlign w:val="center"/>
          </w:tcPr>
          <w:p w14:paraId="5D06FFD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用火时间</w:t>
            </w:r>
          </w:p>
        </w:tc>
        <w:tc>
          <w:tcPr>
            <w:tcW w:w="2099"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29CFEA7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用火地点</w:t>
            </w:r>
          </w:p>
        </w:tc>
        <w:tc>
          <w:tcPr>
            <w:tcW w:w="1604"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2312EC6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经纬度</w:t>
            </w:r>
          </w:p>
        </w:tc>
        <w:tc>
          <w:tcPr>
            <w:tcW w:w="1275"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06B23F6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申请人</w:t>
            </w:r>
          </w:p>
        </w:tc>
        <w:tc>
          <w:tcPr>
            <w:tcW w:w="1466"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2590091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联系方式</w:t>
            </w:r>
          </w:p>
        </w:tc>
        <w:tc>
          <w:tcPr>
            <w:tcW w:w="1364"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23D398D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监烧人</w:t>
            </w:r>
          </w:p>
        </w:tc>
        <w:tc>
          <w:tcPr>
            <w:tcW w:w="1339"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71ECAE0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联系方式</w:t>
            </w:r>
          </w:p>
        </w:tc>
        <w:tc>
          <w:tcPr>
            <w:tcW w:w="1213"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0E4AD38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面积（亩）/火点数量</w:t>
            </w:r>
          </w:p>
        </w:tc>
        <w:tc>
          <w:tcPr>
            <w:tcW w:w="1250"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0B43873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用火类型</w:t>
            </w:r>
          </w:p>
        </w:tc>
        <w:tc>
          <w:tcPr>
            <w:tcW w:w="1504" w:type="dxa"/>
            <w:tcBorders>
              <w:top w:val="single" w:color="auto" w:sz="8" w:space="0"/>
              <w:left w:val="nil"/>
              <w:bottom w:val="single" w:color="auto" w:sz="8" w:space="0"/>
              <w:right w:val="single" w:color="auto" w:sz="8" w:space="0"/>
            </w:tcBorders>
            <w:shd w:val="clear"/>
            <w:tcMar>
              <w:top w:w="0" w:type="dxa"/>
              <w:left w:w="0" w:type="dxa"/>
              <w:bottom w:w="0" w:type="dxa"/>
              <w:right w:w="0" w:type="dxa"/>
            </w:tcMar>
            <w:vAlign w:val="center"/>
          </w:tcPr>
          <w:p w14:paraId="21F942D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jc w:val="center"/>
            </w:pPr>
            <w:r>
              <w:rPr>
                <w:rFonts w:hint="default" w:ascii="仿宋_GB2312" w:hAnsi="宋体" w:eastAsia="仿宋_GB2312" w:cs="仿宋_GB2312"/>
                <w:kern w:val="0"/>
                <w:sz w:val="24"/>
                <w:szCs w:val="24"/>
                <w:bdr w:val="none" w:color="auto" w:sz="0" w:space="0"/>
                <w:lang w:val="en-US" w:eastAsia="zh-CN" w:bidi="ar"/>
              </w:rPr>
              <w:t>备注</w:t>
            </w:r>
          </w:p>
        </w:tc>
      </w:tr>
      <w:tr w14:paraId="6AF238D0">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auto" w:sz="8" w:space="0"/>
              <w:right w:val="single" w:color="auto" w:sz="8" w:space="0"/>
            </w:tcBorders>
            <w:shd w:val="clear"/>
            <w:tcMar>
              <w:top w:w="0" w:type="dxa"/>
              <w:left w:w="0" w:type="dxa"/>
              <w:bottom w:w="0" w:type="dxa"/>
              <w:right w:w="0" w:type="dxa"/>
            </w:tcMar>
            <w:vAlign w:val="top"/>
          </w:tcPr>
          <w:p w14:paraId="4FF2DF3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0D209F2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3859DD6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258F8E1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3BCBF30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7D18008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3DDCCAE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21BF511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4209C8C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75DA68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nil"/>
              <w:bottom w:val="single" w:color="auto" w:sz="8" w:space="0"/>
              <w:right w:val="single" w:color="auto" w:sz="8" w:space="0"/>
            </w:tcBorders>
            <w:shd w:val="clear"/>
            <w:tcMar>
              <w:top w:w="0" w:type="dxa"/>
              <w:left w:w="0" w:type="dxa"/>
              <w:bottom w:w="0" w:type="dxa"/>
              <w:right w:w="0" w:type="dxa"/>
            </w:tcMar>
            <w:vAlign w:val="top"/>
          </w:tcPr>
          <w:p w14:paraId="767130F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3D225C05">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2F40204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70608B3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15EAE3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779A1E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6AD095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130557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28A374A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AB143D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7B0CC60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E0CC90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685027A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61B35F80">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422A26C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A40A7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B70F53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237E8C5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AF5CF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24E99E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3CE01C5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23A624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1A4E45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B5FF44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0864953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3951939C">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07AC6A4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3009EF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7441E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75ABA87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A5A9E3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ACB446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B88AD3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1D3F02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73A0D5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736EF88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7F78B54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2C7577D8">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12623F0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E2B95E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29716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090BEE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14DB21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A432F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2AE7CA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A51219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30F3E4E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2C9617D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28AA4E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3FDA54AA">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6D76339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8C02D3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C3C278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8CFF2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3C891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12B24B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ED57BB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4C25DB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C79F08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B49E83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122784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7407EED1">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10BA85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70C8D8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333AAD2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60CE5E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FF1A2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1BE30E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147CD8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2FFE6D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A9815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814371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5D3331B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80"/>
              <w:jc w:val="left"/>
            </w:pPr>
            <w:r>
              <w:rPr>
                <w:rFonts w:hint="default" w:ascii="仿宋_GB2312" w:hAnsi="宋体" w:eastAsia="仿宋_GB2312" w:cs="仿宋_GB2312"/>
                <w:kern w:val="0"/>
                <w:sz w:val="24"/>
                <w:szCs w:val="24"/>
                <w:bdr w:val="none" w:color="auto" w:sz="0" w:space="0"/>
                <w:lang w:val="en-US" w:eastAsia="zh-CN" w:bidi="ar"/>
              </w:rPr>
              <w:t> </w:t>
            </w:r>
          </w:p>
        </w:tc>
      </w:tr>
      <w:tr w14:paraId="734897EB">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shd w:val="clear"/>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000000" w:sz="8" w:space="0"/>
              <w:right w:val="single" w:color="000000" w:sz="8" w:space="0"/>
            </w:tcBorders>
            <w:shd w:val="clear"/>
            <w:tcMar>
              <w:top w:w="0" w:type="dxa"/>
              <w:left w:w="0" w:type="dxa"/>
              <w:bottom w:w="0" w:type="dxa"/>
              <w:right w:w="0" w:type="dxa"/>
            </w:tcMar>
            <w:vAlign w:val="top"/>
          </w:tcPr>
          <w:p w14:paraId="12D39F5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011"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B054CE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209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0872FBA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60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2F6B58D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275"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5DB87A3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466"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113E3CF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364"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5D3F2F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339"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5352AB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213"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45F6DF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250" w:type="dxa"/>
            <w:tcBorders>
              <w:top w:val="nil"/>
              <w:left w:val="single" w:color="000000" w:sz="8" w:space="0"/>
              <w:bottom w:val="single" w:color="000000" w:sz="8" w:space="0"/>
              <w:right w:val="single" w:color="000000" w:sz="8" w:space="0"/>
            </w:tcBorders>
            <w:shd w:val="clear"/>
            <w:tcMar>
              <w:top w:w="0" w:type="dxa"/>
              <w:left w:w="0" w:type="dxa"/>
              <w:bottom w:w="0" w:type="dxa"/>
              <w:right w:w="0" w:type="dxa"/>
            </w:tcMar>
            <w:vAlign w:val="top"/>
          </w:tcPr>
          <w:p w14:paraId="450B352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504" w:type="dxa"/>
            <w:tcBorders>
              <w:top w:val="nil"/>
              <w:left w:val="single" w:color="000000" w:sz="8" w:space="0"/>
              <w:bottom w:val="single" w:color="000000" w:sz="8" w:space="0"/>
              <w:right w:val="single" w:color="auto" w:sz="8" w:space="0"/>
            </w:tcBorders>
            <w:shd w:val="clear"/>
            <w:tcMar>
              <w:top w:w="0" w:type="dxa"/>
              <w:left w:w="0" w:type="dxa"/>
              <w:bottom w:w="0" w:type="dxa"/>
              <w:right w:w="0" w:type="dxa"/>
            </w:tcMar>
            <w:vAlign w:val="top"/>
          </w:tcPr>
          <w:p w14:paraId="5529F12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r>
      <w:tr w14:paraId="44749311">
        <w:tblPrEx>
          <w:tblBorders>
            <w:top w:val="none" w:color="auto" w:sz="6" w:space="0"/>
            <w:left w:val="none" w:color="auto" w:sz="6" w:space="0"/>
            <w:bottom w:val="none" w:color="auto" w:sz="6" w:space="0"/>
            <w:right w:val="none" w:color="auto" w:sz="6" w:space="0"/>
            <w:insideH w:val="outset" w:color="auto" w:sz="6" w:space="0"/>
            <w:insideV w:val="outset" w:color="auto" w:sz="6" w:space="0"/>
          </w:tblBorders>
          <w:tblCellMar>
            <w:top w:w="15" w:type="dxa"/>
            <w:left w:w="15" w:type="dxa"/>
            <w:bottom w:w="15" w:type="dxa"/>
            <w:right w:w="15" w:type="dxa"/>
          </w:tblCellMar>
        </w:tblPrEx>
        <w:trPr>
          <w:trHeight w:val="565" w:hRule="atLeast"/>
        </w:trPr>
        <w:tc>
          <w:tcPr>
            <w:tcW w:w="654" w:type="dxa"/>
            <w:tcBorders>
              <w:top w:val="nil"/>
              <w:left w:val="single" w:color="auto" w:sz="8" w:space="0"/>
              <w:bottom w:val="single" w:color="auto" w:sz="8" w:space="0"/>
              <w:right w:val="single" w:color="000000" w:sz="8" w:space="0"/>
            </w:tcBorders>
            <w:shd w:val="clear"/>
            <w:tcMar>
              <w:top w:w="0" w:type="dxa"/>
              <w:left w:w="0" w:type="dxa"/>
              <w:bottom w:w="0" w:type="dxa"/>
              <w:right w:w="0" w:type="dxa"/>
            </w:tcMar>
            <w:vAlign w:val="top"/>
          </w:tcPr>
          <w:p w14:paraId="5A8FB7D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011"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40EB09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2099"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110383C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604"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51BC35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275"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58F77C6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466"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21F5E74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364"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22E798E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339"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63F48E2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213"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158107D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250" w:type="dxa"/>
            <w:tcBorders>
              <w:top w:val="nil"/>
              <w:left w:val="single" w:color="000000" w:sz="8" w:space="0"/>
              <w:bottom w:val="single" w:color="auto" w:sz="8" w:space="0"/>
              <w:right w:val="single" w:color="000000" w:sz="8" w:space="0"/>
            </w:tcBorders>
            <w:shd w:val="clear"/>
            <w:tcMar>
              <w:top w:w="0" w:type="dxa"/>
              <w:left w:w="0" w:type="dxa"/>
              <w:bottom w:w="0" w:type="dxa"/>
              <w:right w:w="0" w:type="dxa"/>
            </w:tcMar>
            <w:vAlign w:val="top"/>
          </w:tcPr>
          <w:p w14:paraId="7B4790E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c>
          <w:tcPr>
            <w:tcW w:w="1504" w:type="dxa"/>
            <w:tcBorders>
              <w:top w:val="nil"/>
              <w:left w:val="single" w:color="000000" w:sz="8" w:space="0"/>
              <w:bottom w:val="single" w:color="auto" w:sz="8" w:space="0"/>
              <w:right w:val="single" w:color="auto" w:sz="8" w:space="0"/>
            </w:tcBorders>
            <w:shd w:val="clear"/>
            <w:tcMar>
              <w:top w:w="0" w:type="dxa"/>
              <w:left w:w="0" w:type="dxa"/>
              <w:bottom w:w="0" w:type="dxa"/>
              <w:right w:w="0" w:type="dxa"/>
            </w:tcMar>
            <w:vAlign w:val="top"/>
          </w:tcPr>
          <w:p w14:paraId="440523B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jc w:val="left"/>
            </w:pPr>
            <w:r>
              <w:rPr>
                <w:rFonts w:hint="default" w:ascii="仿宋_GB2312" w:hAnsi="宋体" w:eastAsia="仿宋_GB2312" w:cs="仿宋_GB2312"/>
                <w:kern w:val="0"/>
                <w:sz w:val="32"/>
                <w:szCs w:val="32"/>
                <w:bdr w:val="none" w:color="auto" w:sz="0" w:space="0"/>
                <w:lang w:val="en-US" w:eastAsia="zh-CN" w:bidi="ar"/>
              </w:rPr>
              <w:t> </w:t>
            </w:r>
          </w:p>
        </w:tc>
      </w:tr>
    </w:tbl>
    <w:p w14:paraId="4165408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4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556CD1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21B99CF5">
      <w:pPr>
        <w:keepNext w:val="0"/>
        <w:keepLines w:val="0"/>
        <w:widowControl/>
        <w:suppressLineNumbers w:val="0"/>
        <w:jc w:val="left"/>
      </w:pPr>
    </w:p>
    <w:p w14:paraId="56DCAA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新田县人民政府</w:t>
      </w:r>
    </w:p>
    <w:p w14:paraId="73CC90F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关于划定秸秆禁烧区和限烧区的通告</w:t>
      </w:r>
    </w:p>
    <w:p w14:paraId="582117F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新政函〔2024〕95号</w:t>
      </w:r>
    </w:p>
    <w:p w14:paraId="58D095F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XTDR-2024-00005</w:t>
      </w:r>
    </w:p>
    <w:p w14:paraId="4B151AE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ascii="楷体_GB2312" w:hAnsi="宋体" w:eastAsia="楷体_GB2312" w:cs="楷体_GB2312"/>
          <w:i w:val="0"/>
          <w:iCs w:val="0"/>
          <w:caps w:val="0"/>
          <w:color w:val="000000"/>
          <w:spacing w:val="0"/>
          <w:kern w:val="0"/>
          <w:sz w:val="21"/>
          <w:szCs w:val="21"/>
          <w:bdr w:val="none" w:color="auto" w:sz="0" w:space="0"/>
          <w:lang w:val="en-US" w:eastAsia="zh-CN" w:bidi="ar"/>
        </w:rPr>
        <w:t> </w:t>
      </w:r>
    </w:p>
    <w:p w14:paraId="7FD3751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为科学有效管控露天焚烧秸秆，减少对环境空气质量的影响，保障人民群众生命财产安全，根据《中华人民共和国大气污染防治法》《湖南省大气污染防治条例》《湖南省重污染天气防治若干规定》等有关规定，结合我县实际，现就划定新田县秸秆禁烧区和限烧区的有关事项通告如下：</w:t>
      </w:r>
    </w:p>
    <w:p w14:paraId="5EE9D81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一、禁烧的秸秆种类</w:t>
      </w:r>
    </w:p>
    <w:p w14:paraId="0EABE09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本通告所指秸秆包括水稻、玉米、油菜、豆类、薯类、甘蔗、烟草等农作物收获籽实后的剩余部分，露天焚烧树枝、落叶、杂草、垃圾等参照秸秆管理。</w:t>
      </w:r>
    </w:p>
    <w:p w14:paraId="32D703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二、秸秆禁烧区及管控要求</w:t>
      </w:r>
    </w:p>
    <w:p w14:paraId="1A71A2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ascii="楷体" w:hAnsi="楷体" w:eastAsia="楷体" w:cs="楷体"/>
          <w:b/>
          <w:bCs/>
          <w:i w:val="0"/>
          <w:iCs w:val="0"/>
          <w:caps w:val="0"/>
          <w:color w:val="000000"/>
          <w:spacing w:val="0"/>
          <w:kern w:val="0"/>
          <w:sz w:val="32"/>
          <w:szCs w:val="32"/>
          <w:bdr w:val="none" w:color="auto" w:sz="0" w:space="0"/>
          <w:lang w:val="en-US" w:eastAsia="zh-CN" w:bidi="ar"/>
        </w:rPr>
        <w:t>（一）秸秆禁烧区</w:t>
      </w:r>
    </w:p>
    <w:p w14:paraId="13A9DD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1.县城建成区，及沿边界外延1公里范围：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朝阳社区、大历县村、洞源村、蛟龙塘村、</w:t>
      </w:r>
      <w:r>
        <w:rPr>
          <w:rFonts w:hint="eastAsia" w:ascii="宋体" w:hAnsi="宋体" w:eastAsia="宋体" w:cs="宋体"/>
          <w:i w:val="0"/>
          <w:iCs w:val="0"/>
          <w:caps w:val="0"/>
          <w:color w:val="000000"/>
          <w:spacing w:val="0"/>
          <w:kern w:val="0"/>
          <w:sz w:val="32"/>
          <w:szCs w:val="32"/>
          <w:bdr w:val="none" w:color="auto" w:sz="0" w:space="0"/>
          <w:lang w:val="en-US" w:eastAsia="zh-CN" w:bidi="ar"/>
        </w:rPr>
        <w:t>砠</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下村、龙脉塘村、梅湾村、双碧社区、双胜社区、潭田村、小岗村、新华社区、兴泉村、秀峰社区、鱼游村、源头村。</w:t>
      </w:r>
    </w:p>
    <w:p w14:paraId="41BFF0E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2.高速公路两侧（以外侧为起点）外延300米范围：</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桂新高速新田段（在建）沿线白杜尧村、潮水铺村、大坪塘社区、大山仁村、定家村、黄沙溪村、刘家桥村、龙井塘村、梅溪村、石甑源村、五柳塘村、小坪塘村、长富村、知市坪社区。</w:t>
      </w:r>
    </w:p>
    <w:p w14:paraId="12611B7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3.国道、省道公路干线两侧（以外侧为起点）外延100米范围：</w:t>
      </w:r>
    </w:p>
    <w:p w14:paraId="0912355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（1）国道G234道路两侧：</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鳌头社区、白杜村、大元冲村、佃湾村、挂兰村、侯桥村、金陵圩社区、莲花塘村、临河村、龙会寺社区、龙会潭村、龙溪村、龙珠村、磨刀岭村、坪洞村、仁岗村、山林岗村、山田湾村、上游村、神桥村、双溪岭村、下户社区、心安村、永桂城社区、竹林坪村。</w:t>
      </w:r>
    </w:p>
    <w:p w14:paraId="0398384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（2）省道S227、S229、S345道路两侧：</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豪山村、合福坊村、洪仁村、枧头社区、邝胡社区、篮田村、老夏荣社区、乐聪村、李家社区、李郁村、留家田村、龙元茂社区、毛里坪社区、彭梓城村、青龙村、三占塘村、上坪村、十字社区、石古湾村、石门头村、陶市社区、田心村、桐木窝村、土桥坪村、小源村、新圩社区、秀岗村、云溪欧家村、周家村、祖亭下村。</w:t>
      </w:r>
    </w:p>
    <w:p w14:paraId="30F5C92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4.</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各乡镇（街道）辖区范围内的自然保护区、风景名胜区、文物保护单位、油库、粮库、高压输电线路、通讯设施等周围50米以内的区域；全县行政区域内所有林地及距林地边缘50米范围内区域。</w:t>
      </w:r>
    </w:p>
    <w:p w14:paraId="52A153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5.</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法律、法规以及规范性文件规定的其他禁止露天焚烧秸秆的区域。</w:t>
      </w:r>
    </w:p>
    <w:p w14:paraId="17018C7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（二）管控要求</w:t>
      </w:r>
    </w:p>
    <w:p w14:paraId="66C279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禁烧区域实行强制性禁烧管理措施，任何时间、任何气象条件及空气质量状况下，均不允许露天焚烧秸秆。禁烧区设立“秸秆禁烧”明显警示标志。</w:t>
      </w:r>
    </w:p>
    <w:p w14:paraId="042CD47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三、秸秆限烧区及管控要求</w:t>
      </w:r>
    </w:p>
    <w:p w14:paraId="6952E21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（一）秸秆限烧区</w:t>
      </w:r>
    </w:p>
    <w:p w14:paraId="6B433ED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本通告明确的禁烧区外的区域为限烧区。</w:t>
      </w:r>
    </w:p>
    <w:p w14:paraId="25A003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（二）管控要求</w:t>
      </w:r>
    </w:p>
    <w:p w14:paraId="33CE50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在确保人民生命财产安全、防止大气污染、保护广大人民群众身体健康的前提下，充分考虑气象条件、焚烧地点和方式，可开展有序焚烧。</w:t>
      </w:r>
    </w:p>
    <w:p w14:paraId="6181DC6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（三）限烧区禁烧时段</w:t>
      </w:r>
    </w:p>
    <w:p w14:paraId="1104EA2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限烧区内，出现下列情形之一的，应当列入秸秆禁烧时段：</w:t>
      </w:r>
    </w:p>
    <w:p w14:paraId="76F26C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1.风速小、静稳、逆温等不利于大气污染扩散的天气；</w:t>
      </w:r>
    </w:p>
    <w:p w14:paraId="572098C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2.下雨天或者秸秆潮湿不能充分燃烧的天气；</w:t>
      </w:r>
    </w:p>
    <w:p w14:paraId="40E13D3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3.当日19:00至次日7:00夜间时段；</w:t>
      </w:r>
    </w:p>
    <w:p w14:paraId="791FE3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4.环境空气质量预报达到轻度及以上污染天气；</w:t>
      </w:r>
    </w:p>
    <w:p w14:paraId="6860530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5.环境空气质量当日实际监测出现中度及以上污染连续达三小时；</w:t>
      </w:r>
    </w:p>
    <w:p w14:paraId="5CAF031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6.当地已经启动轻度及以上大气污染应对管控措施；</w:t>
      </w:r>
    </w:p>
    <w:p w14:paraId="3B7C576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7.发布三级及以上等级森林火险预警；</w:t>
      </w:r>
    </w:p>
    <w:p w14:paraId="7AC420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8.法律、法规以及规范性文件规定的其他禁止露天焚烧秸秆的时段。</w:t>
      </w:r>
    </w:p>
    <w:p w14:paraId="08DD66E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四、</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违反本通告规定，露天焚烧秸秆产生烟尘污染物的，由相关执法部门责令改正，依法给予行政处罚；露天焚烧秸秆且不听劝阻，阻碍国家机关工作人员依法执行职责的，由公安机关依法给予行政处罚；因露天焚烧秸秆引发的违法行为，由相关执法部门依法给予处罚，构成犯罪的，依法追究刑事责任。</w:t>
      </w:r>
    </w:p>
    <w:p w14:paraId="0518744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五、</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各乡镇人民政府（街道办事处）负责本行政区域内禁止露天焚烧秸秆工作，采取“疏堵结合”方式，落实秸秆禁烧责任，推进秸秆综合利用。各农业专业合作社、种粮大户等新型经营主体要带头做好秸秆禁烧和综合利用工作。</w:t>
      </w:r>
    </w:p>
    <w:p w14:paraId="5FC7E60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六、</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本通告自公布之日起施行，《新田县人民政府关于禁止露天焚烧农作物秸秆的通告》（新政函〔2021〕112号）同时废止。执行中如遇国家、省市相关政策调整，从其规定。</w:t>
      </w:r>
    </w:p>
    <w:p w14:paraId="4410A37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72A71B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附件：新田县秸秆禁烧区和限烧区区划图</w:t>
      </w:r>
    </w:p>
    <w:p w14:paraId="27DF69AC">
      <w:pPr>
        <w:pStyle w:val="2"/>
        <w:keepNext w:val="0"/>
        <w:keepLines w:val="0"/>
        <w:widowControl/>
        <w:suppressLineNumbers w:val="0"/>
        <w:spacing w:before="0" w:beforeAutospacing="0" w:after="0" w:afterAutospacing="0" w:line="560" w:lineRule="atLeast"/>
        <w:ind w:left="0" w:firstLine="640"/>
        <w:jc w:val="left"/>
      </w:pPr>
      <w:r>
        <w:rPr>
          <w:rFonts w:hint="default" w:ascii="仿宋_GB2312" w:eastAsia="仿宋_GB2312" w:cs="仿宋_GB2312"/>
          <w:b/>
          <w:bCs/>
          <w:i w:val="0"/>
          <w:iCs w:val="0"/>
          <w:caps w:val="0"/>
          <w:color w:val="000000"/>
          <w:spacing w:val="0"/>
          <w:sz w:val="32"/>
          <w:szCs w:val="32"/>
        </w:rPr>
        <w:t> </w:t>
      </w:r>
    </w:p>
    <w:p w14:paraId="59931057">
      <w:pPr>
        <w:pStyle w:val="2"/>
        <w:keepNext w:val="0"/>
        <w:keepLines w:val="0"/>
        <w:widowControl/>
        <w:suppressLineNumbers w:val="0"/>
        <w:spacing w:before="0" w:beforeAutospacing="0" w:after="0" w:afterAutospacing="0" w:line="560" w:lineRule="atLeast"/>
        <w:ind w:left="0" w:firstLine="640"/>
        <w:jc w:val="left"/>
      </w:pPr>
      <w:r>
        <w:rPr>
          <w:rFonts w:hint="default" w:ascii="仿宋_GB2312" w:eastAsia="仿宋_GB2312" w:cs="仿宋_GB2312"/>
          <w:b/>
          <w:bCs/>
          <w:i w:val="0"/>
          <w:iCs w:val="0"/>
          <w:caps w:val="0"/>
          <w:color w:val="000000"/>
          <w:spacing w:val="0"/>
          <w:sz w:val="32"/>
          <w:szCs w:val="32"/>
        </w:rPr>
        <w:t> </w:t>
      </w:r>
    </w:p>
    <w:p w14:paraId="2C8E8FE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576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w:t>
      </w:r>
    </w:p>
    <w:p w14:paraId="4233FE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5564"/>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2024年12月31日</w:t>
      </w:r>
    </w:p>
    <w:p w14:paraId="28FBDB31">
      <w:pPr>
        <w:pStyle w:val="2"/>
        <w:keepNext w:val="0"/>
        <w:keepLines w:val="0"/>
        <w:widowControl/>
        <w:suppressLineNumbers w:val="0"/>
        <w:spacing w:before="0" w:beforeAutospacing="0" w:after="0" w:afterAutospacing="0" w:line="560" w:lineRule="atLeast"/>
        <w:jc w:val="left"/>
      </w:pPr>
      <w:r>
        <w:rPr>
          <w:rFonts w:hint="default" w:ascii="Calibri" w:hAnsi="Calibri" w:cs="Calibri"/>
          <w:b/>
          <w:bCs/>
          <w:i w:val="0"/>
          <w:iCs w:val="0"/>
          <w:caps w:val="0"/>
          <w:color w:val="000000"/>
          <w:spacing w:val="0"/>
          <w:sz w:val="36"/>
          <w:szCs w:val="36"/>
        </w:rPr>
        <w:t> </w:t>
      </w:r>
    </w:p>
    <w:p w14:paraId="7EBE0D38">
      <w:pPr>
        <w:pStyle w:val="2"/>
        <w:keepNext w:val="0"/>
        <w:keepLines w:val="0"/>
        <w:widowControl/>
        <w:suppressLineNumbers w:val="0"/>
        <w:spacing w:before="0" w:beforeAutospacing="0" w:after="0" w:afterAutospacing="0" w:line="560" w:lineRule="atLeast"/>
        <w:jc w:val="left"/>
      </w:pPr>
      <w:r>
        <w:rPr>
          <w:rFonts w:hint="default" w:ascii="Calibri" w:hAnsi="Calibri" w:cs="Calibri"/>
          <w:b/>
          <w:bCs/>
          <w:i w:val="0"/>
          <w:iCs w:val="0"/>
          <w:caps w:val="0"/>
          <w:color w:val="000000"/>
          <w:spacing w:val="0"/>
          <w:sz w:val="36"/>
          <w:szCs w:val="36"/>
        </w:rPr>
        <w:t> </w:t>
      </w:r>
    </w:p>
    <w:p w14:paraId="13EC4793">
      <w:pPr>
        <w:pStyle w:val="2"/>
        <w:keepNext w:val="0"/>
        <w:keepLines w:val="0"/>
        <w:widowControl/>
        <w:suppressLineNumbers w:val="0"/>
        <w:spacing w:before="0" w:beforeAutospacing="0" w:after="0" w:afterAutospacing="0" w:line="560" w:lineRule="atLeast"/>
        <w:jc w:val="left"/>
      </w:pPr>
      <w:r>
        <w:rPr>
          <w:rFonts w:hint="default" w:ascii="Calibri" w:hAnsi="Calibri" w:cs="Calibri"/>
          <w:b/>
          <w:bCs/>
          <w:i w:val="0"/>
          <w:iCs w:val="0"/>
          <w:caps w:val="0"/>
          <w:color w:val="000000"/>
          <w:spacing w:val="0"/>
          <w:sz w:val="36"/>
          <w:szCs w:val="36"/>
        </w:rPr>
        <w:t> </w:t>
      </w:r>
    </w:p>
    <w:p w14:paraId="40D014A4">
      <w:pPr>
        <w:pStyle w:val="2"/>
        <w:keepNext w:val="0"/>
        <w:keepLines w:val="0"/>
        <w:widowControl/>
        <w:suppressLineNumbers w:val="0"/>
        <w:spacing w:before="0" w:beforeAutospacing="0" w:after="0" w:afterAutospacing="0" w:line="560" w:lineRule="atLeast"/>
        <w:jc w:val="left"/>
      </w:pPr>
      <w:r>
        <w:rPr>
          <w:rFonts w:hint="default" w:ascii="Calibri" w:hAnsi="Calibri" w:cs="Calibri"/>
          <w:b/>
          <w:bCs/>
          <w:i w:val="0"/>
          <w:iCs w:val="0"/>
          <w:caps w:val="0"/>
          <w:color w:val="000000"/>
          <w:spacing w:val="0"/>
          <w:sz w:val="36"/>
          <w:szCs w:val="36"/>
        </w:rPr>
        <w:t> </w:t>
      </w:r>
    </w:p>
    <w:p w14:paraId="6F66A215">
      <w:pPr>
        <w:pStyle w:val="2"/>
        <w:keepNext w:val="0"/>
        <w:keepLines w:val="0"/>
        <w:widowControl/>
        <w:suppressLineNumbers w:val="0"/>
        <w:spacing w:before="0" w:beforeAutospacing="0" w:after="0" w:afterAutospacing="0" w:line="560" w:lineRule="atLeast"/>
        <w:jc w:val="left"/>
      </w:pPr>
      <w:r>
        <w:rPr>
          <w:rFonts w:hint="eastAsia" w:ascii="宋体" w:hAnsi="宋体" w:eastAsia="宋体" w:cs="宋体"/>
          <w:b/>
          <w:bCs/>
          <w:i w:val="0"/>
          <w:iCs w:val="0"/>
          <w:caps w:val="0"/>
          <w:color w:val="000000"/>
          <w:spacing w:val="0"/>
          <w:sz w:val="36"/>
          <w:szCs w:val="36"/>
        </w:rPr>
        <w:t>附件</w:t>
      </w:r>
    </w:p>
    <w:p w14:paraId="15A5EEF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eastAsia" w:ascii="宋体" w:hAnsi="宋体" w:eastAsia="宋体" w:cs="宋体"/>
          <w:i w:val="0"/>
          <w:iCs w:val="0"/>
          <w:caps w:val="0"/>
          <w:color w:val="000000"/>
          <w:spacing w:val="0"/>
          <w:kern w:val="0"/>
          <w:sz w:val="24"/>
          <w:szCs w:val="24"/>
          <w:bdr w:val="none" w:color="auto" w:sz="0" w:space="0"/>
          <w:lang w:val="en-US" w:eastAsia="zh-CN" w:bidi="ar"/>
        </w:rPr>
        <w:drawing>
          <wp:inline distT="0" distB="0" distL="114300" distR="114300">
            <wp:extent cx="5269230" cy="7193280"/>
            <wp:effectExtent l="0" t="0" r="3810" b="0"/>
            <wp:docPr id="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8"/>
                    <a:stretch>
                      <a:fillRect/>
                    </a:stretch>
                  </pic:blipFill>
                  <pic:spPr>
                    <a:xfrm>
                      <a:off x="0" y="0"/>
                      <a:ext cx="5269230" cy="7193280"/>
                    </a:xfrm>
                    <a:prstGeom prst="rect">
                      <a:avLst/>
                    </a:prstGeom>
                    <a:noFill/>
                    <a:ln w="9525">
                      <a:noFill/>
                    </a:ln>
                  </pic:spPr>
                </pic:pic>
              </a:graphicData>
            </a:graphic>
          </wp:inline>
        </w:drawing>
      </w: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34A96828">
      <w:pPr>
        <w:keepNext w:val="0"/>
        <w:keepLines w:val="0"/>
        <w:widowControl/>
        <w:suppressLineNumbers w:val="0"/>
        <w:jc w:val="left"/>
      </w:pPr>
    </w:p>
    <w:p w14:paraId="3B0D59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textAlignment w:val="baseline"/>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vertAlign w:val="baseline"/>
          <w:lang w:val="en-US" w:eastAsia="zh-CN" w:bidi="ar"/>
        </w:rPr>
        <w:t>新田县人民政府办公室</w:t>
      </w:r>
    </w:p>
    <w:p w14:paraId="53A3BD5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textAlignment w:val="baseline"/>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vertAlign w:val="baseline"/>
          <w:lang w:val="en-US" w:eastAsia="zh-CN" w:bidi="ar"/>
        </w:rPr>
        <w:t>印发《关于建立健全医疗保障基金使用监督</w:t>
      </w:r>
    </w:p>
    <w:p w14:paraId="09F87C3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textAlignment w:val="baseline"/>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vertAlign w:val="baseline"/>
          <w:lang w:val="en-US" w:eastAsia="zh-CN" w:bidi="ar"/>
        </w:rPr>
        <w:t>管理长效机制的实施方案》的通知</w:t>
      </w:r>
    </w:p>
    <w:p w14:paraId="65CD58B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新政办发〔2024〕3号</w:t>
      </w:r>
    </w:p>
    <w:p w14:paraId="029128F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textAlignment w:val="baseline"/>
      </w:pPr>
      <w:r>
        <w:rPr>
          <w:rFonts w:hint="default" w:ascii="仿宋_GB2312" w:hAnsi="宋体" w:eastAsia="仿宋_GB2312" w:cs="仿宋_GB2312"/>
          <w:i w:val="0"/>
          <w:iCs w:val="0"/>
          <w:caps w:val="0"/>
          <w:color w:val="000000"/>
          <w:spacing w:val="0"/>
          <w:kern w:val="0"/>
          <w:sz w:val="32"/>
          <w:szCs w:val="32"/>
          <w:bdr w:val="none" w:color="auto" w:sz="0" w:space="0"/>
          <w:vertAlign w:val="baseline"/>
          <w:lang w:val="en-US" w:eastAsia="zh-CN" w:bidi="ar"/>
        </w:rPr>
        <w:t>XTDR-2024-01001</w:t>
      </w:r>
    </w:p>
    <w:p w14:paraId="023FBDA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textAlignment w:val="baseline"/>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vertAlign w:val="baseline"/>
          <w:lang w:val="en-US" w:eastAsia="zh-CN" w:bidi="ar"/>
        </w:rPr>
        <w:t> </w:t>
      </w:r>
    </w:p>
    <w:p w14:paraId="643A7B3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3F3195D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4"/>
          <w:kern w:val="0"/>
          <w:sz w:val="32"/>
          <w:szCs w:val="32"/>
          <w:bdr w:val="none" w:color="auto" w:sz="0" w:space="0"/>
          <w:lang w:val="en-US" w:eastAsia="zh-CN" w:bidi="ar"/>
        </w:rPr>
        <w:t>各乡镇人民政府（街道办事处），县直及中央、省市驻新相关单位：</w:t>
      </w:r>
    </w:p>
    <w:p w14:paraId="0AAF904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《关于建立健全医疗保障基金使用监督管理长效机制的实施方案》已经县人民政府同意，现印发给你们，请认真贯彻落实。</w:t>
      </w:r>
    </w:p>
    <w:p w14:paraId="770AB86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76A6E5DA">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560" w:lineRule="atLeast"/>
        <w:ind w:left="0" w:right="320" w:firstLine="640"/>
        <w:jc w:val="righ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新田县人民政府办公室</w:t>
      </w:r>
    </w:p>
    <w:p w14:paraId="515FB61C">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560" w:lineRule="atLeast"/>
        <w:ind w:left="0" w:right="640" w:firstLine="640"/>
        <w:jc w:val="righ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2024年6月12日</w:t>
      </w:r>
    </w:p>
    <w:p w14:paraId="05EEB4F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437CC770">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5250" w:right="0"/>
      </w:pPr>
      <w:r>
        <w:rPr>
          <w:rFonts w:ascii="Arial" w:hAnsi="Arial" w:eastAsia="宋体" w:cs="Arial"/>
          <w:i w:val="0"/>
          <w:iCs w:val="0"/>
          <w:caps w:val="0"/>
          <w:color w:val="000000"/>
          <w:spacing w:val="0"/>
          <w:sz w:val="21"/>
          <w:szCs w:val="21"/>
          <w:bdr w:val="none" w:color="auto" w:sz="0" w:space="0"/>
        </w:rPr>
        <w:t> </w:t>
      </w:r>
    </w:p>
    <w:p w14:paraId="4154D95B">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7FA3829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58B7B0E7">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74328493">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5A3CA2F0">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5B034C05">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4E5F752B">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10DF765D">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763B806F">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5F390DD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22B5D1CF">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0EDC5200">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3C2309A2">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7C70B86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0B21D2BD">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2EBEA284">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7207E1EA">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Arial" w:hAnsi="Arial" w:eastAsia="宋体" w:cs="Arial"/>
          <w:i w:val="0"/>
          <w:iCs w:val="0"/>
          <w:caps w:val="0"/>
          <w:color w:val="000000"/>
          <w:spacing w:val="0"/>
          <w:sz w:val="21"/>
          <w:szCs w:val="21"/>
          <w:bdr w:val="none" w:color="auto" w:sz="0" w:space="0"/>
        </w:rPr>
        <w:t> </w:t>
      </w:r>
    </w:p>
    <w:p w14:paraId="683A0A6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关于建立健全医疗保障基金使用监督管理</w:t>
      </w:r>
    </w:p>
    <w:p w14:paraId="0ACA9F0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长效机制的实施方案</w:t>
      </w:r>
    </w:p>
    <w:p w14:paraId="534F87C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334E46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为贯彻落实习近平总书记对医疗保障基金（以下简称医保基金）监督管理工作的重要指示批示精神和党中央国务院、省市决策部署，巩固全县打击欺诈骗保、套保和挪用贪占医保基金集中整治工作成果，根据《医疗保障基金使用监督管理条例》（国务院令第735号）、《国务院办公厅关于推进医疗保障基金监管制度体系改革的指导意见》（国办发〔2020〕20号）、《国务院办公厅关于加强医疗保障基金使用常态化监管的实施意见》（国办发〔2023〕17号）、《湖南省人民政府办公厅关于建立健全医疗保障基金使用监督管理长效机制的通知》（湘政办发〔2023〕45号），结合我县实际，特制定本实施方案。</w:t>
      </w:r>
    </w:p>
    <w:p w14:paraId="1DA6D63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一、总体要求</w:t>
      </w:r>
    </w:p>
    <w:p w14:paraId="04C33CD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以习近平新时代中国特色社会主义思想为指导，全面贯彻党的二十大精神，坚持行政监管与协议监管相结合、医保常态监管与部门联合监管相结合、传统方式监管与智能监管相结合、长效机制建设与专项整治相结合、强化主体责任与构建信用体系相结合、政府监管与社会监督相结合，以零容忍态度严厉打击欺诈骗保、套保或挪用贪占医疗保障资金的违法行为，切实守护好人民群众的“看病钱”“救命钱”，推动我县医疗保障事业高质量发展。</w:t>
      </w:r>
    </w:p>
    <w:p w14:paraId="1479C3C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二、加强组织领导</w:t>
      </w:r>
    </w:p>
    <w:p w14:paraId="6F882D0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成立由分管副县长任组长,县医保局、县卫健局、县财政局、县行政审批局、县市场监管局、县审计局、县民政局、县人社局、县税务局、县司法局、县融媒体中心、县乡村振兴局等单位主要负责人和县公安局、县人民法院、县人民检察院等单位分管负责人为成员的新田县医保基金监督管理工作专班。工作专班下设办公室在县医保局,负责统筹协调全县医保基金监督管理工作,明确各相关部门在基金监管中的职责和任务,确保监管措施落实到位,县医保局主要负责人兼任办公室主任。</w:t>
      </w:r>
    </w:p>
    <w:p w14:paraId="11521A5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三、明确部门职责</w:t>
      </w:r>
    </w:p>
    <w:p w14:paraId="791802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医保局:负责医保基金使用监督管理,对纳入医保支付范围的医疗服务行为和医疗费用进行监督检查,依法查处医保领域违法违规行为;加强对医保经办机构履职行为的监督,促进医保经办机构业务规范;承担日常审核检查责任,包括医药机构的医保定点管理、医保协议签订及考核等工作,审核、稽查所支付的医保费用,按照医保协议约定及时预警</w:t>
      </w:r>
    </w:p>
    <w:p w14:paraId="5B4F2F2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并处理医保定点医药机构违约行为。</w:t>
      </w:r>
    </w:p>
    <w:p w14:paraId="40C6BA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县卫健局:负责依法对全县医疗机构诊疗行为进行监督检查,加强医护人员业务培训,规范医疗机构诊疗行为,对违规违纪的单位和个人进行查处。</w:t>
      </w:r>
    </w:p>
    <w:p w14:paraId="1AD1204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财政局:对医保基金使用管理情况实施监督,协助完成医疗收费电子票据查验;负责按时足额划转医保财政补助资金及其他应拨付资金；将打击欺诈骗保举报奖励经费与医保基金监管工作经费列入年初预算统筹使用。</w:t>
      </w:r>
    </w:p>
    <w:p w14:paraId="395BFAA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县行政审批局：负责公示公开医保行政处罚等医保领域信用信息，协助医保部门推动自我信用承诺公示和信用报告在医保领域的应用。</w:t>
      </w:r>
    </w:p>
    <w:p w14:paraId="49527F8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市场监管局：负责依法对医疗领域违反医药价格和医疗服务价格的违法违规行为进行查处；加强药品质量监管，检查药品进货渠道，打击从非法途径采购药品的行为；及时共享医保定点零售药店非法套取医保基金等相关监管数据并依据法定职责会同相关部门开展联合惩戒。</w:t>
      </w:r>
    </w:p>
    <w:p w14:paraId="6312730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县公安局：负责依法查处医保行政部门移送或报案的涉嫌医保基金诈骗案件。</w:t>
      </w:r>
    </w:p>
    <w:p w14:paraId="71316A7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县人民法院：负责依法审理欺诈骗取医保基金的案件并提供判决数据。</w:t>
      </w:r>
    </w:p>
    <w:p w14:paraId="12AD631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县人民检察院：负责依法审查逮捕、审查起诉各类欺诈骗保犯罪案件，开展刑事案件的立案监督和公益诉讼检察监督。</w:t>
      </w:r>
    </w:p>
    <w:p w14:paraId="58B260E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县审计局：负责加强医保基金相关政策措施落实情况的审计监督，发现重大违纪违法问题及时移送相关部门查处。</w:t>
      </w:r>
    </w:p>
    <w:p w14:paraId="5F5A6D8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县民政局：负责提供火化、低保、低保边缘家庭成员、特困、孤儿、事实无人抚养儿童等数据。</w:t>
      </w:r>
    </w:p>
    <w:p w14:paraId="36049EE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县人社局：负责加强与县医保局协作配合，严厉打击工伤医疗服务中欺诈骗取工伤保险基金的行为，互通社会保险基金监管信息，实现信息共享、结果互认。</w:t>
      </w:r>
    </w:p>
    <w:p w14:paraId="7269EB9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县税务局：负责配合有关部门对利用虚假发票欺诈骗取医保基金行为进行查处。</w:t>
      </w:r>
    </w:p>
    <w:p w14:paraId="49B6660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县司法局：负责提供社区矫正和安置帮教对象信息，监督指导医保领域行政执法。</w:t>
      </w:r>
    </w:p>
    <w:p w14:paraId="512F01D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县融媒体中心：负责医保基金安全宣传工作。</w:t>
      </w:r>
    </w:p>
    <w:p w14:paraId="2161E45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县乡村振兴局：负责提供防止返贫致贫监测对象信息。</w:t>
      </w:r>
    </w:p>
    <w:p w14:paraId="1CF3169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对于未纳入医保协议管理，但其行为与医保基金使用密切相关、影响基金合理使用的机构，按照“谁审批、谁监管，谁主管、谁监管”的原则，落实监管责任。</w:t>
      </w:r>
    </w:p>
    <w:p w14:paraId="3B7728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四、健全监管体系</w:t>
      </w:r>
    </w:p>
    <w:p w14:paraId="085103C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（一）强化医保常态监管</w:t>
      </w:r>
    </w:p>
    <w:p w14:paraId="5CD807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1．严格协议管理。</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严格执行医保定点准入、退出管理制度，对存在财务制度不健全，造成无账可查、无源可溯等情况的不予定点，对查实存在严重欺诈骗保等重大违法违规行为的，按照协议约定解除医保协议，并依法依规严肃查处。强化年度考核的奖惩激励机制，考核结果与年终清算、质量保证金退还、协议续签等挂钩，并将医保年度检查考核结果纳入卫生健康部门对公立医疗机构的综合目标考核内容。实施乡镇卫生院、村卫生室、连锁药店一体化监管，压实乡镇卫生院对村卫生室、药品零售连锁总部对门店的监管主体责任。（责任单位：县医保局、县卫健局、县市场监管局，排第一位为牵头单位，下同）</w:t>
      </w:r>
    </w:p>
    <w:p w14:paraId="7588A8D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2．抓好专项整治。</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聚焦重症医学科、药品、耗材、检查、检验、康复理疗、骨科、血液净化、心血管内科等重点领域，聚焦虚假就医、医保药品倒卖等重点行为，实施重点领域、重点专科专项整治全覆盖计划，深入查处重点领域、重点专科医保违法违规问题，严厉打击“假病人、假病情、假票据”等欺诈骗保行为，加快形成重点领域、重点专科医保基金良性运行环境。（责任单位：县医保局、县人民检察院、县公安局、县财政局、县市场监管局、县卫健局、县税务局）</w:t>
      </w:r>
    </w:p>
    <w:p w14:paraId="3120DD3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3．落实审核稽查。</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建立规范的初审、复审两级审核机制，初审复审岗位实行不相容管理。充分利用智能审核平台，实现初审全覆盖和随机抽查复审不低于5％，加强医保基金支付范围外（含医保三大目录限定不予支付范围）医药费用的审核，防止超范围支付。制定年度监督检查计划，开展现场检查与非现场检查、自查与抽查、日常检查与年终检查，年度内实现辖区内定点医药机构现场检查全覆盖。（责任单位：县医保局）</w:t>
      </w:r>
    </w:p>
    <w:p w14:paraId="32BC056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4．推行信用监管。</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完善医保基金监管信用体系建设，建立定点医药机构、参保单位、承办医保业务的第三方机构、医药企业、参保人等医保基金使用相关主体信用档案，落实信用承诺制，签署信用承诺书，将违法违规使用基金行为记入信用档案，纳入社会信用管理，实施失信联合惩戒对象名单、社会救助领域信用名单制度。实行信用等级分级分类监管，将信用等级与医保基金监管检查频次、处罚裁量、资金拨付、协议考核、业务办理、信用支付相挂钩。（责任单位：县医保局、县行政审批局、县卫健局、县民政局、县市场监管局）</w:t>
      </w:r>
    </w:p>
    <w:p w14:paraId="31B4931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5．强化智能监管。</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依托全国统一的医保信息平台，综合运用智能监管、宏观决策大数据应用、信用评价管理等子系统，加强对医保基金使用行为的实时动态监管。建设异地就医医保基金基层综合监管模型，适时将监管模型并入永州市医保基金反欺诈反滥用大数据综合监管模型。充分利用现有视频监控、人脸识别设施设备、大数据分析手段对医保基金使用违法违规行为的发现和锁定能力，为现场检查执法和精准打击提供数据支撑、信息预警。（责任单位：县医保局、县行政审批局）</w:t>
      </w:r>
    </w:p>
    <w:p w14:paraId="167AA8E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6．开展自查自纠。</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定期整理发布医保基金监督检查发现的典型性、顽固性、苗头性问题以及群众关注高的问题，实行负面清单管理，公告警示、引导规范医保定点医药机构医药服务行为。医保定点医药机构要根据问题清单、负面清单第一时间组织举一反三自查自纠，主动退还违规资金，整改相关医药服务行为。（责任单位：县医保局、县卫健局）</w:t>
      </w:r>
    </w:p>
    <w:p w14:paraId="0ADFEA7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（二）强化部门联合监管</w:t>
      </w:r>
    </w:p>
    <w:p w14:paraId="41DF86B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1．建立信息共享机制。</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积极推进户籍信息、死亡信息、参保信息、离退休信息、工伤认定信息、医疗事故鉴定信息、医疗损害鉴定信息、医疗纠纷信息、征缴信息、防止返贫致贫</w:t>
      </w:r>
    </w:p>
    <w:p w14:paraId="0B809AD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监测对象信息、社区矫正和安置帮教对象信息及特困供养人员、低保等低收入人口身份认定信息等数据归集汇聚和互联互通，堵住因信息不对称导致的医保基金监管漏洞。（责任单位：县医保局、县公安局、县卫健局、县人社局、县税务局、县司法局、县民政局、县财政局、县乡村振兴局）</w:t>
      </w:r>
    </w:p>
    <w:p w14:paraId="5EACFC4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2．建立部门会商机制。</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充分发挥医保基金监督管理工作专班成员单位作用，建立健全部门会商制度，原则上每半年召开一次会议，根据工作需要可随时召开，分析研判医保基金监管形势，讨论医保基金监管工作中的重大问题，协同推进重点案件查处。（责任单位：县医保基金监督管理工作专班成员单位）</w:t>
      </w:r>
    </w:p>
    <w:p w14:paraId="34CF58F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3．建立案件移送机制。</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明确案件移送标准和程序，对涉及相关部门职责权限的违法违规案件线索，及时移送相关部门查处或者商请联合查处。对查实的违法违规线索，及时移交相关部门，综合运用司法、行政等手段，严肃查处欺诈骗保的单位和个人，提升惩处威慑力。对存在欺诈骗保行为的定点医药机构，由医保、卫健、市监等部门依法作出罚款、停业整顿、吊销执业（经营）资格、从业限制等处罚；对涉嫌犯罪的，依法移交司法机关追究刑事责任。（责任单位：县医保局、县卫健局、县市场监管局、县公安局、县人民检察院、县人民法院）</w:t>
      </w:r>
    </w:p>
    <w:p w14:paraId="7AA265F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（三）强化社会力量协同监管</w:t>
      </w:r>
    </w:p>
    <w:p w14:paraId="230F54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1．落实举报奖励制度。</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进一步畅通电话、网络、来信来访等投诉举报渠道，规范受理、检查、处理、反馈流程，不断提高举报案件办理质量。认真落实举报奖励制度，确保及时、足额兑现奖励资金，持续调动全民参与监督医保基金使用的积极性。（责任单位：县医保局、县财政局）</w:t>
      </w:r>
    </w:p>
    <w:p w14:paraId="546FB72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2．落实信息披露制度。</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医保部门定期公布医保基金监管工作成果、违法违规医药机构信息，依法依规及时曝光欺诈骗保典型案例，强化警示震慑；医保经办机构定期向社会公告基金收支、结余和收益情况；定点医药机构向社会公开医药费用、费用结构等信息，鼓励社会监督。（责任单位：县医保局、县行政审批局、县卫健局、县融媒体中心）</w:t>
      </w:r>
    </w:p>
    <w:p w14:paraId="013A51D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3．落实社会监督员制度。</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鼓励社会各界参与医保基金监督工作，聘请人大代表、政协委员、新闻媒体工作者和群众代表担任社会监督员，对定点医药机构、经办机构、参保人员等的医保基金使用行为进行广泛深入监督，实现政府监管与社会监督的良性互动、同向发力。（责任单位：县医保局）</w:t>
      </w:r>
    </w:p>
    <w:p w14:paraId="628E29C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（四）强化医药机构自主监管</w:t>
      </w:r>
    </w:p>
    <w:p w14:paraId="521668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1．推动定点医药机构加强自我管理。</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推动定点医药机构建立健全医保管理、财务、价格、统计、医疗质量安全等内控制度，规范设置内部医保管理部门。全面、准确、及时上传相关数据至医保系统，做好就诊患者和购药人员医保身份核验、医保目录适用认定、记录和检查检验报告存档等工作。建立医疗保障违规行为自查自纠制度，医疗机构要对患者出院结算时医保政策执行情况进行自查，发现不合理的及时整改。（责任单位：县医保局、县卫健局、县市场监管局）</w:t>
      </w:r>
    </w:p>
    <w:p w14:paraId="749256E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90" w:lineRule="atLeast"/>
        <w:ind w:left="0" w:right="0" w:firstLine="640"/>
        <w:jc w:val="left"/>
      </w:pPr>
      <w:r>
        <w:rPr>
          <w:rFonts w:hint="default" w:ascii="仿宋_GB2312" w:hAnsi="宋体" w:eastAsia="仿宋_GB2312" w:cs="仿宋_GB2312"/>
          <w:b/>
          <w:bCs/>
          <w:i w:val="0"/>
          <w:iCs w:val="0"/>
          <w:caps w:val="0"/>
          <w:color w:val="000000"/>
          <w:spacing w:val="0"/>
          <w:kern w:val="0"/>
          <w:sz w:val="32"/>
          <w:szCs w:val="32"/>
          <w:bdr w:val="none" w:color="auto" w:sz="0" w:space="0"/>
          <w:lang w:val="en-US" w:eastAsia="zh-CN" w:bidi="ar"/>
        </w:rPr>
        <w:t>2．推进医药卫生、医保行业自律。</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鼓励并促进公立医疗机构、民营医疗机构、零售药店、医师、护士、医保等行业协会制定自律公约，促进行业自我规范和自我约束，提升行业诚信水平。严肃查处不合理诊查、过度治疗等违规行为，严禁为医务人员设定创收指标。定点医药机构的法定代表人要依法依规签订承诺书，约定承担的责任，鼓励全体医务人员签订承诺书。（责任单位：县医保局、县卫健局、县市场监管局）</w:t>
      </w:r>
    </w:p>
    <w:p w14:paraId="7293B21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黑体" w:hAnsi="宋体" w:eastAsia="黑体" w:cs="黑体"/>
          <w:i w:val="0"/>
          <w:iCs w:val="0"/>
          <w:caps w:val="0"/>
          <w:color w:val="000000"/>
          <w:spacing w:val="0"/>
          <w:kern w:val="0"/>
          <w:sz w:val="32"/>
          <w:szCs w:val="32"/>
          <w:bdr w:val="none" w:color="auto" w:sz="0" w:space="0"/>
          <w:lang w:val="en-US" w:eastAsia="zh-CN" w:bidi="ar"/>
        </w:rPr>
        <w:t>五、严明工作要求</w:t>
      </w:r>
    </w:p>
    <w:p w14:paraId="772EE8F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1．强化组织领导。</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将医保基金监管工作列入重要议程，县政府常务会议每年至少听取一次医保基金监管工作情况的汇报，及时解决医保基金安全隐患、基金监管经费保障等重要问题。切实加强医保基金长期收支平衡管理，严格规范医保基金使用途径，严禁挤占挪用医保基金。</w:t>
      </w:r>
    </w:p>
    <w:p w14:paraId="465C5AB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2．强化能力保障。</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要综合考虑医保基金收支规模、服务对象等因素，根据医保经办、基金监管岗位设置需求和一事双岗双审要求，保障经办服务和基金监管必要的人力配备。加大引进医学、信息、法律等相关领域人才，加强队伍政治建设、能力建设、作风建设，推进监管队伍专业化建设。保障医保基金监管执法经费和依法履职所需的业务用房，依规配置执法用车和执法装备。大力开展监管队伍培训，强化实战练兵，积极参加国家、省市飞行检查、交叉检查。</w:t>
      </w:r>
    </w:p>
    <w:p w14:paraId="5923D04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3．强化宣传引导。</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每年4月组织开展医保基金监管集中宣传月活动，聚焦打击欺诈骗保、维护基金安全等相关主题，大力开展医保基金安全法治宣传，持续增强全社会医保基金安全风险防范意识。充分利用网络媒体等新媒介平台，加强医保基金监管政策解读，普及医保基金安全知识，强化舆论引导，积极回应社会关切，推动形成全社会共同关心、支持、参与医保基金监管的浓厚氛围。</w:t>
      </w:r>
    </w:p>
    <w:p w14:paraId="4822FC7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eastAsia" w:ascii="楷体" w:hAnsi="楷体" w:eastAsia="楷体" w:cs="楷体"/>
          <w:b/>
          <w:bCs/>
          <w:i w:val="0"/>
          <w:iCs w:val="0"/>
          <w:caps w:val="0"/>
          <w:color w:val="000000"/>
          <w:spacing w:val="0"/>
          <w:kern w:val="0"/>
          <w:sz w:val="32"/>
          <w:szCs w:val="32"/>
          <w:bdr w:val="none" w:color="auto" w:sz="0" w:space="0"/>
          <w:lang w:val="en-US" w:eastAsia="zh-CN" w:bidi="ar"/>
        </w:rPr>
        <w:t>4．强化激励问责。</w:t>
      </w: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将医保基金监管工作纳入相关考核，对失职渎职导致重大风险和严重后果以及在监管工作中滥用职权、玩忽职守、徇私舞弊的，要严肃责任追究；对涉嫌违纪或者职务违法、职务犯罪的，按规定程序及时移送纪检监察机关处理。建立基金监管工作容错纠错制度，建立责任追究与尽职免责事项清单，细化追责免责情形，释放监管工作压力，激励监管队伍轻装上阵、担当作为。</w:t>
      </w:r>
    </w:p>
    <w:p w14:paraId="10F051D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59FBD37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3AC968D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431502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224859B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1F99C6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新田县人民政府办公室</w:t>
      </w:r>
    </w:p>
    <w:p w14:paraId="39C123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方正小标宋简体" w:hAnsi="方正小标宋简体" w:eastAsia="方正小标宋简体" w:cs="方正小标宋简体"/>
          <w:i w:val="0"/>
          <w:iCs w:val="0"/>
          <w:caps w:val="0"/>
          <w:color w:val="000000"/>
          <w:spacing w:val="0"/>
          <w:kern w:val="0"/>
          <w:sz w:val="44"/>
          <w:szCs w:val="44"/>
          <w:bdr w:val="none" w:color="auto" w:sz="0" w:space="0"/>
          <w:lang w:val="en-US" w:eastAsia="zh-CN" w:bidi="ar"/>
        </w:rPr>
        <w:t>关于公布规范性文件清理结果的通知</w:t>
      </w:r>
    </w:p>
    <w:p w14:paraId="28C6DAB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新政办函〔2024〕20号</w:t>
      </w:r>
    </w:p>
    <w:p w14:paraId="12E6815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600" w:lineRule="atLeast"/>
        <w:ind w:left="0" w:right="0"/>
        <w:jc w:val="center"/>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XTDR-2024-01002</w:t>
      </w:r>
    </w:p>
    <w:p w14:paraId="11CE560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center"/>
      </w:pPr>
      <w:r>
        <w:rPr>
          <w:rFonts w:hint="eastAsia" w:ascii="宋体" w:hAnsi="宋体" w:eastAsia="宋体" w:cs="宋体"/>
          <w:i w:val="0"/>
          <w:iCs w:val="0"/>
          <w:caps w:val="0"/>
          <w:color w:val="000000"/>
          <w:spacing w:val="0"/>
          <w:kern w:val="0"/>
          <w:sz w:val="32"/>
          <w:szCs w:val="32"/>
          <w:bdr w:val="none" w:color="auto" w:sz="0" w:space="0"/>
          <w:lang w:val="en-US" w:eastAsia="zh-CN" w:bidi="ar"/>
        </w:rPr>
        <w:t> </w:t>
      </w:r>
    </w:p>
    <w:p w14:paraId="6F16E47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各乡镇人民政府（街道办事处），县直有关单位：</w:t>
      </w:r>
    </w:p>
    <w:p w14:paraId="0BFBEFB9">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both"/>
      </w:pPr>
      <w:r>
        <w:rPr>
          <w:rFonts w:hint="default" w:ascii="仿宋_GB2312" w:hAnsi="宋体" w:eastAsia="仿宋_GB2312" w:cs="仿宋_GB2312"/>
          <w:i w:val="0"/>
          <w:iCs w:val="0"/>
          <w:caps w:val="0"/>
          <w:color w:val="000000"/>
          <w:spacing w:val="0"/>
          <w:sz w:val="32"/>
          <w:szCs w:val="32"/>
          <w:bdr w:val="none" w:color="auto" w:sz="0" w:space="0"/>
        </w:rPr>
        <w:t>为全面推进依法行政，加快建设法治政府，根据《湖南省行政程序规定》《湖南省规范性文件管理办法》《永州市行政规范性文件管理办法》《新田县人民政府办公室关于规范性文件清理工作的通知》等文件要求，县人民政府组织相关单位，对2019年7月1日至2024年6月30日期间以县人民政府和县人民政府办公室名义出台的规范性文件进行了全面清理，现将清理结果公布如下。</w:t>
      </w:r>
    </w:p>
    <w:p w14:paraId="04560839">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both"/>
      </w:pPr>
      <w:r>
        <w:rPr>
          <w:rFonts w:hint="eastAsia" w:ascii="黑体" w:hAnsi="宋体" w:eastAsia="黑体" w:cs="黑体"/>
          <w:i w:val="0"/>
          <w:iCs w:val="0"/>
          <w:caps w:val="0"/>
          <w:color w:val="000000"/>
          <w:spacing w:val="0"/>
          <w:sz w:val="32"/>
          <w:szCs w:val="32"/>
          <w:bdr w:val="none" w:color="auto" w:sz="0" w:space="0"/>
        </w:rPr>
        <w:t>一、清理结果</w:t>
      </w:r>
    </w:p>
    <w:p w14:paraId="028CACF6">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both"/>
      </w:pPr>
      <w:r>
        <w:rPr>
          <w:rFonts w:hint="default" w:ascii="仿宋_GB2312" w:hAnsi="宋体" w:eastAsia="仿宋_GB2312" w:cs="仿宋_GB2312"/>
          <w:i w:val="0"/>
          <w:iCs w:val="0"/>
          <w:caps w:val="0"/>
          <w:color w:val="000000"/>
          <w:spacing w:val="0"/>
          <w:sz w:val="32"/>
          <w:szCs w:val="32"/>
          <w:bdr w:val="none" w:color="auto" w:sz="0" w:space="0"/>
        </w:rPr>
        <w:t>2019年7月1日至2024年6月30日期间，以县人民政府和县人民政府办公室名义出台规范性的文件共79份，其中：61份文件继续有效、13份文件宣布失效、5份文件予以废止。</w:t>
      </w:r>
    </w:p>
    <w:p w14:paraId="733E72F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both"/>
      </w:pPr>
      <w:r>
        <w:rPr>
          <w:rFonts w:hint="eastAsia" w:ascii="黑体" w:hAnsi="宋体" w:eastAsia="黑体" w:cs="黑体"/>
          <w:i w:val="0"/>
          <w:iCs w:val="0"/>
          <w:caps w:val="0"/>
          <w:color w:val="000000"/>
          <w:spacing w:val="0"/>
          <w:sz w:val="32"/>
          <w:szCs w:val="32"/>
          <w:bdr w:val="none" w:color="auto" w:sz="0" w:space="0"/>
        </w:rPr>
        <w:t>二、有关要求</w:t>
      </w:r>
    </w:p>
    <w:p w14:paraId="2A6F5E4A">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both"/>
      </w:pPr>
      <w:r>
        <w:rPr>
          <w:rFonts w:hint="default" w:ascii="仿宋_GB2312" w:hAnsi="宋体" w:eastAsia="仿宋_GB2312" w:cs="仿宋_GB2312"/>
          <w:i w:val="0"/>
          <w:iCs w:val="0"/>
          <w:caps w:val="0"/>
          <w:color w:val="000000"/>
          <w:spacing w:val="0"/>
          <w:sz w:val="32"/>
          <w:szCs w:val="32"/>
          <w:bdr w:val="none" w:color="auto" w:sz="0" w:space="0"/>
        </w:rPr>
        <w:t>1.规范性文件须依法定期进行清理，清理责任主体为具体负责起草或执行规范性文件的单位。</w:t>
      </w:r>
    </w:p>
    <w:p w14:paraId="25523E57">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pPr>
      <w:r>
        <w:rPr>
          <w:rFonts w:hint="default" w:ascii="仿宋_GB2312" w:hAnsi="宋体" w:eastAsia="仿宋_GB2312" w:cs="仿宋_GB2312"/>
          <w:i w:val="0"/>
          <w:iCs w:val="0"/>
          <w:caps w:val="0"/>
          <w:color w:val="000000"/>
          <w:spacing w:val="0"/>
          <w:sz w:val="32"/>
          <w:szCs w:val="32"/>
          <w:bdr w:val="none" w:color="auto" w:sz="0" w:space="0"/>
        </w:rPr>
        <w:t>2.已宣布失效和予以废止的规范性文件，自本通知发布之日起不再执行，各乡镇人民政府（街道办事处）、县直各部门不得再将失效和废止的文件作为行政管理活动的依据。相关部门要切实做好规范性文件失效和废止的后续管理工作。</w:t>
      </w:r>
    </w:p>
    <w:p w14:paraId="371A0CEA">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pPr>
      <w:r>
        <w:rPr>
          <w:rFonts w:hint="default" w:ascii="仿宋_GB2312" w:hAnsi="宋体" w:eastAsia="仿宋_GB2312" w:cs="仿宋_GB2312"/>
          <w:i w:val="0"/>
          <w:iCs w:val="0"/>
          <w:caps w:val="0"/>
          <w:color w:val="000000"/>
          <w:spacing w:val="0"/>
          <w:sz w:val="32"/>
          <w:szCs w:val="32"/>
          <w:bdr w:val="none" w:color="auto" w:sz="0" w:space="0"/>
        </w:rPr>
        <w:t>3.继续有效的规范性文件，有效期自发布或施行之日起计算。规范性文件自身已规定有效期的，按规定的有效期执行。</w:t>
      </w:r>
    </w:p>
    <w:p w14:paraId="5473748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35E32D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64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附件：1.继续有效的规范性文件目录</w:t>
      </w:r>
    </w:p>
    <w:p w14:paraId="10E615C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1664"/>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2.宣布失效的规范性文件目录</w:t>
      </w:r>
    </w:p>
    <w:p w14:paraId="2AAC82E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1664"/>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3.予以废止的规范性文件目录</w:t>
      </w:r>
    </w:p>
    <w:p w14:paraId="1A2699D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6DEA64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480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新田县人民政府办公室</w:t>
      </w:r>
    </w:p>
    <w:p w14:paraId="56878BE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firstLine="512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2024年11月25日</w:t>
      </w:r>
    </w:p>
    <w:p w14:paraId="3005889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0965C1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1F681E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0CD7D3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4BA021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5B56E17">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2F8C852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7357F52">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1607D64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1C2F734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4E9219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A5DF51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FF58E6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BFDCA94">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0A5C7FE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ascii="CESI黑体-GB2312" w:hAnsi="CESI黑体-GB2312" w:eastAsia="CESI黑体-GB2312" w:cs="CESI黑体-GB2312"/>
          <w:i w:val="0"/>
          <w:iCs w:val="0"/>
          <w:caps w:val="0"/>
          <w:color w:val="000000"/>
          <w:spacing w:val="0"/>
          <w:kern w:val="0"/>
          <w:sz w:val="32"/>
          <w:szCs w:val="32"/>
          <w:bdr w:val="none" w:color="auto" w:sz="0" w:space="0"/>
          <w:lang w:val="en-US" w:eastAsia="zh-CN" w:bidi="ar"/>
        </w:rPr>
        <w:t>附件</w:t>
      </w:r>
      <w:r>
        <w:rPr>
          <w:rFonts w:hint="default" w:ascii="CESI黑体-GB2312" w:hAnsi="CESI黑体-GB2312" w:eastAsia="CESI黑体-GB2312" w:cs="CESI黑体-GB2312"/>
          <w:i w:val="0"/>
          <w:iCs w:val="0"/>
          <w:caps w:val="0"/>
          <w:color w:val="000000"/>
          <w:spacing w:val="0"/>
          <w:kern w:val="0"/>
          <w:sz w:val="32"/>
          <w:szCs w:val="32"/>
          <w:bdr w:val="none" w:color="auto" w:sz="0" w:space="0"/>
          <w:lang w:val="en-US" w:eastAsia="zh-CN" w:bidi="ar"/>
        </w:rPr>
        <w:t>1</w:t>
      </w:r>
    </w:p>
    <w:tbl>
      <w:tblPr>
        <w:tblW w:w="9739" w:type="dxa"/>
        <w:tblInd w:w="13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15" w:type="dxa"/>
          <w:left w:w="15" w:type="dxa"/>
          <w:bottom w:w="15" w:type="dxa"/>
          <w:right w:w="15" w:type="dxa"/>
        </w:tblCellMar>
      </w:tblPr>
      <w:tblGrid>
        <w:gridCol w:w="795"/>
        <w:gridCol w:w="6219"/>
        <w:gridCol w:w="2725"/>
      </w:tblGrid>
      <w:tr w14:paraId="4E5360F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PrEx>
        <w:trPr>
          <w:trHeight w:val="564" w:hRule="atLeast"/>
        </w:trPr>
        <w:tc>
          <w:tcPr>
            <w:tcW w:w="9739" w:type="dxa"/>
            <w:gridSpan w:val="3"/>
            <w:tcBorders>
              <w:top w:val="nil"/>
              <w:left w:val="nil"/>
              <w:bottom w:val="single" w:color="auto" w:sz="8" w:space="0"/>
              <w:right w:val="nil"/>
            </w:tcBorders>
            <w:shd w:val="clear"/>
            <w:tcMar>
              <w:top w:w="0" w:type="dxa"/>
              <w:left w:w="108" w:type="dxa"/>
              <w:bottom w:w="0" w:type="dxa"/>
              <w:right w:w="108" w:type="dxa"/>
            </w:tcMar>
            <w:vAlign w:val="center"/>
          </w:tcPr>
          <w:p w14:paraId="750A86A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00" w:lineRule="atLeast"/>
              <w:ind w:left="0" w:right="0"/>
              <w:jc w:val="center"/>
            </w:pPr>
            <w:r>
              <w:rPr>
                <w:rFonts w:hint="default" w:ascii="方正小标宋简体" w:hAnsi="方正小标宋简体" w:eastAsia="方正小标宋简体" w:cs="方正小标宋简体"/>
                <w:kern w:val="0"/>
                <w:sz w:val="44"/>
                <w:szCs w:val="44"/>
                <w:bdr w:val="none" w:color="auto" w:sz="0" w:space="0"/>
                <w:lang w:val="en-US" w:eastAsia="zh-CN" w:bidi="ar"/>
              </w:rPr>
              <w:t>继续有效的规范性文件目录</w:t>
            </w:r>
          </w:p>
        </w:tc>
      </w:tr>
      <w:tr w14:paraId="7AEC84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55" w:hRule="atLeast"/>
        </w:trPr>
        <w:tc>
          <w:tcPr>
            <w:tcW w:w="9739"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9D6508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eastAsia" w:ascii="仿宋" w:hAnsi="仿宋" w:eastAsia="仿宋" w:cs="仿宋"/>
                <w:b/>
                <w:bCs/>
                <w:kern w:val="0"/>
                <w:sz w:val="30"/>
                <w:szCs w:val="30"/>
                <w:bdr w:val="none" w:color="auto" w:sz="0" w:space="0"/>
                <w:lang w:val="en-US" w:eastAsia="zh-CN" w:bidi="ar"/>
              </w:rPr>
              <w:t>继续有效的县政府文件</w:t>
            </w:r>
          </w:p>
        </w:tc>
      </w:tr>
      <w:tr w14:paraId="60D01C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78C292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eastAsia" w:ascii="仿宋" w:hAnsi="仿宋" w:eastAsia="仿宋" w:cs="仿宋"/>
                <w:b/>
                <w:bCs/>
                <w:kern w:val="0"/>
                <w:sz w:val="24"/>
                <w:szCs w:val="24"/>
                <w:bdr w:val="none" w:color="auto" w:sz="0" w:space="0"/>
                <w:lang w:val="en-US" w:eastAsia="zh-CN" w:bidi="ar"/>
              </w:rPr>
              <w:t>序号</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BE8896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eastAsia" w:ascii="仿宋" w:hAnsi="仿宋" w:eastAsia="仿宋" w:cs="仿宋"/>
                <w:b/>
                <w:bCs/>
                <w:kern w:val="0"/>
                <w:sz w:val="24"/>
                <w:szCs w:val="24"/>
                <w:bdr w:val="none" w:color="auto" w:sz="0" w:space="0"/>
                <w:lang w:val="en-US" w:eastAsia="zh-CN" w:bidi="ar"/>
              </w:rPr>
              <w:t>文件标题</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E27C90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eastAsia" w:ascii="仿宋" w:hAnsi="仿宋" w:eastAsia="仿宋" w:cs="仿宋"/>
                <w:b/>
                <w:bCs/>
                <w:kern w:val="0"/>
                <w:sz w:val="24"/>
                <w:szCs w:val="24"/>
                <w:bdr w:val="none" w:color="auto" w:sz="0" w:space="0"/>
                <w:lang w:val="en-US" w:eastAsia="zh-CN" w:bidi="ar"/>
              </w:rPr>
              <w:t>发文文号</w:t>
            </w:r>
          </w:p>
        </w:tc>
      </w:tr>
      <w:tr w14:paraId="54B9D1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AC48C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8889B3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《新田县人民政府关于取缔马路市场的通告》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1F9731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新政函〔2019〕102号</w:t>
            </w:r>
          </w:p>
        </w:tc>
      </w:tr>
      <w:tr w14:paraId="54CD4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1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6ABB14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8177C8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《新田县人民政府关于印发&lt;新田县农村住房建设管理办法&gt;的通知》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C71259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新政发〔2020〕5号</w:t>
            </w:r>
          </w:p>
        </w:tc>
      </w:tr>
      <w:tr w14:paraId="545567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714"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59C34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3</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0F504D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《新田县人民政府关于加强粮食生产和严禁耕地抛荒的通告》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4A7C31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新政函〔2020〕13号</w:t>
            </w:r>
          </w:p>
        </w:tc>
      </w:tr>
      <w:tr w14:paraId="0020DC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07B83E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4</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FC3845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《新田县人民政府关于开展电力线路保护区通道砍青扫障工作的通告》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33A24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新政函〔2020〕16号</w:t>
            </w:r>
          </w:p>
        </w:tc>
      </w:tr>
      <w:tr w14:paraId="7308CF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30C298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5</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5A97E9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《新田县人民政府关于对柴油货车实施区域限行的通告》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A94A0B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新政函〔2020〕22号</w:t>
            </w:r>
          </w:p>
        </w:tc>
      </w:tr>
      <w:tr w14:paraId="2ECAB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9E79F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6</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4889B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《新田县人民政府关于划定县城建成区禁止使用高排放非道路移动机械区域的通告》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08A785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新政函〔2020〕55号</w:t>
            </w:r>
          </w:p>
        </w:tc>
      </w:tr>
      <w:tr w14:paraId="3A8716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476F4F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7</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4F7838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《新田县人民政府关于坚决遏制农村乱占耕地建房的通告》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47CDC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新政函〔2020〕93号</w:t>
            </w:r>
          </w:p>
        </w:tc>
      </w:tr>
      <w:tr w14:paraId="7EFA6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25ECFD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8</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5C68B2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《新田县人民政府关于全面禁止河道采砂的通告》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770D25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新政函〔2020〕143号</w:t>
            </w:r>
          </w:p>
        </w:tc>
      </w:tr>
      <w:tr w14:paraId="2B6372C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033CAC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9</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826268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《新田县人民政府关于印发&lt;新田县政府投资项目管理办法&gt;的通知》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DA32D9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新政发〔2021〕11号</w:t>
            </w:r>
          </w:p>
        </w:tc>
      </w:tr>
      <w:tr w14:paraId="476DC1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26A3DB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10</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991142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《新田县人民政府森林防火禁火令》</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25843B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新政函〔2021〕91号</w:t>
            </w:r>
          </w:p>
        </w:tc>
      </w:tr>
      <w:tr w14:paraId="3D5C1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B9B848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8249EC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《新田县人民政府关于禁止露天焚烧农作物秸秆的通告》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403EE2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新政函〔2021〕112号</w:t>
            </w:r>
          </w:p>
        </w:tc>
      </w:tr>
      <w:tr w14:paraId="17FDA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D9BDEF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69AA2A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《新田县人民政府关于印发&lt;新田县促进市场主体高质量发展行动方案（2022-2025年）&gt;的通知》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1D9A90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新政发〔2022〕1号</w:t>
            </w:r>
          </w:p>
        </w:tc>
      </w:tr>
      <w:tr w14:paraId="242AB9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AEE9A4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13</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487A97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《新田县人民政府关于城区及乡镇政府所在地全面禁止燃放烟花爆竹的通告》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80A4A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新政函〔2022〕9号</w:t>
            </w:r>
          </w:p>
        </w:tc>
      </w:tr>
      <w:tr w14:paraId="5A77D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2E7401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14</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975DB3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《新田县人民政府关于清明期间森林防火的通告》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7E73C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新政函〔2022〕21号</w:t>
            </w:r>
          </w:p>
        </w:tc>
      </w:tr>
      <w:tr w14:paraId="655E5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E2BFCF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15</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D2FB0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《新田县人民政府关于新田县重点水域实行休渔期禁渔的通告》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17FF5A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新政函〔2022〕49号</w:t>
            </w:r>
          </w:p>
        </w:tc>
      </w:tr>
      <w:tr w14:paraId="352AC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3743E7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16</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10904A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《新田县人民政府关于印发&lt;新田县县级储备粮管理办法&gt;的通知》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1E250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新政发〔2023〕4号</w:t>
            </w:r>
          </w:p>
        </w:tc>
      </w:tr>
      <w:tr w14:paraId="44CC2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66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AB6257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17</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070438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《新田县人民政府关于公布&lt;实施新田县集体建设用地基准地价、农用地基准地价和城区标定地价&gt;的通知》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6DA528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新政发〔2023〕7号</w:t>
            </w:r>
          </w:p>
        </w:tc>
      </w:tr>
      <w:tr w14:paraId="06BB5E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B1ABFD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18</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93272A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《新田县人民政府关于清明期间“十不准”的通告》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CDBC1A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新政函〔2023〕25号</w:t>
            </w:r>
          </w:p>
        </w:tc>
      </w:tr>
      <w:tr w14:paraId="3C6A0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7C770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19</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F4FD5B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《新田县人民政府关于加强全县烟叶收购市场管理工作的通告》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3D984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新政函〔2023〕65号</w:t>
            </w:r>
          </w:p>
        </w:tc>
      </w:tr>
      <w:tr w14:paraId="16BC17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DF8DFC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20</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7155F1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《新田县人民政府关于加强候鸟等野生动物保护的通告》</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382AC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新政函〔2023〕89号</w:t>
            </w:r>
          </w:p>
        </w:tc>
      </w:tr>
      <w:tr w14:paraId="4EAB6EF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D7D917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CF1631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《新田县人民政府关于印发&lt;新田县碳达峰实施方案&gt;的通知》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EB2FD3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新政发〔2024〕1号</w:t>
            </w:r>
          </w:p>
        </w:tc>
      </w:tr>
      <w:tr w14:paraId="16796C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286" w:hRule="atLeast"/>
        </w:trPr>
        <w:tc>
          <w:tcPr>
            <w:tcW w:w="795" w:type="dxa"/>
            <w:tcBorders>
              <w:top w:val="nil"/>
              <w:left w:val="nil"/>
              <w:bottom w:val="single" w:color="auto" w:sz="8" w:space="0"/>
              <w:right w:val="nil"/>
            </w:tcBorders>
            <w:shd w:val="clear"/>
            <w:tcMar>
              <w:top w:w="0" w:type="dxa"/>
              <w:left w:w="108" w:type="dxa"/>
              <w:bottom w:w="0" w:type="dxa"/>
              <w:right w:w="108" w:type="dxa"/>
            </w:tcMar>
            <w:vAlign w:val="center"/>
          </w:tcPr>
          <w:p w14:paraId="2A53D60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30" w:lineRule="atLeast"/>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6219" w:type="dxa"/>
            <w:tcBorders>
              <w:top w:val="nil"/>
              <w:left w:val="nil"/>
              <w:bottom w:val="single" w:color="auto" w:sz="8" w:space="0"/>
              <w:right w:val="nil"/>
            </w:tcBorders>
            <w:shd w:val="clear"/>
            <w:tcMar>
              <w:top w:w="0" w:type="dxa"/>
              <w:left w:w="108" w:type="dxa"/>
              <w:bottom w:w="0" w:type="dxa"/>
              <w:right w:w="108" w:type="dxa"/>
            </w:tcMar>
            <w:vAlign w:val="center"/>
          </w:tcPr>
          <w:p w14:paraId="1B7883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 </w:t>
            </w:r>
          </w:p>
        </w:tc>
        <w:tc>
          <w:tcPr>
            <w:tcW w:w="2725" w:type="dxa"/>
            <w:tcBorders>
              <w:top w:val="nil"/>
              <w:left w:val="nil"/>
              <w:bottom w:val="single" w:color="auto" w:sz="8" w:space="0"/>
              <w:right w:val="nil"/>
            </w:tcBorders>
            <w:shd w:val="clear"/>
            <w:tcMar>
              <w:top w:w="0" w:type="dxa"/>
              <w:left w:w="108" w:type="dxa"/>
              <w:bottom w:w="0" w:type="dxa"/>
              <w:right w:w="108" w:type="dxa"/>
            </w:tcMar>
            <w:vAlign w:val="center"/>
          </w:tcPr>
          <w:p w14:paraId="5CE026B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 </w:t>
            </w:r>
          </w:p>
        </w:tc>
      </w:tr>
      <w:tr w14:paraId="32D23A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9739"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3AE23F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30"/>
                <w:szCs w:val="30"/>
                <w:bdr w:val="none" w:color="auto" w:sz="0" w:space="0"/>
                <w:lang w:val="en-US" w:eastAsia="zh-CN" w:bidi="ar"/>
              </w:rPr>
              <w:t>继续有效的县政府办公室文件</w:t>
            </w:r>
          </w:p>
        </w:tc>
      </w:tr>
      <w:tr w14:paraId="13C296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70BB51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24"/>
                <w:szCs w:val="24"/>
                <w:bdr w:val="none" w:color="auto" w:sz="0" w:space="0"/>
                <w:lang w:val="en-US" w:eastAsia="zh-CN" w:bidi="ar"/>
              </w:rPr>
              <w:t>序号</w:t>
            </w:r>
          </w:p>
        </w:tc>
        <w:tc>
          <w:tcPr>
            <w:tcW w:w="6219"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035593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24"/>
                <w:szCs w:val="24"/>
                <w:bdr w:val="none" w:color="auto" w:sz="0" w:space="0"/>
                <w:lang w:val="en-US" w:eastAsia="zh-CN" w:bidi="ar"/>
              </w:rPr>
              <w:t>文件标题</w:t>
            </w:r>
          </w:p>
        </w:tc>
        <w:tc>
          <w:tcPr>
            <w:tcW w:w="2725"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0C4FF43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24"/>
                <w:szCs w:val="24"/>
                <w:bdr w:val="none" w:color="auto" w:sz="0" w:space="0"/>
                <w:lang w:val="en-US" w:eastAsia="zh-CN" w:bidi="ar"/>
              </w:rPr>
              <w:t>发文文号</w:t>
            </w:r>
          </w:p>
        </w:tc>
      </w:tr>
      <w:tr w14:paraId="0B962C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E7A46B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DCBFA6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《新田县人民政府办公室关于印发&lt;新田县“0-6周岁”残疾儿童康复救助制度操作细则&gt;的通知》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47184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新政办发〔2019〕15号</w:t>
            </w:r>
          </w:p>
        </w:tc>
      </w:tr>
      <w:tr w14:paraId="3B55F8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98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906B25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43C7C1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《新田县人民政府办公室关于印发&lt;新田县全面推行行政执法公示制度执法全过程记录制度重大执法决定法制审核制度的工作方案&gt;的通知》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39E434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新政办发〔2020〕5号</w:t>
            </w:r>
          </w:p>
        </w:tc>
      </w:tr>
      <w:tr w14:paraId="1489F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C437D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3</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A534B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《新田县人民政府办公室关于印发&lt;新田县畜禽规模养殖“三区”划定方案&gt;的通知》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93FB1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新政办发〔2020〕6号</w:t>
            </w:r>
          </w:p>
        </w:tc>
      </w:tr>
      <w:tr w14:paraId="432E85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345DE3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4</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3E7AFE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《新田县人民政府办公室关于印发&lt;新田县商品房预售资金监管办法&gt;的通知》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25A9E1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新政办发〔2020〕7号</w:t>
            </w:r>
          </w:p>
        </w:tc>
      </w:tr>
      <w:tr w14:paraId="380CD5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B6A4A9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5</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27B06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《新田县人民政府办公室关于印发&lt;新田县关于进一步加强县本级政府投资项目概算管理的实施办法&gt;的通知》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C08EC5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新政办发〔2020〕14号</w:t>
            </w:r>
          </w:p>
        </w:tc>
      </w:tr>
      <w:tr w14:paraId="42D423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D8FC96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6</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A1FC0C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《新田县关于贯彻落实&lt;规范国有资金投资工程招标投标活动规定&gt;的实施意见》</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620602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新政办发〔2020〕16号</w:t>
            </w:r>
          </w:p>
        </w:tc>
      </w:tr>
      <w:tr w14:paraId="59D32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982"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98EB17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7</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86C80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《新田县人民政府办公室关于印发&lt;新田县乡镇权力清单和责任清单&gt;和&lt;新田县乡镇村“一门式”政务服务事项清单&gt;的通知》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0E6346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新政办发〔2020〕21号</w:t>
            </w:r>
          </w:p>
        </w:tc>
      </w:tr>
      <w:tr w14:paraId="5DB5A2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879BF3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8</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889163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《新田县人民政府办公室关于贯彻实施行政复议体制改革有关具体事项的通知》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8BFA72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新政办发〔2021〕7号</w:t>
            </w:r>
          </w:p>
        </w:tc>
      </w:tr>
      <w:tr w14:paraId="3144487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5D11CB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9</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F16583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《新田县人民政府办公室关于公布规范性文件清理结果的通知》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F3427C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新政办函〔2021〕10号</w:t>
            </w:r>
          </w:p>
        </w:tc>
      </w:tr>
      <w:tr w14:paraId="755D40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257454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10</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9E8704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《新田县人民政府办公室关于印发&lt;健康新田行动实施方案&gt;的通知》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DD1813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新政办发〔2021〕17号</w:t>
            </w:r>
          </w:p>
        </w:tc>
      </w:tr>
      <w:tr w14:paraId="072DCF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77EAB1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52451B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《新田县人民政府办公室关于印发&lt;新田县全民科学素质行动规划纲要实施方案（2021-2025年）&gt;的通知》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049E31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新政办发〔2021〕19号</w:t>
            </w:r>
          </w:p>
        </w:tc>
      </w:tr>
      <w:tr w14:paraId="0FB0B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7C71F2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F118BB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《新田县人民政府办公室关于印发&lt;新田县医疗救助实施办法&gt;的通知》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56C81B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新政办发〔2022〕4号</w:t>
            </w:r>
          </w:p>
        </w:tc>
      </w:tr>
      <w:tr w14:paraId="6B97B82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E714DF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13</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B1E5A4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《新田县人民政府办公室关于印发&lt;新田县行政事业性国有资产管理办法（试行）&gt;的通知》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BC9CCB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新政办发〔2022〕8号</w:t>
            </w:r>
          </w:p>
        </w:tc>
      </w:tr>
      <w:tr w14:paraId="406FB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975CC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14</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142B11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w:t>
            </w:r>
            <w:r>
              <w:rPr>
                <w:rFonts w:hint="default" w:ascii="仿宋_GB2312" w:hAnsi="宋体" w:eastAsia="仿宋_GB2312" w:cs="仿宋_GB2312"/>
                <w:spacing w:val="-8"/>
                <w:kern w:val="0"/>
                <w:sz w:val="24"/>
                <w:szCs w:val="24"/>
                <w:bdr w:val="none" w:color="auto" w:sz="0" w:space="0"/>
                <w:lang w:val="en-US" w:eastAsia="zh-CN" w:bidi="ar"/>
              </w:rPr>
              <w:t>新田县人民政府办公室关于印发&lt;新田县落实企业上市“金芙蓉”跃升行动计划工作方案（2022-2026年）&gt;的通知》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6F2076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新政办发〔2022〕10号</w:t>
            </w:r>
          </w:p>
        </w:tc>
      </w:tr>
      <w:tr w14:paraId="732A63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8DF03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15</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5994EA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《新田县人民政府办公室关于印发&lt;新田县2022-2026年烟花爆竹经营零售网点布点规划&gt;的通知》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500B65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新政办发〔2022〕12号</w:t>
            </w:r>
          </w:p>
        </w:tc>
      </w:tr>
      <w:tr w14:paraId="7B0632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7A5330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16</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B3031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《新田县人民政府办公室关于印发&lt;进一步规范政府性投资项目决策和立项防范政府债务风险的管理办法&gt;的通知》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14CFCA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新政办发〔2022〕13号</w:t>
            </w:r>
          </w:p>
        </w:tc>
      </w:tr>
      <w:tr w14:paraId="75B791C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179CF9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17</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5202B6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《新田县人民政府办公室关于印发&lt;新田县全面加强药品监管能力建设的实施方案&gt;的通知》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52145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新政办发〔2022〕14号</w:t>
            </w:r>
          </w:p>
        </w:tc>
      </w:tr>
      <w:tr w14:paraId="57DEE5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F9F868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18</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051080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《新田县人民政府办公室关于印发&lt;新田县全面推进县城区城市更新工作实施办法&gt;的通知》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E2D9E6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新政办发〔2022〕15号</w:t>
            </w:r>
          </w:p>
        </w:tc>
      </w:tr>
      <w:tr w14:paraId="03E113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2FBC89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19</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B72FE3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《新田县人民政府办公室关于公布涉及居民自建房内容的规范性文件清理结果的通知》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BA26B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新政办函〔2022〕 23号</w:t>
            </w:r>
          </w:p>
        </w:tc>
      </w:tr>
      <w:tr w14:paraId="17325E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8BAE71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20</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E3AB44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《新田县人民政府办公室关于印发&lt;新田县促进旅游发展十条措施&gt;的通知》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A8F4FC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新政办发〔2023〕1号</w:t>
            </w:r>
          </w:p>
        </w:tc>
      </w:tr>
      <w:tr w14:paraId="3EBE5C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7F0B13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85AB93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《新田县人民政府办公室印发&lt;关于巩固拓展国有林场改革成果推进秀美林场建设工作方案&gt;的通知》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8DD52B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新政办发〔2023〕3号</w:t>
            </w:r>
          </w:p>
        </w:tc>
      </w:tr>
      <w:tr w14:paraId="230252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61E95B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B2E45D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《新田县人民政府办公室关于印发&lt;新田县基本建设项目资金管理暂行办法&gt;的通知》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82AB8B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新政办发〔2023〕4号</w:t>
            </w:r>
          </w:p>
        </w:tc>
      </w:tr>
      <w:tr w14:paraId="24C42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85731C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23</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1101EE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《新田县人民政府办公室关于印发&lt;新田县行政许可事项清单（2023年版）&gt;的通知》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700E26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新政办发〔2023〕9号</w:t>
            </w:r>
          </w:p>
        </w:tc>
      </w:tr>
      <w:tr w14:paraId="27C26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CEFA60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24</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B6234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《新田县人民政府办公室关于印发&lt;新田县耕地地力保护补贴政策实施方案&gt;的通知》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F0C686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新政办发〔2023〕10号</w:t>
            </w:r>
          </w:p>
        </w:tc>
      </w:tr>
      <w:tr w14:paraId="4729B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1C309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25</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128C81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《新田县人民政府办公室关于印发&lt;新田县促进残疾人就业三年行动实施方案（2023-2025年）&gt;的通知》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F606F5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新政办发〔2023〕11号</w:t>
            </w:r>
          </w:p>
        </w:tc>
      </w:tr>
      <w:tr w14:paraId="7D4D37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4881CB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26</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A4811B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《新田县人民政府办公室关于印发&lt;新田县政府投资建设项目审计监督办法&gt;的通知》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96D01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新政办发〔2023〕12号</w:t>
            </w:r>
          </w:p>
        </w:tc>
      </w:tr>
      <w:tr w14:paraId="6D19D55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94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F5D9E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27</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910B8A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《新田县人民政府办公室关于印发&lt;新田县14周岁以下儿童凭有效证件和退役军人凭优待证免费乘坐公交车实施方案&gt;的通知》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C8F962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新政办发〔2023〕13号</w:t>
            </w:r>
          </w:p>
        </w:tc>
      </w:tr>
      <w:tr w14:paraId="4066D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523143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28</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EC2C87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《新田县人民政府办公室关于印发&lt;新田县县长质量奖管理办法&gt;的通知》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758A1F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新政办发〔2023〕14号</w:t>
            </w:r>
          </w:p>
        </w:tc>
      </w:tr>
      <w:tr w14:paraId="2AD33B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A27502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29</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2FE2EF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《新田县人民政府办公室关于印发&lt;新田县粮食应急预案&gt;的通知》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34A411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新政办发〔2023〕17号</w:t>
            </w:r>
          </w:p>
        </w:tc>
      </w:tr>
      <w:tr w14:paraId="42E18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912B8A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30</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9C89A7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《新田县人民政府办公室关于印发&lt;新田县推进基本养老服务体系建设实施方案&gt;的通知》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13D5CA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新政办发〔2023〕18号</w:t>
            </w:r>
          </w:p>
        </w:tc>
      </w:tr>
      <w:tr w14:paraId="11A01B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FDA66C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31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38C9EE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《新田县落实&lt;湖南省居民自建房安全管理若干规定&gt;的实施意见（暂行）》</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1C4635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新政办发〔2023〕19号</w:t>
            </w:r>
          </w:p>
        </w:tc>
      </w:tr>
      <w:tr w14:paraId="49668B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8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C6A85D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20" w:lineRule="atLeast"/>
              <w:ind w:left="0" w:right="0"/>
              <w:jc w:val="center"/>
            </w:pPr>
            <w:r>
              <w:rPr>
                <w:rFonts w:hint="default" w:ascii="仿宋_GB2312" w:hAnsi="宋体" w:eastAsia="仿宋_GB2312" w:cs="仿宋_GB2312"/>
                <w:kern w:val="0"/>
                <w:sz w:val="24"/>
                <w:szCs w:val="24"/>
                <w:bdr w:val="none" w:color="auto" w:sz="0" w:space="0"/>
                <w:lang w:val="en-US" w:eastAsia="zh-CN" w:bidi="ar"/>
              </w:rPr>
              <w:t>32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82A535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8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《新田县人民政府办公室印发&lt;关于建立健全医疗保障基金使用监督管理长效机制的实施方案&gt;的通知》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34170F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新政办发〔2024〕3号</w:t>
            </w:r>
          </w:p>
        </w:tc>
      </w:tr>
      <w:tr w14:paraId="2F60A7A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25" w:hRule="atLeast"/>
        </w:trPr>
        <w:tc>
          <w:tcPr>
            <w:tcW w:w="9739"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C79282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30"/>
                <w:szCs w:val="30"/>
                <w:bdr w:val="none" w:color="auto" w:sz="0" w:space="0"/>
                <w:lang w:val="en-US" w:eastAsia="zh-CN" w:bidi="ar"/>
              </w:rPr>
              <w:t>继续有效的部门文件</w:t>
            </w:r>
          </w:p>
        </w:tc>
      </w:tr>
      <w:tr w14:paraId="4A703E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F3E802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24"/>
                <w:szCs w:val="24"/>
                <w:bdr w:val="none" w:color="auto" w:sz="0" w:space="0"/>
                <w:lang w:val="en-US" w:eastAsia="zh-CN" w:bidi="ar"/>
              </w:rPr>
              <w:t>序号</w:t>
            </w:r>
          </w:p>
        </w:tc>
        <w:tc>
          <w:tcPr>
            <w:tcW w:w="6219"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1422C2D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24"/>
                <w:szCs w:val="24"/>
                <w:bdr w:val="none" w:color="auto" w:sz="0" w:space="0"/>
                <w:lang w:val="en-US" w:eastAsia="zh-CN" w:bidi="ar"/>
              </w:rPr>
              <w:t>文件标题</w:t>
            </w:r>
          </w:p>
        </w:tc>
        <w:tc>
          <w:tcPr>
            <w:tcW w:w="2725"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31B0C2E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b/>
                <w:bCs/>
                <w:kern w:val="0"/>
                <w:sz w:val="24"/>
                <w:szCs w:val="24"/>
                <w:bdr w:val="none" w:color="auto" w:sz="0" w:space="0"/>
                <w:lang w:val="en-US" w:eastAsia="zh-CN" w:bidi="ar"/>
              </w:rPr>
              <w:t>发文文号</w:t>
            </w:r>
          </w:p>
        </w:tc>
      </w:tr>
      <w:tr w14:paraId="166B7EB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1031"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9F365A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A6A4A8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《新田县住房和城乡建设局 新田县财政局 新田县发展和改革局关于开展新田县房屋建筑和市政基础设施工程“多审合一”“多图联审”施工图审查服务的通知》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B0EB55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新住建联发〔2019〕1号</w:t>
            </w:r>
          </w:p>
        </w:tc>
      </w:tr>
      <w:tr w14:paraId="65E290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98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3D094E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E501DC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《新田县残疾人联合会 新田县医疗保障局 新田县财政局关于印发&lt;新田县残疾儿童康复救助资金结算办法&gt;的通知》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E03C46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left"/>
            </w:pPr>
            <w:r>
              <w:rPr>
                <w:rFonts w:hint="default" w:ascii="仿宋_GB2312" w:hAnsi="宋体" w:eastAsia="仿宋_GB2312" w:cs="仿宋_GB2312"/>
                <w:kern w:val="0"/>
                <w:sz w:val="24"/>
                <w:szCs w:val="24"/>
                <w:bdr w:val="none" w:color="auto" w:sz="0" w:space="0"/>
                <w:lang w:val="en-US" w:eastAsia="zh-CN" w:bidi="ar"/>
              </w:rPr>
              <w:t>新残联发〔2020〕2号</w:t>
            </w:r>
          </w:p>
        </w:tc>
      </w:tr>
      <w:tr w14:paraId="2D2BF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09"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9640E7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3</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3FF4CD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《新田县住房和城乡建设局 新田县财政局关于规范前期费用上限控制计价办法的通知》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A73832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新住建联发〔2021〕01号</w:t>
            </w:r>
          </w:p>
        </w:tc>
      </w:tr>
      <w:tr w14:paraId="7A750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1140"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E3DB2C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4</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9241AA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《新田县住房和城乡建设局 新田县财政局关于新田县政府投资项目执行2020&lt;湖南省建设工程计价办法&gt;有关规定的通知》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9A0A5C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新住建联发〔2021〕02号</w:t>
            </w:r>
          </w:p>
        </w:tc>
      </w:tr>
      <w:tr w14:paraId="07EA8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3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2919FF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5</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AA8641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《新田县住房和城乡建设局关于印发&lt;新田县商品房预售资金监管实施细则&gt;的通知》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73E78B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新住建发〔2023〕1 号</w:t>
            </w:r>
          </w:p>
        </w:tc>
      </w:tr>
      <w:tr w14:paraId="673394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3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A15B85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6</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6C5616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《新田县民政局关于印发&lt;新田县特困人员认定实施细则&gt;的通知》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5E9C71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新民发〔2022〕18号</w:t>
            </w:r>
          </w:p>
        </w:tc>
      </w:tr>
      <w:tr w14:paraId="74A01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3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20E051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7</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3544BA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《新田县民政局关于印发&lt;新田县最低生活保障审核确认办法&gt;的通知》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B39F3B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新民发〔2022〕19号</w:t>
            </w:r>
          </w:p>
        </w:tc>
      </w:tr>
      <w:tr w14:paraId="7036E25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37" w:hRule="atLeast"/>
        </w:trPr>
        <w:tc>
          <w:tcPr>
            <w:tcW w:w="795"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11B9B3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40" w:lineRule="atLeast"/>
              <w:ind w:left="0" w:right="0"/>
              <w:jc w:val="center"/>
            </w:pPr>
            <w:r>
              <w:rPr>
                <w:rFonts w:hint="default" w:ascii="仿宋_GB2312" w:hAnsi="宋体" w:eastAsia="仿宋_GB2312" w:cs="仿宋_GB2312"/>
                <w:kern w:val="0"/>
                <w:sz w:val="24"/>
                <w:szCs w:val="24"/>
                <w:bdr w:val="none" w:color="auto" w:sz="0" w:space="0"/>
                <w:lang w:val="en-US" w:eastAsia="zh-CN" w:bidi="ar"/>
              </w:rPr>
              <w:t>8</w:t>
            </w:r>
          </w:p>
        </w:tc>
        <w:tc>
          <w:tcPr>
            <w:tcW w:w="6219"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86315A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《新田县司法局关于印发&lt;新田县司法行政部门不予、减轻、从轻行政处罚事项“三张清单”（第一批）&gt;的通知》</w:t>
            </w:r>
          </w:p>
        </w:tc>
        <w:tc>
          <w:tcPr>
            <w:tcW w:w="2725"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57B689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新司法发〔2024〕1号</w:t>
            </w:r>
          </w:p>
        </w:tc>
      </w:tr>
    </w:tbl>
    <w:p w14:paraId="5F0EBA7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0687C06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73CFB3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6EA943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4457313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A292FD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654808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EE1ED2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B68905E">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28A24E2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CESI黑体-GB2312" w:hAnsi="CESI黑体-GB2312" w:eastAsia="CESI黑体-GB2312" w:cs="CESI黑体-GB2312"/>
          <w:i w:val="0"/>
          <w:iCs w:val="0"/>
          <w:caps w:val="0"/>
          <w:color w:val="000000"/>
          <w:spacing w:val="0"/>
          <w:kern w:val="0"/>
          <w:sz w:val="32"/>
          <w:szCs w:val="32"/>
          <w:bdr w:val="none" w:color="auto" w:sz="0" w:space="0"/>
          <w:lang w:val="en-US" w:eastAsia="zh-CN" w:bidi="ar"/>
        </w:rPr>
        <w:t>附件2</w:t>
      </w:r>
    </w:p>
    <w:tbl>
      <w:tblPr>
        <w:tblW w:w="930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15" w:type="dxa"/>
          <w:left w:w="15" w:type="dxa"/>
          <w:bottom w:w="15" w:type="dxa"/>
          <w:right w:w="15" w:type="dxa"/>
        </w:tblCellMar>
      </w:tblPr>
      <w:tblGrid>
        <w:gridCol w:w="733"/>
        <w:gridCol w:w="63"/>
        <w:gridCol w:w="5801"/>
        <w:gridCol w:w="2711"/>
      </w:tblGrid>
      <w:tr w14:paraId="4CBB8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459" w:hRule="atLeast"/>
          <w:jc w:val="center"/>
        </w:trPr>
        <w:tc>
          <w:tcPr>
            <w:tcW w:w="9308" w:type="dxa"/>
            <w:gridSpan w:val="4"/>
            <w:tcBorders>
              <w:top w:val="nil"/>
              <w:left w:val="nil"/>
              <w:bottom w:val="single" w:color="auto" w:sz="8" w:space="0"/>
              <w:right w:val="nil"/>
            </w:tcBorders>
            <w:shd w:val="clear"/>
            <w:tcMar>
              <w:top w:w="0" w:type="dxa"/>
              <w:left w:w="108" w:type="dxa"/>
              <w:bottom w:w="0" w:type="dxa"/>
              <w:right w:w="108" w:type="dxa"/>
            </w:tcMar>
            <w:vAlign w:val="center"/>
          </w:tcPr>
          <w:p w14:paraId="0E28CA4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方正小标宋简体" w:hAnsi="方正小标宋简体" w:eastAsia="方正小标宋简体" w:cs="方正小标宋简体"/>
                <w:kern w:val="0"/>
                <w:sz w:val="44"/>
                <w:szCs w:val="44"/>
                <w:bdr w:val="none" w:color="auto" w:sz="0" w:space="0"/>
                <w:lang w:val="en-US" w:eastAsia="zh-CN" w:bidi="ar"/>
              </w:rPr>
              <w:t>宣布失效的规范性文件目录</w:t>
            </w:r>
          </w:p>
        </w:tc>
      </w:tr>
      <w:tr w14:paraId="0ADFE7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17" w:hRule="atLeast"/>
          <w:jc w:val="center"/>
        </w:trPr>
        <w:tc>
          <w:tcPr>
            <w:tcW w:w="9308"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6CC4FA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宣布失效的县政府文件</w:t>
            </w:r>
          </w:p>
        </w:tc>
      </w:tr>
      <w:tr w14:paraId="02952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487"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45193F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序号</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EE4D2B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文件标题</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D9FA3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发文文号</w:t>
            </w:r>
          </w:p>
        </w:tc>
      </w:tr>
      <w:tr w14:paraId="6C7F1AD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864"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A40EA3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05DA6C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《新田县人民政府关于调整新田县征地补偿标准及征地补偿片区划分的通知》</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DF7615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新政发〔2019〕5号</w:t>
            </w:r>
          </w:p>
        </w:tc>
      </w:tr>
      <w:tr w14:paraId="270270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702"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ED8A0C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118060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《新田县人民政府关于做好我县春运工作的通告》</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4D2063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新政函〔2020〕2号</w:t>
            </w:r>
          </w:p>
        </w:tc>
      </w:tr>
      <w:tr w14:paraId="7E0561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89"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3612A9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3</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C61DB0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《新田县人民政府关于清明期间“十不准”的通告》</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108CB2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新政函〔2020〕11号</w:t>
            </w:r>
          </w:p>
        </w:tc>
      </w:tr>
      <w:tr w14:paraId="3A8B58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26"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A16E6D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4</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094CFF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《新田县人民政府森林防火禁火令》</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BEF32D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新政函〔2020〕100号</w:t>
            </w:r>
          </w:p>
        </w:tc>
      </w:tr>
      <w:tr w14:paraId="633741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64"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AF4620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5</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974D9B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《新田县人民政府关于做好我县2021年春运工作的通告》</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5F8993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新政函〔2021〕8号</w:t>
            </w:r>
          </w:p>
        </w:tc>
      </w:tr>
      <w:tr w14:paraId="3FEEA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89"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11D0C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6</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C7641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《新田县人民政府关于做好我县2022年春运工作的通告》</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073F94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新政函〔2022〕13号</w:t>
            </w:r>
          </w:p>
        </w:tc>
      </w:tr>
      <w:tr w14:paraId="7E612D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14"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E29928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7</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5B8118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《新田县人民政府关于清明期间“十不准”的通告》</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6A1FCA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新政函〔2022〕25号</w:t>
            </w:r>
          </w:p>
        </w:tc>
      </w:tr>
      <w:tr w14:paraId="156F6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89"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9CE926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8</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CC7FE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《新田县人民政府2022年封山禁火令》</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0C105B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新政函〔2022〕105号</w:t>
            </w:r>
          </w:p>
        </w:tc>
      </w:tr>
      <w:tr w14:paraId="6A143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927"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6E271B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9</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7CF1A1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《新田县人民政府关于做好2023年我县春运工作的通告》</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95CE92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新政函〔2023〕11号</w:t>
            </w:r>
          </w:p>
        </w:tc>
      </w:tr>
      <w:tr w14:paraId="276F496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327" w:hRule="atLeast"/>
          <w:jc w:val="center"/>
        </w:trPr>
        <w:tc>
          <w:tcPr>
            <w:tcW w:w="733" w:type="dxa"/>
            <w:tcBorders>
              <w:top w:val="nil"/>
              <w:left w:val="nil"/>
              <w:bottom w:val="single" w:color="auto" w:sz="8" w:space="0"/>
              <w:right w:val="nil"/>
            </w:tcBorders>
            <w:shd w:val="clear"/>
            <w:tcMar>
              <w:top w:w="0" w:type="dxa"/>
              <w:left w:w="108" w:type="dxa"/>
              <w:bottom w:w="0" w:type="dxa"/>
              <w:right w:w="108" w:type="dxa"/>
            </w:tcMar>
            <w:vAlign w:val="center"/>
          </w:tcPr>
          <w:p w14:paraId="5A55F26A">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5864" w:type="dxa"/>
            <w:gridSpan w:val="2"/>
            <w:tcBorders>
              <w:top w:val="nil"/>
              <w:left w:val="nil"/>
              <w:bottom w:val="single" w:color="auto" w:sz="8" w:space="0"/>
              <w:right w:val="nil"/>
            </w:tcBorders>
            <w:shd w:val="clear"/>
            <w:tcMar>
              <w:top w:w="0" w:type="dxa"/>
              <w:left w:w="108" w:type="dxa"/>
              <w:bottom w:w="0" w:type="dxa"/>
              <w:right w:w="108" w:type="dxa"/>
            </w:tcMar>
            <w:vAlign w:val="center"/>
          </w:tcPr>
          <w:p w14:paraId="266619E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 </w:t>
            </w:r>
          </w:p>
        </w:tc>
        <w:tc>
          <w:tcPr>
            <w:tcW w:w="2711" w:type="dxa"/>
            <w:tcBorders>
              <w:top w:val="nil"/>
              <w:left w:val="nil"/>
              <w:bottom w:val="single" w:color="auto" w:sz="8" w:space="0"/>
              <w:right w:val="nil"/>
            </w:tcBorders>
            <w:shd w:val="clear"/>
            <w:tcMar>
              <w:top w:w="0" w:type="dxa"/>
              <w:left w:w="108" w:type="dxa"/>
              <w:bottom w:w="0" w:type="dxa"/>
              <w:right w:w="108" w:type="dxa"/>
            </w:tcMar>
            <w:vAlign w:val="center"/>
          </w:tcPr>
          <w:p w14:paraId="2F6A00D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 </w:t>
            </w:r>
          </w:p>
        </w:tc>
      </w:tr>
      <w:tr w14:paraId="3D51E7F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37" w:hRule="atLeast"/>
          <w:jc w:val="center"/>
        </w:trPr>
        <w:tc>
          <w:tcPr>
            <w:tcW w:w="9308"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3792F1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宣布失效的县政府办公室文件</w:t>
            </w:r>
          </w:p>
        </w:tc>
      </w:tr>
      <w:tr w14:paraId="7396D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64"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CCB75A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序号</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140614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文件标题</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E31338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发文文号</w:t>
            </w:r>
          </w:p>
        </w:tc>
      </w:tr>
      <w:tr w14:paraId="61E9438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1055"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3E87FF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E79290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《新田县人民政府办公室关于印发&lt;新田县行政许可事项清单（2022年版）&gt;的通知》</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C3DE92F">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新政办发〔2022〕11号</w:t>
            </w:r>
          </w:p>
        </w:tc>
      </w:tr>
      <w:tr w14:paraId="00967B7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984" w:hRule="atLeast"/>
          <w:jc w:val="center"/>
        </w:trPr>
        <w:tc>
          <w:tcPr>
            <w:tcW w:w="733"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1BF0AE9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5864" w:type="dxa"/>
            <w:gridSpan w:val="2"/>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C7739B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《新田县人民政府办公室关于印发&lt;2023年度新田县城乡居民医保费征收工作方案&gt;的通知》</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4D006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新政办函〔2022〕38号</w:t>
            </w:r>
          </w:p>
        </w:tc>
      </w:tr>
      <w:tr w14:paraId="5DCA2D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339" w:hRule="atLeast"/>
          <w:jc w:val="center"/>
        </w:trPr>
        <w:tc>
          <w:tcPr>
            <w:tcW w:w="9308" w:type="dxa"/>
            <w:gridSpan w:val="4"/>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A52108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宣布失效的部门文件</w:t>
            </w:r>
          </w:p>
        </w:tc>
      </w:tr>
      <w:tr w14:paraId="70FCBB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16" w:hRule="atLeast"/>
          <w:jc w:val="center"/>
        </w:trPr>
        <w:tc>
          <w:tcPr>
            <w:tcW w:w="796"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0000D5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序号</w:t>
            </w:r>
          </w:p>
        </w:tc>
        <w:tc>
          <w:tcPr>
            <w:tcW w:w="5801"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0875180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文件标题</w:t>
            </w:r>
          </w:p>
        </w:tc>
        <w:tc>
          <w:tcPr>
            <w:tcW w:w="2711"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67FBAB6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4"/>
                <w:szCs w:val="24"/>
                <w:bdr w:val="none" w:color="auto" w:sz="0" w:space="0"/>
                <w:lang w:val="en-US" w:eastAsia="zh-CN" w:bidi="ar"/>
              </w:rPr>
              <w:t>发文文号</w:t>
            </w:r>
          </w:p>
        </w:tc>
      </w:tr>
      <w:tr w14:paraId="69F66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99" w:hRule="atLeast"/>
          <w:jc w:val="center"/>
        </w:trPr>
        <w:tc>
          <w:tcPr>
            <w:tcW w:w="796"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B7C18AF">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580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1AA1DA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《新田县群众举报毒品违法犯罪奖励办法（试行）》</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F9D21B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新公发〔2020〕1号</w:t>
            </w:r>
          </w:p>
        </w:tc>
      </w:tr>
      <w:tr w14:paraId="2207E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99" w:hRule="atLeast"/>
          <w:jc w:val="center"/>
        </w:trPr>
        <w:tc>
          <w:tcPr>
            <w:tcW w:w="796" w:type="dxa"/>
            <w:gridSpan w:val="2"/>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39CB06F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580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D3CB16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《新田县侦破毒品案件奖励办法（试行）》</w:t>
            </w:r>
          </w:p>
        </w:tc>
        <w:tc>
          <w:tcPr>
            <w:tcW w:w="2711"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45DCC5F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新公发〔2020〕2号</w:t>
            </w:r>
          </w:p>
        </w:tc>
      </w:tr>
    </w:tbl>
    <w:p w14:paraId="17E3399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3A0A85E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747DA740">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35BB097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22CE7C4D">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5C953D4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279981A">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45093B5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125C2D05">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5A1EF9C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69A13F75">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1CDCA6A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46DCEF8">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59517BE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E8A32CD">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Calibri" w:hAnsi="Calibri" w:eastAsia="宋体" w:cs="Calibri"/>
          <w:i w:val="0"/>
          <w:iCs w:val="0"/>
          <w:caps w:val="0"/>
          <w:color w:val="000000"/>
          <w:spacing w:val="0"/>
          <w:sz w:val="21"/>
          <w:szCs w:val="21"/>
          <w:bdr w:val="none" w:color="auto" w:sz="0" w:space="0"/>
        </w:rPr>
        <w:t> </w:t>
      </w:r>
    </w:p>
    <w:p w14:paraId="6F41167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i w:val="0"/>
          <w:iCs w:val="0"/>
          <w:caps w:val="0"/>
          <w:color w:val="000000"/>
          <w:spacing w:val="0"/>
          <w:kern w:val="0"/>
          <w:sz w:val="32"/>
          <w:szCs w:val="32"/>
          <w:bdr w:val="none" w:color="auto" w:sz="0" w:space="0"/>
          <w:lang w:val="en-US" w:eastAsia="zh-CN" w:bidi="ar"/>
        </w:rPr>
        <w:t> </w:t>
      </w:r>
    </w:p>
    <w:p w14:paraId="5EBF33C2">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ESI黑体-GB2312" w:hAnsi="CESI黑体-GB2312" w:eastAsia="CESI黑体-GB2312" w:cs="CESI黑体-GB2312"/>
          <w:i w:val="0"/>
          <w:iCs w:val="0"/>
          <w:caps w:val="0"/>
          <w:color w:val="000000"/>
          <w:spacing w:val="0"/>
          <w:kern w:val="0"/>
          <w:sz w:val="32"/>
          <w:szCs w:val="32"/>
          <w:bdr w:val="none" w:color="auto" w:sz="0" w:space="0"/>
          <w:lang w:val="en-US" w:eastAsia="zh-CN" w:bidi="ar"/>
        </w:rPr>
        <w:t> </w:t>
      </w:r>
    </w:p>
    <w:p w14:paraId="11BC033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ESI黑体-GB2312" w:hAnsi="CESI黑体-GB2312" w:eastAsia="CESI黑体-GB2312" w:cs="CESI黑体-GB2312"/>
          <w:i w:val="0"/>
          <w:iCs w:val="0"/>
          <w:caps w:val="0"/>
          <w:color w:val="000000"/>
          <w:spacing w:val="0"/>
          <w:kern w:val="0"/>
          <w:sz w:val="32"/>
          <w:szCs w:val="32"/>
          <w:bdr w:val="none" w:color="auto" w:sz="0" w:space="0"/>
          <w:lang w:val="en-US" w:eastAsia="zh-CN" w:bidi="ar"/>
        </w:rPr>
        <w:t> </w:t>
      </w:r>
    </w:p>
    <w:p w14:paraId="32BB577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ESI黑体-GB2312" w:hAnsi="CESI黑体-GB2312" w:eastAsia="CESI黑体-GB2312" w:cs="CESI黑体-GB2312"/>
          <w:i w:val="0"/>
          <w:iCs w:val="0"/>
          <w:caps w:val="0"/>
          <w:color w:val="000000"/>
          <w:spacing w:val="0"/>
          <w:kern w:val="0"/>
          <w:sz w:val="32"/>
          <w:szCs w:val="32"/>
          <w:bdr w:val="none" w:color="auto" w:sz="0" w:space="0"/>
          <w:lang w:val="en-US" w:eastAsia="zh-CN" w:bidi="ar"/>
        </w:rPr>
        <w:t> </w:t>
      </w:r>
    </w:p>
    <w:p w14:paraId="3875FE4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ESI黑体-GB2312" w:hAnsi="CESI黑体-GB2312" w:eastAsia="CESI黑体-GB2312" w:cs="CESI黑体-GB2312"/>
          <w:i w:val="0"/>
          <w:iCs w:val="0"/>
          <w:caps w:val="0"/>
          <w:color w:val="000000"/>
          <w:spacing w:val="0"/>
          <w:kern w:val="0"/>
          <w:sz w:val="32"/>
          <w:szCs w:val="32"/>
          <w:bdr w:val="none" w:color="auto" w:sz="0" w:space="0"/>
          <w:lang w:val="en-US" w:eastAsia="zh-CN" w:bidi="ar"/>
        </w:rPr>
        <w:t>附件3</w:t>
      </w:r>
    </w:p>
    <w:tbl>
      <w:tblPr>
        <w:tblW w:w="928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15" w:type="dxa"/>
          <w:left w:w="15" w:type="dxa"/>
          <w:bottom w:w="15" w:type="dxa"/>
          <w:right w:w="15" w:type="dxa"/>
        </w:tblCellMar>
      </w:tblPr>
      <w:tblGrid>
        <w:gridCol w:w="814"/>
        <w:gridCol w:w="5753"/>
        <w:gridCol w:w="2716"/>
      </w:tblGrid>
      <w:tr w14:paraId="1C08549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420" w:hRule="atLeast"/>
          <w:jc w:val="center"/>
        </w:trPr>
        <w:tc>
          <w:tcPr>
            <w:tcW w:w="9283" w:type="dxa"/>
            <w:gridSpan w:val="3"/>
            <w:tcBorders>
              <w:top w:val="nil"/>
              <w:left w:val="nil"/>
              <w:bottom w:val="single" w:color="auto" w:sz="8" w:space="0"/>
              <w:right w:val="nil"/>
            </w:tcBorders>
            <w:shd w:val="clear"/>
            <w:tcMar>
              <w:top w:w="0" w:type="dxa"/>
              <w:left w:w="108" w:type="dxa"/>
              <w:bottom w:w="0" w:type="dxa"/>
              <w:right w:w="108" w:type="dxa"/>
            </w:tcMar>
            <w:vAlign w:val="center"/>
          </w:tcPr>
          <w:p w14:paraId="214AFA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方正小标宋简体" w:hAnsi="方正小标宋简体" w:eastAsia="方正小标宋简体" w:cs="方正小标宋简体"/>
                <w:kern w:val="0"/>
                <w:sz w:val="44"/>
                <w:szCs w:val="44"/>
                <w:bdr w:val="none" w:color="auto" w:sz="0" w:space="0"/>
                <w:lang w:val="en-US" w:eastAsia="zh-CN" w:bidi="ar"/>
              </w:rPr>
              <w:t>予以废止的规范性文件目录</w:t>
            </w:r>
          </w:p>
        </w:tc>
      </w:tr>
      <w:tr w14:paraId="0D8898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381" w:hRule="atLeast"/>
          <w:jc w:val="center"/>
        </w:trPr>
        <w:tc>
          <w:tcPr>
            <w:tcW w:w="9283"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65390AD9">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予以废止的县政府文件</w:t>
            </w:r>
          </w:p>
        </w:tc>
      </w:tr>
      <w:tr w14:paraId="1A3C00D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477"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9F4C17B">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序号</w:t>
            </w:r>
          </w:p>
        </w:tc>
        <w:tc>
          <w:tcPr>
            <w:tcW w:w="5753"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16FA8013">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文件标题</w:t>
            </w:r>
          </w:p>
        </w:tc>
        <w:tc>
          <w:tcPr>
            <w:tcW w:w="2716"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554A7E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发文文号</w:t>
            </w:r>
          </w:p>
        </w:tc>
      </w:tr>
      <w:tr w14:paraId="75A516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61"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7C05E44">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5753"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F07037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《新田县人民政府森林防火禁火令》</w:t>
            </w:r>
          </w:p>
        </w:tc>
        <w:tc>
          <w:tcPr>
            <w:tcW w:w="2716"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773C860">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新政函〔2021〕4号</w:t>
            </w:r>
          </w:p>
        </w:tc>
      </w:tr>
      <w:tr w14:paraId="5ACB2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60"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79CC9C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2</w:t>
            </w:r>
          </w:p>
        </w:tc>
        <w:tc>
          <w:tcPr>
            <w:tcW w:w="5753"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3174138C">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《新田县人民政府关于禁止在河道、河坝、水库、山塘等水域游泳、戏水的通告》</w:t>
            </w:r>
          </w:p>
        </w:tc>
        <w:tc>
          <w:tcPr>
            <w:tcW w:w="2716"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336EC5F">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新政函〔2021〕64号</w:t>
            </w:r>
          </w:p>
        </w:tc>
      </w:tr>
      <w:tr w14:paraId="630CC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699"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59C0F69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3</w:t>
            </w:r>
          </w:p>
        </w:tc>
        <w:tc>
          <w:tcPr>
            <w:tcW w:w="5753"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5D7538C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《新田县人民政府关于开展公路治超非现场执法的通告》</w:t>
            </w:r>
          </w:p>
        </w:tc>
        <w:tc>
          <w:tcPr>
            <w:tcW w:w="2716"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A32508C">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新政函〔2020〕61号</w:t>
            </w:r>
          </w:p>
        </w:tc>
      </w:tr>
      <w:tr w14:paraId="30D2CEE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87"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00082AC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4</w:t>
            </w:r>
          </w:p>
        </w:tc>
        <w:tc>
          <w:tcPr>
            <w:tcW w:w="5753"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005B576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《新田县人民政府关于生猪定点屠宰肉产品冷链统一配送的通告》</w:t>
            </w:r>
          </w:p>
        </w:tc>
        <w:tc>
          <w:tcPr>
            <w:tcW w:w="2716"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76BC2C89">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新政函〔2024〕38号</w:t>
            </w:r>
          </w:p>
        </w:tc>
      </w:tr>
      <w:tr w14:paraId="462A66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787" w:hRule="atLeast"/>
          <w:jc w:val="center"/>
        </w:trPr>
        <w:tc>
          <w:tcPr>
            <w:tcW w:w="814" w:type="dxa"/>
            <w:tcBorders>
              <w:top w:val="nil"/>
              <w:left w:val="nil"/>
              <w:bottom w:val="single" w:color="auto" w:sz="8" w:space="0"/>
              <w:right w:val="nil"/>
            </w:tcBorders>
            <w:shd w:val="clear"/>
            <w:tcMar>
              <w:top w:w="0" w:type="dxa"/>
              <w:left w:w="108" w:type="dxa"/>
              <w:bottom w:w="0" w:type="dxa"/>
              <w:right w:w="108" w:type="dxa"/>
            </w:tcMar>
            <w:vAlign w:val="center"/>
          </w:tcPr>
          <w:p w14:paraId="644F8FA5">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 </w:t>
            </w:r>
          </w:p>
        </w:tc>
        <w:tc>
          <w:tcPr>
            <w:tcW w:w="5753" w:type="dxa"/>
            <w:tcBorders>
              <w:top w:val="nil"/>
              <w:left w:val="nil"/>
              <w:bottom w:val="single" w:color="auto" w:sz="8" w:space="0"/>
              <w:right w:val="nil"/>
            </w:tcBorders>
            <w:shd w:val="clear"/>
            <w:tcMar>
              <w:top w:w="0" w:type="dxa"/>
              <w:left w:w="108" w:type="dxa"/>
              <w:bottom w:w="0" w:type="dxa"/>
              <w:right w:w="108" w:type="dxa"/>
            </w:tcMar>
            <w:vAlign w:val="center"/>
          </w:tcPr>
          <w:p w14:paraId="0C800BC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 </w:t>
            </w:r>
          </w:p>
        </w:tc>
        <w:tc>
          <w:tcPr>
            <w:tcW w:w="2716" w:type="dxa"/>
            <w:tcBorders>
              <w:top w:val="nil"/>
              <w:left w:val="nil"/>
              <w:bottom w:val="single" w:color="auto" w:sz="8" w:space="0"/>
              <w:right w:val="nil"/>
            </w:tcBorders>
            <w:shd w:val="clear"/>
            <w:tcMar>
              <w:top w:w="0" w:type="dxa"/>
              <w:left w:w="108" w:type="dxa"/>
              <w:bottom w:w="0" w:type="dxa"/>
              <w:right w:w="108" w:type="dxa"/>
            </w:tcMar>
            <w:vAlign w:val="center"/>
          </w:tcPr>
          <w:p w14:paraId="6EE6CA62">
            <w:pPr>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 </w:t>
            </w:r>
          </w:p>
        </w:tc>
      </w:tr>
      <w:tr w14:paraId="7BE1B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360" w:hRule="atLeast"/>
          <w:jc w:val="center"/>
        </w:trPr>
        <w:tc>
          <w:tcPr>
            <w:tcW w:w="9283" w:type="dxa"/>
            <w:gridSpan w:val="3"/>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4C7D87E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予以废止的县政府办公室文件</w:t>
            </w:r>
          </w:p>
        </w:tc>
      </w:tr>
      <w:tr w14:paraId="4FFDA1A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566"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296EB8A8">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序号</w:t>
            </w:r>
          </w:p>
        </w:tc>
        <w:tc>
          <w:tcPr>
            <w:tcW w:w="5753"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5518B1A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文件标题</w:t>
            </w:r>
          </w:p>
        </w:tc>
        <w:tc>
          <w:tcPr>
            <w:tcW w:w="2716" w:type="dxa"/>
            <w:tcBorders>
              <w:top w:val="single" w:color="auto" w:sz="8" w:space="0"/>
              <w:left w:val="nil"/>
              <w:bottom w:val="single" w:color="auto" w:sz="8" w:space="0"/>
              <w:right w:val="single" w:color="auto" w:sz="8" w:space="0"/>
            </w:tcBorders>
            <w:shd w:val="clear"/>
            <w:tcMar>
              <w:top w:w="0" w:type="dxa"/>
              <w:left w:w="108" w:type="dxa"/>
              <w:bottom w:w="0" w:type="dxa"/>
              <w:right w:w="108" w:type="dxa"/>
            </w:tcMar>
            <w:vAlign w:val="center"/>
          </w:tcPr>
          <w:p w14:paraId="307C0B96">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b/>
                <w:bCs/>
                <w:kern w:val="0"/>
                <w:sz w:val="28"/>
                <w:szCs w:val="28"/>
                <w:bdr w:val="none" w:color="auto" w:sz="0" w:space="0"/>
                <w:lang w:val="en-US" w:eastAsia="zh-CN" w:bidi="ar"/>
              </w:rPr>
              <w:t>发文文号</w:t>
            </w:r>
          </w:p>
        </w:tc>
      </w:tr>
      <w:tr w14:paraId="3333B00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15" w:type="dxa"/>
            <w:left w:w="15" w:type="dxa"/>
            <w:bottom w:w="15" w:type="dxa"/>
            <w:right w:w="15" w:type="dxa"/>
          </w:tblCellMar>
        </w:tblPrEx>
        <w:trPr>
          <w:trHeight w:val="1218" w:hRule="atLeast"/>
          <w:jc w:val="center"/>
        </w:trPr>
        <w:tc>
          <w:tcPr>
            <w:tcW w:w="814" w:type="dxa"/>
            <w:tcBorders>
              <w:top w:val="nil"/>
              <w:left w:val="single" w:color="auto" w:sz="8" w:space="0"/>
              <w:bottom w:val="single" w:color="auto" w:sz="8" w:space="0"/>
              <w:right w:val="single" w:color="auto" w:sz="8" w:space="0"/>
            </w:tcBorders>
            <w:shd w:val="clear"/>
            <w:tcMar>
              <w:top w:w="0" w:type="dxa"/>
              <w:left w:w="108" w:type="dxa"/>
              <w:bottom w:w="0" w:type="dxa"/>
              <w:right w:w="108" w:type="dxa"/>
            </w:tcMar>
            <w:vAlign w:val="center"/>
          </w:tcPr>
          <w:p w14:paraId="7DBE8DB1">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center"/>
            </w:pPr>
            <w:r>
              <w:rPr>
                <w:rFonts w:hint="default" w:ascii="仿宋_GB2312" w:hAnsi="宋体" w:eastAsia="仿宋_GB2312" w:cs="仿宋_GB2312"/>
                <w:kern w:val="0"/>
                <w:sz w:val="24"/>
                <w:szCs w:val="24"/>
                <w:bdr w:val="none" w:color="auto" w:sz="0" w:space="0"/>
                <w:lang w:val="en-US" w:eastAsia="zh-CN" w:bidi="ar"/>
              </w:rPr>
              <w:t>1</w:t>
            </w:r>
          </w:p>
        </w:tc>
        <w:tc>
          <w:tcPr>
            <w:tcW w:w="5753"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6A945E07">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《新田县人民政府办公室关于印发&lt;新田县国家规模标准限额以下使用国有资金投资工程发包管理办法&gt;的通知》</w:t>
            </w:r>
          </w:p>
        </w:tc>
        <w:tc>
          <w:tcPr>
            <w:tcW w:w="2716" w:type="dxa"/>
            <w:tcBorders>
              <w:top w:val="nil"/>
              <w:left w:val="nil"/>
              <w:bottom w:val="single" w:color="auto" w:sz="8" w:space="0"/>
              <w:right w:val="single" w:color="auto" w:sz="8" w:space="0"/>
            </w:tcBorders>
            <w:shd w:val="clear"/>
            <w:tcMar>
              <w:top w:w="0" w:type="dxa"/>
              <w:left w:w="108" w:type="dxa"/>
              <w:bottom w:w="0" w:type="dxa"/>
              <w:right w:w="108" w:type="dxa"/>
            </w:tcMar>
            <w:vAlign w:val="center"/>
          </w:tcPr>
          <w:p w14:paraId="2652C01E">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jc w:val="left"/>
            </w:pPr>
            <w:r>
              <w:rPr>
                <w:rFonts w:hint="default" w:ascii="仿宋_GB2312" w:hAnsi="宋体" w:eastAsia="仿宋_GB2312" w:cs="仿宋_GB2312"/>
                <w:kern w:val="0"/>
                <w:sz w:val="24"/>
                <w:szCs w:val="24"/>
                <w:bdr w:val="none" w:color="auto" w:sz="0" w:space="0"/>
                <w:lang w:val="en-US" w:eastAsia="zh-CN" w:bidi="ar"/>
              </w:rPr>
              <w:t>新政办发〔2020〕15号</w:t>
            </w:r>
          </w:p>
        </w:tc>
      </w:tr>
    </w:tbl>
    <w:p w14:paraId="6C0C527D">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4903ECA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560" w:lineRule="atLeast"/>
        <w:ind w:left="0" w:right="0"/>
        <w:jc w:val="left"/>
      </w:pPr>
      <w:r>
        <w:rPr>
          <w:rFonts w:hint="default" w:ascii="Calibri" w:hAnsi="Calibri" w:eastAsia="宋体" w:cs="Calibri"/>
          <w:i w:val="0"/>
          <w:iCs w:val="0"/>
          <w:caps w:val="0"/>
          <w:color w:val="000000"/>
          <w:spacing w:val="0"/>
          <w:kern w:val="0"/>
          <w:sz w:val="21"/>
          <w:szCs w:val="21"/>
          <w:bdr w:val="none" w:color="auto" w:sz="0" w:space="0"/>
          <w:lang w:val="en-US" w:eastAsia="zh-CN" w:bidi="ar"/>
        </w:rPr>
        <w:t> </w:t>
      </w:r>
    </w:p>
    <w:p w14:paraId="00D2EF97">
      <w:pPr>
        <w:keepNext w:val="0"/>
        <w:keepLines w:val="0"/>
        <w:widowControl/>
        <w:suppressLineNumbers w:val="0"/>
        <w:jc w:val="left"/>
      </w:pPr>
    </w:p>
    <w:p w14:paraId="3E809BD0">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210" w:right="0" w:firstLine="0"/>
        <w:jc w:val="center"/>
        <w:rPr>
          <w:rFonts w:hint="eastAsia" w:ascii="宋体" w:hAnsi="宋体" w:eastAsia="宋体" w:cs="宋体"/>
          <w:i w:val="0"/>
          <w:iCs w:val="0"/>
          <w:caps w:val="0"/>
          <w:color w:val="000000"/>
          <w:spacing w:val="0"/>
          <w:sz w:val="14"/>
          <w:szCs w:val="14"/>
        </w:rPr>
      </w:pPr>
      <w:r>
        <w:rPr>
          <w:rFonts w:hint="eastAsia" w:ascii="宋体" w:hAnsi="宋体" w:eastAsia="宋体" w:cs="宋体"/>
          <w:i w:val="0"/>
          <w:iCs w:val="0"/>
          <w:caps w:val="0"/>
          <w:color w:val="000000"/>
          <w:spacing w:val="0"/>
          <w:kern w:val="0"/>
          <w:sz w:val="14"/>
          <w:szCs w:val="14"/>
          <w:bdr w:val="none" w:color="auto" w:sz="0" w:space="0"/>
          <w:lang w:val="en-US" w:eastAsia="zh-CN" w:bidi="ar"/>
        </w:rPr>
        <w:drawing>
          <wp:inline distT="0" distB="0" distL="114300" distR="114300">
            <wp:extent cx="5271135" cy="7455535"/>
            <wp:effectExtent l="0" t="0" r="1905" b="12065"/>
            <wp:docPr id="3"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descr="IMG_261"/>
                    <pic:cNvPicPr>
                      <a:picLocks noChangeAspect="1"/>
                    </pic:cNvPicPr>
                  </pic:nvPicPr>
                  <pic:blipFill>
                    <a:blip r:embed="rId9"/>
                    <a:stretch>
                      <a:fillRect/>
                    </a:stretch>
                  </pic:blipFill>
                  <pic:spPr>
                    <a:xfrm>
                      <a:off x="0" y="0"/>
                      <a:ext cx="5271135" cy="7455535"/>
                    </a:xfrm>
                    <a:prstGeom prst="rect">
                      <a:avLst/>
                    </a:prstGeom>
                    <a:noFill/>
                    <a:ln w="9525">
                      <a:noFill/>
                    </a:ln>
                  </pic:spPr>
                </pic:pic>
              </a:graphicData>
            </a:graphic>
          </wp:inline>
        </w:drawing>
      </w:r>
      <w:r>
        <w:rPr>
          <w:rFonts w:hint="default" w:ascii="Calibri" w:hAnsi="Calibri" w:eastAsia="宋体" w:cs="Calibri"/>
          <w:i w:val="0"/>
          <w:iCs w:val="0"/>
          <w:caps w:val="0"/>
          <w:color w:val="000000"/>
          <w:spacing w:val="0"/>
          <w:kern w:val="0"/>
          <w:sz w:val="21"/>
          <w:szCs w:val="21"/>
          <w:bdr w:val="none" w:color="auto" w:sz="0" w:space="0"/>
          <w:lang w:val="en-US" w:eastAsia="zh-CN" w:bidi="ar"/>
        </w:rPr>
        <w:t> </w:t>
      </w:r>
      <w:bookmarkStart w:id="0" w:name="_GoBack"/>
      <w:bookmarkEnd w:id="0"/>
    </w:p>
    <w:p w14:paraId="1CEECCD8">
      <w:pPr>
        <w:keepNext w:val="0"/>
        <w:keepLines w:val="0"/>
        <w:widowControl/>
        <w:suppressLineNumbers w:val="0"/>
        <w:jc w:val="left"/>
      </w:pPr>
    </w:p>
    <w:p w14:paraId="007950AA"/>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方正小标宋简体">
    <w:altName w:val="方正舒体"/>
    <w:panose1 w:val="00000000000000000000"/>
    <w:charset w:val="00"/>
    <w:family w:val="auto"/>
    <w:pitch w:val="default"/>
    <w:sig w:usb0="00000000" w:usb1="00000000" w:usb2="00000000" w:usb3="00000000" w:csb0="00000000" w:csb1="00000000"/>
  </w:font>
  <w:font w:name="方正舒体">
    <w:panose1 w:val="02010601030101010101"/>
    <w:charset w:val="86"/>
    <w:family w:val="auto"/>
    <w:pitch w:val="default"/>
    <w:sig w:usb0="00000003" w:usb1="080E0000" w:usb2="00000000" w:usb3="00000000" w:csb0="00040000" w:csb1="00000000"/>
  </w:font>
  <w:font w:name="仿宋_GB2312">
    <w:altName w:val="仿宋"/>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auto"/>
    <w:pitch w:val="default"/>
    <w:sig w:usb0="E0002EFF" w:usb1="C000785B" w:usb2="00000009" w:usb3="00000000" w:csb0="400001FF" w:csb1="FFFF0000"/>
  </w:font>
  <w:font w:name="CESI黑体-GB2312">
    <w:altName w:val="黑体"/>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46B51D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41</Pages>
  <Words>0</Words>
  <Characters>0</Characters>
  <Lines>0</Lines>
  <Paragraphs>0</Paragraphs>
  <TotalTime>0</TotalTime>
  <ScaleCrop>false</ScaleCrop>
  <LinksUpToDate>false</LinksUpToDate>
  <CharactersWithSpaces>0</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2025-08-01T07:40:32Z</dcterms:created>
  <dc:creator>鲨鱼擦屁股</dc:creator>
  <cp:lastModifiedBy>WPS_1674013446</cp:lastModifiedBy>
  <dcterms:modified xsi:type="dcterms:W3CDTF">2025-08-01T07:40:52Z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KSOTemplateDocerSaveRecord">
    <vt:lpwstr>eyJoZGlkIjoiYjJjOTQxYzhjODMyMDAzZmE0MDJkMWFkNmJlNDkwYTUiLCJ1c2VySWQiOiIxNDY3OTM0Njg4In0=</vt:lpwstr>
  </property>
  <property fmtid="{D5CDD505-2E9C-101B-9397-08002B2CF9AE}" pid="4" name="ICV">
    <vt:lpwstr>1647D3FEC3F74FAC89B1B97D6D5BF783_12</vt:lpwstr>
  </property>
</Properties>
</file>