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A08338">
      <w:pPr>
        <w:pStyle w:val="2"/>
        <w:keepNext w:val="0"/>
        <w:keepLines w:val="0"/>
        <w:widowControl/>
        <w:suppressLineNumbers w:val="0"/>
        <w:spacing w:before="0" w:beforeAutospacing="0" w:after="0" w:afterAutospacing="0"/>
        <w:jc w:val="center"/>
      </w:pPr>
      <w:r>
        <w:rPr>
          <w:i w:val="0"/>
          <w:iCs w:val="0"/>
          <w:caps w:val="0"/>
          <w:color w:val="000000"/>
          <w:spacing w:val="0"/>
        </w:rPr>
        <w:drawing>
          <wp:inline distT="0" distB="0" distL="114300" distR="114300">
            <wp:extent cx="5273040" cy="7465060"/>
            <wp:effectExtent l="0" t="0" r="0" b="254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273040" cy="7465060"/>
                    </a:xfrm>
                    <a:prstGeom prst="rect">
                      <a:avLst/>
                    </a:prstGeom>
                    <a:noFill/>
                    <a:ln w="9525">
                      <a:noFill/>
                    </a:ln>
                  </pic:spPr>
                </pic:pic>
              </a:graphicData>
            </a:graphic>
          </wp:inline>
        </w:drawing>
      </w:r>
      <w:r>
        <w:rPr>
          <w:i w:val="0"/>
          <w:iCs w:val="0"/>
          <w:caps w:val="0"/>
          <w:color w:val="000000"/>
          <w:spacing w:val="0"/>
        </w:rPr>
        <w:drawing>
          <wp:inline distT="0" distB="0" distL="114300" distR="114300">
            <wp:extent cx="5273040" cy="7465060"/>
            <wp:effectExtent l="0" t="0" r="0" b="2540"/>
            <wp:docPr id="5"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IMG_257"/>
                    <pic:cNvPicPr>
                      <a:picLocks noChangeAspect="1"/>
                    </pic:cNvPicPr>
                  </pic:nvPicPr>
                  <pic:blipFill>
                    <a:blip r:embed="rId5"/>
                    <a:stretch>
                      <a:fillRect/>
                    </a:stretch>
                  </pic:blipFill>
                  <pic:spPr>
                    <a:xfrm>
                      <a:off x="0" y="0"/>
                      <a:ext cx="5273040" cy="7465060"/>
                    </a:xfrm>
                    <a:prstGeom prst="rect">
                      <a:avLst/>
                    </a:prstGeom>
                    <a:noFill/>
                    <a:ln w="9525">
                      <a:noFill/>
                    </a:ln>
                  </pic:spPr>
                </pic:pic>
              </a:graphicData>
            </a:graphic>
          </wp:inline>
        </w:drawing>
      </w:r>
      <w:r>
        <w:rPr>
          <w:i w:val="0"/>
          <w:iCs w:val="0"/>
          <w:caps w:val="0"/>
          <w:color w:val="000000"/>
          <w:spacing w:val="0"/>
        </w:rPr>
        <w:drawing>
          <wp:inline distT="0" distB="0" distL="114300" distR="114300">
            <wp:extent cx="5273040" cy="7465060"/>
            <wp:effectExtent l="0" t="0" r="0" b="2540"/>
            <wp:docPr id="6"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6"/>
                    <a:stretch>
                      <a:fillRect/>
                    </a:stretch>
                  </pic:blipFill>
                  <pic:spPr>
                    <a:xfrm>
                      <a:off x="0" y="0"/>
                      <a:ext cx="5273040" cy="7465060"/>
                    </a:xfrm>
                    <a:prstGeom prst="rect">
                      <a:avLst/>
                    </a:prstGeom>
                    <a:noFill/>
                    <a:ln w="9525">
                      <a:noFill/>
                    </a:ln>
                  </pic:spPr>
                </pic:pic>
              </a:graphicData>
            </a:graphic>
          </wp:inline>
        </w:drawing>
      </w:r>
    </w:p>
    <w:p w14:paraId="45DE667B">
      <w:pPr>
        <w:keepNext w:val="0"/>
        <w:keepLines w:val="0"/>
        <w:widowControl/>
        <w:suppressLineNumbers w:val="0"/>
        <w:jc w:val="left"/>
      </w:pPr>
    </w:p>
    <w:p w14:paraId="4A40064C">
      <w:pPr>
        <w:pStyle w:val="2"/>
        <w:keepNext w:val="0"/>
        <w:keepLines w:val="0"/>
        <w:widowControl/>
        <w:suppressLineNumbers w:val="0"/>
        <w:spacing w:before="0" w:beforeAutospacing="0" w:after="0" w:afterAutospacing="0" w:line="600" w:lineRule="atLeast"/>
        <w:jc w:val="center"/>
      </w:pPr>
      <w:r>
        <w:rPr>
          <w:rFonts w:ascii="方正小标宋简体" w:hAnsi="方正小标宋简体" w:eastAsia="方正小标宋简体" w:cs="方正小标宋简体"/>
          <w:i w:val="0"/>
          <w:iCs w:val="0"/>
          <w:caps w:val="0"/>
          <w:color w:val="000000"/>
          <w:spacing w:val="0"/>
          <w:sz w:val="44"/>
          <w:szCs w:val="44"/>
        </w:rPr>
        <w:t>新田县人民政府</w:t>
      </w:r>
    </w:p>
    <w:p w14:paraId="0C85E88D">
      <w:pPr>
        <w:pStyle w:val="2"/>
        <w:keepNext w:val="0"/>
        <w:keepLines w:val="0"/>
        <w:widowControl/>
        <w:suppressLineNumbers w:val="0"/>
        <w:spacing w:before="0" w:beforeAutospacing="0" w:after="0" w:afterAutospacing="0" w:line="600" w:lineRule="atLeast"/>
        <w:jc w:val="center"/>
      </w:pPr>
      <w:r>
        <w:rPr>
          <w:rFonts w:hint="default" w:ascii="方正小标宋简体" w:hAnsi="方正小标宋简体" w:eastAsia="方正小标宋简体" w:cs="方正小标宋简体"/>
          <w:i w:val="0"/>
          <w:iCs w:val="0"/>
          <w:caps w:val="0"/>
          <w:color w:val="000000"/>
          <w:spacing w:val="0"/>
          <w:sz w:val="44"/>
          <w:szCs w:val="44"/>
        </w:rPr>
        <w:t>关于公布森林防火区和加强森林火源管理的通  告</w:t>
      </w:r>
    </w:p>
    <w:p w14:paraId="25A9FD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ascii="仿宋_GB2312" w:hAnsi="宋体" w:eastAsia="仿宋_GB2312" w:cs="仿宋_GB2312"/>
          <w:i w:val="0"/>
          <w:iCs w:val="0"/>
          <w:caps w:val="0"/>
          <w:color w:val="000000"/>
          <w:spacing w:val="0"/>
          <w:kern w:val="0"/>
          <w:sz w:val="32"/>
          <w:szCs w:val="32"/>
          <w:bdr w:val="none" w:color="auto" w:sz="0" w:space="0"/>
          <w:lang w:val="en-US" w:eastAsia="zh-CN" w:bidi="ar"/>
        </w:rPr>
        <w:t>新政函〔</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2024〕58号</w:t>
      </w:r>
    </w:p>
    <w:p w14:paraId="3E5E49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ascii="仿宋" w:hAnsi="仿宋" w:eastAsia="仿宋" w:cs="仿宋"/>
          <w:i w:val="0"/>
          <w:iCs w:val="0"/>
          <w:caps w:val="0"/>
          <w:color w:val="000000"/>
          <w:spacing w:val="0"/>
          <w:kern w:val="0"/>
          <w:sz w:val="21"/>
          <w:szCs w:val="21"/>
          <w:bdr w:val="none" w:color="auto" w:sz="0" w:space="0"/>
          <w:lang w:val="en-US" w:eastAsia="zh-CN" w:bidi="ar"/>
        </w:rPr>
        <w:t> </w:t>
      </w:r>
    </w:p>
    <w:p w14:paraId="2A6144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为加强森林火源管理，预防森林火灾，根据《森林防火条例》《湖南省森林防火若干规定》《永州市森林火源管理若干规定》等相关规定，经县人民政府同意，现将全县重点森林防火区、一般森林防火区范围予以公布，并就加强森林火源管理有关事项通知如下。</w:t>
      </w:r>
    </w:p>
    <w:p w14:paraId="4C3D96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ascii="黑体" w:hAnsi="宋体" w:eastAsia="黑体" w:cs="黑体"/>
          <w:i w:val="0"/>
          <w:iCs w:val="0"/>
          <w:caps w:val="0"/>
          <w:color w:val="000000"/>
          <w:spacing w:val="0"/>
          <w:kern w:val="0"/>
          <w:sz w:val="32"/>
          <w:szCs w:val="32"/>
          <w:bdr w:val="none" w:color="auto" w:sz="0" w:space="0"/>
          <w:lang w:val="en-US" w:eastAsia="zh-CN" w:bidi="ar"/>
        </w:rPr>
        <w:t>一、重点森林防火区</w:t>
      </w:r>
    </w:p>
    <w:p w14:paraId="166563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全县重点森林防火区包括自然保护地、国有林场、风景名胜区和具有重要生态价值的大面积天然林、公益林、集体经济林区(见附件1红色区域)，具体名单如下:</w:t>
      </w:r>
    </w:p>
    <w:p w14:paraId="13F17A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门楼下乡：门楼下村、起头岭村、上里源村、青皮源村、小水岗村、竹林坪村、高岱源村、鲁塘村、泥塘村、刘家村、舍子源村、三塘源村、两江口村、九峰林场</w:t>
      </w:r>
    </w:p>
    <w:p w14:paraId="61B85B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金陵镇：下户社区、金陵圩社区、永桂城社区、傲头社区、龙珠村、千马坪村、磨刀岭村、山林岗村、下兰冲村、大元冲村、兰田村、小源村、上游村、莲花塘村</w:t>
      </w:r>
    </w:p>
    <w:p w14:paraId="74D393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骥村镇：李家山社区、骥村社区、胡家社区、三和社区、乌下村、黄公塘村、下荣村、黄栗山村、肥源村、肥溪源村、贺家村、刘家山村、李家湾村、槎源村</w:t>
      </w:r>
    </w:p>
    <w:p w14:paraId="79B83B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陶岭镇：陶市社区、大坪村、郑家村、周家村、富上村、仁岗村、刘何村、石塘村、牛塘村、田心村、洪仁村、合福坊村、东山村、邝胡社区、李家社区</w:t>
      </w:r>
    </w:p>
    <w:p w14:paraId="696038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枧头镇：大观堡村、龙家大院村、桑田村、大利村、云溪欧家村、马场岭村、周家山村</w:t>
      </w:r>
    </w:p>
    <w:p w14:paraId="6C5B1A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石羊镇：欧家窝村、塘罗村</w:t>
      </w:r>
    </w:p>
    <w:p w14:paraId="22315F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国有肥源林场、福音山国家森林公园（大湾林场）</w:t>
      </w:r>
    </w:p>
    <w:p w14:paraId="18A2AF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二、一般森林防火区</w:t>
      </w:r>
    </w:p>
    <w:p w14:paraId="053E0C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本县区域内重点森林防火区以外的森林防火区均为一般森林防火区。</w:t>
      </w:r>
    </w:p>
    <w:p w14:paraId="095710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三、森林防火区与防火期的确定</w:t>
      </w:r>
    </w:p>
    <w:p w14:paraId="415C94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本通告所称森林防火区是指林地及距离林地边缘不少于50米范围内的区域。</w:t>
      </w:r>
    </w:p>
    <w:p w14:paraId="7335A7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重点森林防火区实行全年森林防火；一般森林防火区在县人民政府规定的森林防火期防火。</w:t>
      </w:r>
    </w:p>
    <w:p w14:paraId="365FE5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420" w:right="0" w:firstLine="32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四、部门职责</w:t>
      </w:r>
    </w:p>
    <w:p w14:paraId="29B071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应急管理、公安、农业农村、生态环境、气象、工信、文旅广体、交通运输、民政等有关部门按照职责分工，负责森林火源管理工作。</w:t>
      </w:r>
    </w:p>
    <w:p w14:paraId="27BF94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乡镇人民政府（街道办事处）负责本辖区内的森林防火区火源管控具体工作。村（居）民委员会协助做好本辖区内森林火源管控工作。</w:t>
      </w:r>
    </w:p>
    <w:p w14:paraId="5CDA714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民政部门负责祭祀用火的监督管理,引导公民移风易俗,采用绿色、环保、文明方式祭祀。 </w:t>
      </w:r>
    </w:p>
    <w:p w14:paraId="50E92F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自然保护地、国有林场、风景名胜区、重要军事设施、革命纪念地等管理机构以及森林、林木、林地的经营单位和个人，负责其管理经营范围内火源日常管理工作。</w:t>
      </w:r>
    </w:p>
    <w:p w14:paraId="08DEA3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森林防火区内的公路、铁路、电力、通信线路及设备、石油天然气管道等的经营主体单位及工矿企业应当公布故障报警电话，开展日常检查，及时检测检修，加强输配线路森林防火通道维护管理，消除火灾隐患。</w:t>
      </w:r>
    </w:p>
    <w:p w14:paraId="1C9F8A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五、森林防火区用火批准程序</w:t>
      </w:r>
    </w:p>
    <w:p w14:paraId="07D129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重点森林防火区内的村(居)民应当确保生活用火安全。禁止外来人员携带火种火源进入重点森林防火区。禁止野外用火，确因防治病虫鼠害、冻害、造林抚育、工程建设等特殊情况需用火的，填写《新田县重点森林防火区野外用火审批表》，逐级报村（社区）、乡镇（街道）、县林业局批准。</w:t>
      </w:r>
    </w:p>
    <w:p w14:paraId="38820D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一般森林防火区在森林防火期内禁止野外用火。确因特殊情况需要用火的，填写《新田县一般森林防火区野外用火审批表》，逐级报村（社区）、乡镇（街道）批准。乡镇（街道）填写《新田县森林防火区野外用火报备表》报县林业局、县森林防灭火指挥部备案。</w:t>
      </w:r>
    </w:p>
    <w:p w14:paraId="35843F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经批准野外用火的，用火单位或者个人应当组织监烧，并检查清理火场，审批单位应当进行指导和监督，确保明火和火星彻底熄灭，严防失火。</w:t>
      </w:r>
    </w:p>
    <w:p w14:paraId="4FA00FE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420" w:right="0" w:firstLine="32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六、责任追究</w:t>
      </w:r>
    </w:p>
    <w:p w14:paraId="62D386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任何单位和个人在森林防火期内，未经批准擅自在森林防火区内野外用火，依据《永州市森林火源管理若干规定》第十条规定，未引起森林火灾的，由乡镇人民政府（街道办事处）责令停止违法行为，给予警告，对个人处二百元以上二千元以下罚款，对单位处一万元以上三万元以下罚款；引起森林火灾的，对个人处二千元以上三千元以下罚款，对单位处三万元以上五万元以下罚款；造成损失的，依法承担赔偿责任；构成犯罪的，依法追究刑事责任。</w:t>
      </w:r>
    </w:p>
    <w:p w14:paraId="325796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本通告自公布之日起施行，有效期5年。</w:t>
      </w:r>
    </w:p>
    <w:p w14:paraId="3911CD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eastAsia" w:ascii="仿宋" w:hAnsi="仿宋" w:eastAsia="仿宋" w:cs="仿宋"/>
          <w:i w:val="0"/>
          <w:iCs w:val="0"/>
          <w:caps w:val="0"/>
          <w:color w:val="000000"/>
          <w:spacing w:val="0"/>
          <w:kern w:val="0"/>
          <w:sz w:val="24"/>
          <w:szCs w:val="24"/>
          <w:bdr w:val="none" w:color="auto" w:sz="0" w:space="0"/>
          <w:lang w:val="en-US" w:eastAsia="zh-CN" w:bidi="ar"/>
        </w:rPr>
        <w:t> </w:t>
      </w:r>
    </w:p>
    <w:p w14:paraId="239B92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附件：</w:t>
      </w:r>
      <w:r>
        <w:rPr>
          <w:rFonts w:hint="default" w:ascii="仿宋_GB2312" w:hAnsi="宋体" w:eastAsia="仿宋_GB2312" w:cs="仿宋_GB2312"/>
          <w:i w:val="0"/>
          <w:iCs w:val="0"/>
          <w:caps w:val="0"/>
          <w:color w:val="000000"/>
          <w:spacing w:val="-6"/>
          <w:kern w:val="0"/>
          <w:sz w:val="32"/>
          <w:szCs w:val="32"/>
          <w:bdr w:val="none" w:color="auto" w:sz="0" w:space="0"/>
          <w:lang w:val="en-US" w:eastAsia="zh-CN" w:bidi="ar"/>
        </w:rPr>
        <w:t>1.新田县重点森林防火区和一般森林防火区分布图</w:t>
      </w:r>
    </w:p>
    <w:p w14:paraId="2035FD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160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2.新田县重点森林防火区野外用火审批表</w:t>
      </w:r>
    </w:p>
    <w:p w14:paraId="289706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160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3.新田县一般森林防火区野外用火审批表</w:t>
      </w:r>
    </w:p>
    <w:p w14:paraId="5CB24A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160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4.新田县森林防火区野外用火报备表</w:t>
      </w:r>
    </w:p>
    <w:p w14:paraId="30D1C5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38131A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eastAsia" w:ascii="黑体" w:hAnsi="宋体" w:eastAsia="黑体" w:cs="黑体"/>
          <w:i w:val="0"/>
          <w:iCs w:val="0"/>
          <w:caps w:val="0"/>
          <w:color w:val="000000"/>
          <w:spacing w:val="0"/>
          <w:kern w:val="0"/>
          <w:sz w:val="21"/>
          <w:szCs w:val="21"/>
          <w:bdr w:val="none" w:color="auto" w:sz="0" w:space="0"/>
          <w:lang w:val="en-US" w:eastAsia="zh-CN" w:bidi="ar"/>
        </w:rPr>
        <w:t> </w:t>
      </w:r>
    </w:p>
    <w:p w14:paraId="1FCEF8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eastAsia" w:ascii="黑体" w:hAnsi="宋体" w:eastAsia="黑体" w:cs="黑体"/>
          <w:i w:val="0"/>
          <w:iCs w:val="0"/>
          <w:caps w:val="0"/>
          <w:color w:val="000000"/>
          <w:spacing w:val="0"/>
          <w:kern w:val="0"/>
          <w:sz w:val="21"/>
          <w:szCs w:val="21"/>
          <w:bdr w:val="none" w:color="auto" w:sz="0" w:space="0"/>
          <w:lang w:val="en-US" w:eastAsia="zh-CN" w:bidi="ar"/>
        </w:rPr>
        <w:t> </w:t>
      </w:r>
    </w:p>
    <w:p w14:paraId="38BBA2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cente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                    新田县人民政府</w:t>
      </w:r>
    </w:p>
    <w:p w14:paraId="2311BA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cente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                    2024年8月10日</w:t>
      </w:r>
    </w:p>
    <w:p w14:paraId="2731B4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eastAsia" w:ascii="仿宋" w:hAnsi="仿宋" w:eastAsia="仿宋" w:cs="仿宋"/>
          <w:i w:val="0"/>
          <w:iCs w:val="0"/>
          <w:caps w:val="0"/>
          <w:color w:val="000000"/>
          <w:spacing w:val="0"/>
          <w:kern w:val="0"/>
          <w:sz w:val="24"/>
          <w:szCs w:val="24"/>
          <w:bdr w:val="none" w:color="auto" w:sz="0" w:space="0"/>
          <w:lang w:val="en-US" w:eastAsia="zh-CN" w:bidi="ar"/>
        </w:rPr>
        <w:t> </w:t>
      </w:r>
    </w:p>
    <w:p w14:paraId="2E48F1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eastAsia" w:ascii="仿宋" w:hAnsi="仿宋" w:eastAsia="仿宋" w:cs="仿宋"/>
          <w:i w:val="0"/>
          <w:iCs w:val="0"/>
          <w:caps w:val="0"/>
          <w:color w:val="000000"/>
          <w:spacing w:val="0"/>
          <w:kern w:val="0"/>
          <w:sz w:val="24"/>
          <w:szCs w:val="24"/>
          <w:bdr w:val="none" w:color="auto" w:sz="0" w:space="0"/>
          <w:lang w:val="en-US" w:eastAsia="zh-CN" w:bidi="ar"/>
        </w:rPr>
        <w:t> </w:t>
      </w:r>
    </w:p>
    <w:p w14:paraId="343F55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eastAsia" w:ascii="仿宋" w:hAnsi="仿宋" w:eastAsia="仿宋" w:cs="仿宋"/>
          <w:i w:val="0"/>
          <w:iCs w:val="0"/>
          <w:caps w:val="0"/>
          <w:color w:val="000000"/>
          <w:spacing w:val="0"/>
          <w:kern w:val="0"/>
          <w:sz w:val="24"/>
          <w:szCs w:val="24"/>
          <w:bdr w:val="none" w:color="auto" w:sz="0" w:space="0"/>
          <w:lang w:val="en-US" w:eastAsia="zh-CN" w:bidi="ar"/>
        </w:rPr>
        <w:t> </w:t>
      </w:r>
    </w:p>
    <w:p w14:paraId="0D2920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eastAsia" w:ascii="仿宋" w:hAnsi="仿宋" w:eastAsia="仿宋" w:cs="仿宋"/>
          <w:i w:val="0"/>
          <w:iCs w:val="0"/>
          <w:caps w:val="0"/>
          <w:color w:val="000000"/>
          <w:spacing w:val="0"/>
          <w:kern w:val="0"/>
          <w:sz w:val="24"/>
          <w:szCs w:val="24"/>
          <w:bdr w:val="none" w:color="auto" w:sz="0" w:space="0"/>
          <w:lang w:val="en-US" w:eastAsia="zh-CN" w:bidi="ar"/>
        </w:rPr>
        <w:t> </w:t>
      </w:r>
    </w:p>
    <w:p w14:paraId="29036C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附件1</w:t>
      </w:r>
    </w:p>
    <w:tbl>
      <w:tblPr>
        <w:tblW w:w="0" w:type="auto"/>
        <w:tblCellSpacing w:w="0" w:type="dxa"/>
        <w:tblInd w:w="10" w:type="dxa"/>
        <w:tblBorders>
          <w:top w:val="dotted" w:color="D3D3D3" w:sz="4" w:space="0"/>
          <w:left w:val="dotted" w:color="D3D3D3" w:sz="4" w:space="0"/>
          <w:bottom w:val="dotted" w:color="D3D3D3" w:sz="4" w:space="0"/>
          <w:right w:val="dotted" w:color="D3D3D3" w:sz="4" w:space="0"/>
          <w:insideH w:val="none" w:color="auto" w:sz="0" w:space="0"/>
          <w:insideV w:val="none" w:color="auto" w:sz="0" w:space="0"/>
        </w:tblBorders>
        <w:shd w:val="clear"/>
        <w:tblLayout w:type="autofit"/>
        <w:tblCellMar>
          <w:top w:w="0" w:type="dxa"/>
          <w:left w:w="0" w:type="dxa"/>
          <w:bottom w:w="0" w:type="dxa"/>
          <w:right w:w="0" w:type="dxa"/>
        </w:tblCellMar>
      </w:tblPr>
      <w:tblGrid>
        <w:gridCol w:w="234"/>
        <w:gridCol w:w="8060"/>
      </w:tblGrid>
      <w:tr w14:paraId="5FFC85CD">
        <w:tblPrEx>
          <w:tblBorders>
            <w:top w:val="dotted" w:color="D3D3D3" w:sz="4" w:space="0"/>
            <w:left w:val="dotted" w:color="D3D3D3" w:sz="4" w:space="0"/>
            <w:bottom w:val="dotted" w:color="D3D3D3" w:sz="4" w:space="0"/>
            <w:right w:val="dotted" w:color="D3D3D3" w:sz="4" w:space="0"/>
            <w:insideH w:val="none" w:color="auto" w:sz="0" w:space="0"/>
            <w:insideV w:val="none" w:color="auto" w:sz="0" w:space="0"/>
          </w:tblBorders>
          <w:shd w:val="clear"/>
          <w:tblCellMar>
            <w:top w:w="0" w:type="dxa"/>
            <w:left w:w="0" w:type="dxa"/>
            <w:bottom w:w="0" w:type="dxa"/>
            <w:right w:w="0" w:type="dxa"/>
          </w:tblCellMar>
        </w:tblPrEx>
        <w:trPr>
          <w:gridAfter w:val="1"/>
          <w:trHeight w:val="0" w:hRule="atLeast"/>
          <w:tblCellSpacing w:w="0" w:type="dxa"/>
        </w:trPr>
        <w:tc>
          <w:tcPr>
            <w:tcW w:w="234" w:type="dxa"/>
            <w:tcBorders>
              <w:top w:val="dotted" w:color="D3D3D3" w:sz="4" w:space="0"/>
              <w:left w:val="dotted" w:color="D3D3D3" w:sz="4" w:space="0"/>
              <w:bottom w:val="dotted" w:color="D3D3D3" w:sz="4" w:space="0"/>
              <w:right w:val="dotted" w:color="D3D3D3" w:sz="4" w:space="0"/>
            </w:tcBorders>
            <w:shd w:val="clear"/>
            <w:vAlign w:val="center"/>
          </w:tcPr>
          <w:p w14:paraId="4D8FB081">
            <w:pPr>
              <w:rPr>
                <w:rFonts w:hint="eastAsia" w:ascii="宋体" w:hAnsi="宋体" w:eastAsia="宋体" w:cs="宋体"/>
                <w:sz w:val="18"/>
                <w:szCs w:val="18"/>
              </w:rPr>
            </w:pPr>
          </w:p>
        </w:tc>
      </w:tr>
      <w:tr w14:paraId="11E48774">
        <w:tblPrEx>
          <w:tblBorders>
            <w:top w:val="dotted" w:color="D3D3D3" w:sz="4" w:space="0"/>
            <w:left w:val="dotted" w:color="D3D3D3" w:sz="4" w:space="0"/>
            <w:bottom w:val="dotted" w:color="D3D3D3" w:sz="4" w:space="0"/>
            <w:right w:val="dotted" w:color="D3D3D3" w:sz="4"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0" w:type="auto"/>
            <w:tcBorders>
              <w:top w:val="dotted" w:color="D3D3D3" w:sz="4" w:space="0"/>
              <w:left w:val="dotted" w:color="D3D3D3" w:sz="4" w:space="0"/>
              <w:bottom w:val="dotted" w:color="D3D3D3" w:sz="4" w:space="0"/>
              <w:right w:val="dotted" w:color="D3D3D3" w:sz="4" w:space="0"/>
            </w:tcBorders>
            <w:shd w:val="clear"/>
            <w:vAlign w:val="center"/>
          </w:tcPr>
          <w:p w14:paraId="64C82CC3">
            <w:pPr>
              <w:rPr>
                <w:rFonts w:hint="eastAsia" w:ascii="宋体" w:hAnsi="宋体" w:eastAsia="宋体" w:cs="宋体"/>
                <w:sz w:val="18"/>
                <w:szCs w:val="18"/>
              </w:rPr>
            </w:pPr>
          </w:p>
        </w:tc>
        <w:tc>
          <w:tcPr>
            <w:tcW w:w="0" w:type="auto"/>
            <w:tcBorders>
              <w:top w:val="dotted" w:color="D3D3D3" w:sz="4" w:space="0"/>
              <w:left w:val="dotted" w:color="D3D3D3" w:sz="4" w:space="0"/>
              <w:bottom w:val="dotted" w:color="D3D3D3" w:sz="4" w:space="0"/>
              <w:right w:val="dotted" w:color="D3D3D3" w:sz="4" w:space="0"/>
            </w:tcBorders>
            <w:shd w:val="clear"/>
            <w:vAlign w:val="center"/>
          </w:tcPr>
          <w:p w14:paraId="1A521F73">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kern w:val="0"/>
                <w:sz w:val="18"/>
                <w:szCs w:val="18"/>
                <w:bdr w:val="none" w:color="auto" w:sz="0" w:space="0"/>
                <w:lang w:val="en-US" w:eastAsia="zh-CN" w:bidi="ar"/>
              </w:rPr>
              <w:drawing>
                <wp:inline distT="0" distB="0" distL="114300" distR="114300">
                  <wp:extent cx="5105400" cy="6610350"/>
                  <wp:effectExtent l="0" t="0" r="0" b="3810"/>
                  <wp:docPr id="2"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IMG_259"/>
                          <pic:cNvPicPr>
                            <a:picLocks noChangeAspect="1"/>
                          </pic:cNvPicPr>
                        </pic:nvPicPr>
                        <pic:blipFill>
                          <a:blip r:embed="rId7"/>
                          <a:stretch>
                            <a:fillRect/>
                          </a:stretch>
                        </pic:blipFill>
                        <pic:spPr>
                          <a:xfrm>
                            <a:off x="0" y="0"/>
                            <a:ext cx="5105400" cy="6610350"/>
                          </a:xfrm>
                          <a:prstGeom prst="rect">
                            <a:avLst/>
                          </a:prstGeom>
                          <a:noFill/>
                          <a:ln w="9525">
                            <a:noFill/>
                          </a:ln>
                        </pic:spPr>
                      </pic:pic>
                    </a:graphicData>
                  </a:graphic>
                </wp:inline>
              </w:drawing>
            </w:r>
          </w:p>
        </w:tc>
      </w:tr>
    </w:tbl>
    <w:p w14:paraId="3FC593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eastAsia" w:ascii="仿宋" w:hAnsi="仿宋" w:eastAsia="仿宋" w:cs="仿宋"/>
          <w:i w:val="0"/>
          <w:iCs w:val="0"/>
          <w:caps w:val="0"/>
          <w:color w:val="000000"/>
          <w:spacing w:val="0"/>
          <w:kern w:val="0"/>
          <w:sz w:val="24"/>
          <w:szCs w:val="24"/>
          <w:bdr w:val="none" w:color="auto" w:sz="0" w:space="0"/>
          <w:lang w:val="en-US" w:eastAsia="zh-CN" w:bidi="ar"/>
        </w:rPr>
        <w:t> </w:t>
      </w:r>
    </w:p>
    <w:p w14:paraId="58A618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Calibri" w:hAnsi="Calibri" w:eastAsia="宋体" w:cs="Calibri"/>
          <w:i w:val="0"/>
          <w:iCs w:val="0"/>
          <w:caps w:val="0"/>
          <w:color w:val="000000"/>
          <w:spacing w:val="0"/>
          <w:kern w:val="0"/>
          <w:sz w:val="21"/>
          <w:szCs w:val="21"/>
          <w:bdr w:val="none" w:color="auto" w:sz="0" w:space="0"/>
          <w:lang w:val="en-US" w:eastAsia="zh-CN" w:bidi="ar"/>
        </w:rPr>
        <w:t> </w:t>
      </w:r>
    </w:p>
    <w:p w14:paraId="509848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Calibri" w:hAnsi="Calibri" w:eastAsia="宋体" w:cs="Calibri"/>
          <w:i w:val="0"/>
          <w:iCs w:val="0"/>
          <w:caps w:val="0"/>
          <w:color w:val="000000"/>
          <w:spacing w:val="0"/>
          <w:kern w:val="0"/>
          <w:sz w:val="21"/>
          <w:szCs w:val="21"/>
          <w:bdr w:val="none" w:color="auto" w:sz="0" w:space="0"/>
          <w:lang w:val="en-US" w:eastAsia="zh-CN" w:bidi="ar"/>
        </w:rPr>
        <w:t> </w:t>
      </w:r>
    </w:p>
    <w:p w14:paraId="70B20E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附件2</w:t>
      </w:r>
    </w:p>
    <w:p w14:paraId="61830B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 </w:t>
      </w:r>
    </w:p>
    <w:p w14:paraId="2833EB30">
      <w:pPr>
        <w:pStyle w:val="2"/>
        <w:keepNext w:val="0"/>
        <w:keepLines w:val="0"/>
        <w:widowControl/>
        <w:suppressLineNumbers w:val="0"/>
        <w:spacing w:before="0" w:beforeAutospacing="0" w:after="0" w:afterAutospacing="0" w:line="560" w:lineRule="atLeast"/>
        <w:jc w:val="center"/>
      </w:pPr>
      <w:r>
        <w:rPr>
          <w:rFonts w:hint="default" w:ascii="方正小标宋简体" w:hAnsi="方正小标宋简体" w:eastAsia="方正小标宋简体" w:cs="方正小标宋简体"/>
          <w:i w:val="0"/>
          <w:iCs w:val="0"/>
          <w:caps w:val="0"/>
          <w:color w:val="000000"/>
          <w:spacing w:val="0"/>
          <w:sz w:val="44"/>
          <w:szCs w:val="44"/>
        </w:rPr>
        <w:t>新田县重点森林防火区野外用火审批表</w:t>
      </w:r>
    </w:p>
    <w:p w14:paraId="5BABBE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Calibri" w:hAnsi="Calibri" w:eastAsia="宋体" w:cs="Calibri"/>
          <w:i w:val="0"/>
          <w:iCs w:val="0"/>
          <w:caps w:val="0"/>
          <w:color w:val="000000"/>
          <w:spacing w:val="0"/>
          <w:kern w:val="0"/>
          <w:sz w:val="21"/>
          <w:szCs w:val="21"/>
          <w:bdr w:val="none" w:color="auto" w:sz="0" w:space="0"/>
          <w:lang w:val="en-US" w:eastAsia="zh-CN" w:bidi="ar"/>
        </w:rPr>
        <w:t> </w:t>
      </w:r>
    </w:p>
    <w:tbl>
      <w:tblPr>
        <w:tblW w:w="8996"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1677"/>
        <w:gridCol w:w="981"/>
        <w:gridCol w:w="704"/>
        <w:gridCol w:w="1123"/>
        <w:gridCol w:w="1045"/>
        <w:gridCol w:w="743"/>
        <w:gridCol w:w="830"/>
        <w:gridCol w:w="1893"/>
      </w:tblGrid>
      <w:tr w14:paraId="61EAC26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853" w:hRule="atLeast"/>
        </w:trPr>
        <w:tc>
          <w:tcPr>
            <w:tcW w:w="1677"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67C18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申请单位</w:t>
            </w:r>
          </w:p>
          <w:p w14:paraId="4D19E8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(盖章)</w:t>
            </w:r>
          </w:p>
        </w:tc>
        <w:tc>
          <w:tcPr>
            <w:tcW w:w="1685" w:type="dxa"/>
            <w:gridSpan w:val="2"/>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4F37DE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c>
          <w:tcPr>
            <w:tcW w:w="1123"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CCE85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责任人</w:t>
            </w:r>
          </w:p>
        </w:tc>
        <w:tc>
          <w:tcPr>
            <w:tcW w:w="1045"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66726C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c>
          <w:tcPr>
            <w:tcW w:w="743"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A98B0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电话</w:t>
            </w:r>
          </w:p>
        </w:tc>
        <w:tc>
          <w:tcPr>
            <w:tcW w:w="2723" w:type="dxa"/>
            <w:gridSpan w:val="2"/>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1B08DE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r>
      <w:tr w14:paraId="41DA85A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62" w:hRule="atLeast"/>
        </w:trPr>
        <w:tc>
          <w:tcPr>
            <w:tcW w:w="1677"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2617A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地点</w:t>
            </w:r>
          </w:p>
        </w:tc>
        <w:tc>
          <w:tcPr>
            <w:tcW w:w="7319" w:type="dxa"/>
            <w:gridSpan w:val="7"/>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3AAFE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镇            村        组，山名：</w:t>
            </w:r>
          </w:p>
        </w:tc>
      </w:tr>
      <w:tr w14:paraId="43FFBFF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853" w:hRule="atLeast"/>
        </w:trPr>
        <w:tc>
          <w:tcPr>
            <w:tcW w:w="1677"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A931F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小班号</w:t>
            </w:r>
          </w:p>
        </w:tc>
        <w:tc>
          <w:tcPr>
            <w:tcW w:w="981"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22573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c>
          <w:tcPr>
            <w:tcW w:w="704"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C0EB5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小地名</w:t>
            </w:r>
          </w:p>
        </w:tc>
        <w:tc>
          <w:tcPr>
            <w:tcW w:w="1123"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2A64D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c>
          <w:tcPr>
            <w:tcW w:w="1045"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A4AC6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面积</w:t>
            </w:r>
          </w:p>
        </w:tc>
        <w:tc>
          <w:tcPr>
            <w:tcW w:w="743"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25BDA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c>
          <w:tcPr>
            <w:tcW w:w="830"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5CBEE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地类</w:t>
            </w:r>
          </w:p>
        </w:tc>
        <w:tc>
          <w:tcPr>
            <w:tcW w:w="1893"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E8791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r>
      <w:tr w14:paraId="1434A2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764" w:hRule="atLeast"/>
        </w:trPr>
        <w:tc>
          <w:tcPr>
            <w:tcW w:w="1677"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71107E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用火目的</w:t>
            </w:r>
          </w:p>
        </w:tc>
        <w:tc>
          <w:tcPr>
            <w:tcW w:w="2808" w:type="dxa"/>
            <w:gridSpan w:val="3"/>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766FA0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c>
          <w:tcPr>
            <w:tcW w:w="104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BFA96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风力</w:t>
            </w:r>
          </w:p>
          <w:p w14:paraId="08F2F1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等级</w:t>
            </w:r>
          </w:p>
        </w:tc>
        <w:tc>
          <w:tcPr>
            <w:tcW w:w="3466" w:type="dxa"/>
            <w:gridSpan w:val="3"/>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20C55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三级以下</w:t>
            </w:r>
          </w:p>
        </w:tc>
      </w:tr>
      <w:tr w14:paraId="6509A7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53" w:hRule="atLeast"/>
        </w:trPr>
        <w:tc>
          <w:tcPr>
            <w:tcW w:w="1677"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71676B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用火日期</w:t>
            </w:r>
          </w:p>
        </w:tc>
        <w:tc>
          <w:tcPr>
            <w:tcW w:w="2808" w:type="dxa"/>
            <w:gridSpan w:val="3"/>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04E44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年   月    日</w:t>
            </w:r>
          </w:p>
          <w:p w14:paraId="5EA230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至   年  月  日</w:t>
            </w:r>
          </w:p>
        </w:tc>
        <w:tc>
          <w:tcPr>
            <w:tcW w:w="104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3943F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用火</w:t>
            </w:r>
          </w:p>
          <w:p w14:paraId="1664D5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时间</w:t>
            </w:r>
          </w:p>
        </w:tc>
        <w:tc>
          <w:tcPr>
            <w:tcW w:w="3466" w:type="dxa"/>
            <w:gridSpan w:val="3"/>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84F36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当天      时       分</w:t>
            </w:r>
          </w:p>
          <w:p w14:paraId="1935402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至      时      分</w:t>
            </w:r>
          </w:p>
        </w:tc>
      </w:tr>
      <w:tr w14:paraId="5E2DE4F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29" w:hRule="atLeast"/>
        </w:trPr>
        <w:tc>
          <w:tcPr>
            <w:tcW w:w="1677" w:type="dxa"/>
            <w:vMerge w:val="restart"/>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19289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焚烧点经纬度</w:t>
            </w:r>
          </w:p>
        </w:tc>
        <w:tc>
          <w:tcPr>
            <w:tcW w:w="981"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76E78C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火点1</w:t>
            </w:r>
          </w:p>
        </w:tc>
        <w:tc>
          <w:tcPr>
            <w:tcW w:w="1827"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C6A6E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东经     北纬</w:t>
            </w:r>
          </w:p>
        </w:tc>
        <w:tc>
          <w:tcPr>
            <w:tcW w:w="104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39421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火点6</w:t>
            </w:r>
          </w:p>
        </w:tc>
        <w:tc>
          <w:tcPr>
            <w:tcW w:w="3466" w:type="dxa"/>
            <w:gridSpan w:val="3"/>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3B698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东经         北纬</w:t>
            </w:r>
          </w:p>
        </w:tc>
      </w:tr>
      <w:tr w14:paraId="34657E0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729" w:hRule="atLeast"/>
        </w:trPr>
        <w:tc>
          <w:tcPr>
            <w:tcW w:w="1677" w:type="dxa"/>
            <w:vMerge w:val="continue"/>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CB261DE">
            <w:pPr>
              <w:rPr>
                <w:rFonts w:hint="eastAsia" w:ascii="宋体" w:hAnsi="宋体" w:eastAsia="宋体" w:cs="宋体"/>
                <w:sz w:val="18"/>
                <w:szCs w:val="18"/>
              </w:rPr>
            </w:pPr>
          </w:p>
        </w:tc>
        <w:tc>
          <w:tcPr>
            <w:tcW w:w="981"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346D3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火点2</w:t>
            </w:r>
          </w:p>
        </w:tc>
        <w:tc>
          <w:tcPr>
            <w:tcW w:w="1827"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C3C21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东经     北纬</w:t>
            </w:r>
          </w:p>
        </w:tc>
        <w:tc>
          <w:tcPr>
            <w:tcW w:w="104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7142B4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火点7</w:t>
            </w:r>
          </w:p>
        </w:tc>
        <w:tc>
          <w:tcPr>
            <w:tcW w:w="3466" w:type="dxa"/>
            <w:gridSpan w:val="3"/>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87926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东经         北纬</w:t>
            </w:r>
          </w:p>
        </w:tc>
      </w:tr>
      <w:tr w14:paraId="7C8E47B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729" w:hRule="atLeast"/>
        </w:trPr>
        <w:tc>
          <w:tcPr>
            <w:tcW w:w="1677" w:type="dxa"/>
            <w:vMerge w:val="continue"/>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72700EE0">
            <w:pPr>
              <w:rPr>
                <w:rFonts w:hint="eastAsia" w:ascii="宋体" w:hAnsi="宋体" w:eastAsia="宋体" w:cs="宋体"/>
                <w:sz w:val="18"/>
                <w:szCs w:val="18"/>
              </w:rPr>
            </w:pPr>
          </w:p>
        </w:tc>
        <w:tc>
          <w:tcPr>
            <w:tcW w:w="981"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9194D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火点3</w:t>
            </w:r>
          </w:p>
        </w:tc>
        <w:tc>
          <w:tcPr>
            <w:tcW w:w="1827"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B58FD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东经     北纬</w:t>
            </w:r>
          </w:p>
        </w:tc>
        <w:tc>
          <w:tcPr>
            <w:tcW w:w="104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98FA7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火点8</w:t>
            </w:r>
          </w:p>
        </w:tc>
        <w:tc>
          <w:tcPr>
            <w:tcW w:w="3466" w:type="dxa"/>
            <w:gridSpan w:val="3"/>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D36F5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东经         北纬</w:t>
            </w:r>
          </w:p>
        </w:tc>
      </w:tr>
      <w:tr w14:paraId="3561FBB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729" w:hRule="atLeast"/>
        </w:trPr>
        <w:tc>
          <w:tcPr>
            <w:tcW w:w="1677" w:type="dxa"/>
            <w:vMerge w:val="continue"/>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9893352">
            <w:pPr>
              <w:rPr>
                <w:rFonts w:hint="eastAsia" w:ascii="宋体" w:hAnsi="宋体" w:eastAsia="宋体" w:cs="宋体"/>
                <w:sz w:val="18"/>
                <w:szCs w:val="18"/>
              </w:rPr>
            </w:pPr>
          </w:p>
        </w:tc>
        <w:tc>
          <w:tcPr>
            <w:tcW w:w="981"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3E169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火点4</w:t>
            </w:r>
          </w:p>
        </w:tc>
        <w:tc>
          <w:tcPr>
            <w:tcW w:w="1827"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5DB49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东经     北纬</w:t>
            </w:r>
          </w:p>
        </w:tc>
        <w:tc>
          <w:tcPr>
            <w:tcW w:w="104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2B827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火点9</w:t>
            </w:r>
          </w:p>
        </w:tc>
        <w:tc>
          <w:tcPr>
            <w:tcW w:w="3466" w:type="dxa"/>
            <w:gridSpan w:val="3"/>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5DB65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东经         北纬</w:t>
            </w:r>
          </w:p>
        </w:tc>
      </w:tr>
      <w:tr w14:paraId="64B646C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01" w:hRule="atLeast"/>
        </w:trPr>
        <w:tc>
          <w:tcPr>
            <w:tcW w:w="1677" w:type="dxa"/>
            <w:vMerge w:val="continue"/>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2A04F52">
            <w:pPr>
              <w:rPr>
                <w:rFonts w:hint="eastAsia" w:ascii="宋体" w:hAnsi="宋体" w:eastAsia="宋体" w:cs="宋体"/>
                <w:sz w:val="18"/>
                <w:szCs w:val="18"/>
              </w:rPr>
            </w:pPr>
          </w:p>
        </w:tc>
        <w:tc>
          <w:tcPr>
            <w:tcW w:w="981"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7180F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火点5</w:t>
            </w:r>
          </w:p>
        </w:tc>
        <w:tc>
          <w:tcPr>
            <w:tcW w:w="1827"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2A6E0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东经     北纬</w:t>
            </w:r>
          </w:p>
        </w:tc>
        <w:tc>
          <w:tcPr>
            <w:tcW w:w="104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9CEB6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火点10</w:t>
            </w:r>
          </w:p>
        </w:tc>
        <w:tc>
          <w:tcPr>
            <w:tcW w:w="3466" w:type="dxa"/>
            <w:gridSpan w:val="3"/>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3316C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东经         北纬</w:t>
            </w:r>
          </w:p>
        </w:tc>
      </w:tr>
      <w:tr w14:paraId="4691F05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1393" w:hRule="atLeast"/>
        </w:trPr>
        <w:tc>
          <w:tcPr>
            <w:tcW w:w="1677" w:type="dxa"/>
            <w:vMerge w:val="restart"/>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21EE7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安全措施落实情况</w:t>
            </w:r>
          </w:p>
        </w:tc>
        <w:tc>
          <w:tcPr>
            <w:tcW w:w="4596" w:type="dxa"/>
            <w:gridSpan w:val="5"/>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B7BC5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rPr>
                <w:rFonts w:hint="default" w:ascii="仿宋_GB2312" w:hAnsi="宋体" w:eastAsia="仿宋_GB2312" w:cs="仿宋_GB2312"/>
                <w:kern w:val="0"/>
                <w:sz w:val="24"/>
                <w:szCs w:val="24"/>
                <w:bdr w:val="none" w:color="auto" w:sz="0" w:space="0"/>
                <w:lang w:val="en-US" w:eastAsia="zh-CN" w:bidi="ar"/>
              </w:rPr>
              <w:t>1.是否签订《野外用火安全承诺书》，用火山场周边是否开设10米以上的防火隔离带。</w:t>
            </w:r>
          </w:p>
        </w:tc>
        <w:tc>
          <w:tcPr>
            <w:tcW w:w="830"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5A1A0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是否完成</w:t>
            </w:r>
          </w:p>
        </w:tc>
        <w:tc>
          <w:tcPr>
            <w:tcW w:w="1893"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A8D0B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r>
      <w:tr w14:paraId="2BC2084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235" w:hRule="atLeast"/>
        </w:trPr>
        <w:tc>
          <w:tcPr>
            <w:tcW w:w="1677" w:type="dxa"/>
            <w:vMerge w:val="continue"/>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4479B41">
            <w:pPr>
              <w:rPr>
                <w:rFonts w:hint="eastAsia" w:ascii="宋体" w:hAnsi="宋体" w:eastAsia="宋体" w:cs="宋体"/>
                <w:sz w:val="18"/>
                <w:szCs w:val="18"/>
              </w:rPr>
            </w:pPr>
          </w:p>
        </w:tc>
        <w:tc>
          <w:tcPr>
            <w:tcW w:w="4596" w:type="dxa"/>
            <w:gridSpan w:val="5"/>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AE6E9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rPr>
                <w:rFonts w:hint="default" w:ascii="仿宋_GB2312" w:hAnsi="宋体" w:eastAsia="仿宋_GB2312" w:cs="仿宋_GB2312"/>
                <w:kern w:val="0"/>
                <w:sz w:val="24"/>
                <w:szCs w:val="24"/>
                <w:bdr w:val="none" w:color="auto" w:sz="0" w:space="0"/>
                <w:lang w:val="en-US" w:eastAsia="zh-CN" w:bidi="ar"/>
              </w:rPr>
              <w:t>2.用火单位（个人）组织好10-30人的防火扑火队伍。</w:t>
            </w:r>
          </w:p>
        </w:tc>
        <w:tc>
          <w:tcPr>
            <w:tcW w:w="830"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1654D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是否完成</w:t>
            </w:r>
          </w:p>
        </w:tc>
        <w:tc>
          <w:tcPr>
            <w:tcW w:w="1893"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3DD4C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r>
      <w:tr w14:paraId="12E378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908" w:hRule="atLeast"/>
        </w:trPr>
        <w:tc>
          <w:tcPr>
            <w:tcW w:w="1677" w:type="dxa"/>
            <w:vMerge w:val="continue"/>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6CD4F50">
            <w:pPr>
              <w:rPr>
                <w:rFonts w:hint="eastAsia" w:ascii="宋体" w:hAnsi="宋体" w:eastAsia="宋体" w:cs="宋体"/>
                <w:sz w:val="18"/>
                <w:szCs w:val="18"/>
              </w:rPr>
            </w:pPr>
          </w:p>
        </w:tc>
        <w:tc>
          <w:tcPr>
            <w:tcW w:w="4596" w:type="dxa"/>
            <w:gridSpan w:val="5"/>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54F0B0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rPr>
                <w:rFonts w:hint="default" w:ascii="仿宋_GB2312" w:hAnsi="宋体" w:eastAsia="仿宋_GB2312" w:cs="仿宋_GB2312"/>
                <w:kern w:val="0"/>
                <w:sz w:val="24"/>
                <w:szCs w:val="24"/>
                <w:bdr w:val="none" w:color="auto" w:sz="0" w:space="0"/>
                <w:lang w:val="en-US" w:eastAsia="zh-CN" w:bidi="ar"/>
              </w:rPr>
              <w:t>3.用火单位（个人）准备好防火扑火工具（附工具清单）</w:t>
            </w:r>
          </w:p>
        </w:tc>
        <w:tc>
          <w:tcPr>
            <w:tcW w:w="830"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1146696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是否完成</w:t>
            </w:r>
          </w:p>
        </w:tc>
        <w:tc>
          <w:tcPr>
            <w:tcW w:w="1893"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16144D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r>
      <w:tr w14:paraId="57FDA47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170" w:hRule="atLeast"/>
        </w:trPr>
        <w:tc>
          <w:tcPr>
            <w:tcW w:w="1677" w:type="dxa"/>
            <w:vMerge w:val="continue"/>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0F1F27E">
            <w:pPr>
              <w:rPr>
                <w:rFonts w:hint="eastAsia" w:ascii="宋体" w:hAnsi="宋体" w:eastAsia="宋体" w:cs="宋体"/>
                <w:sz w:val="18"/>
                <w:szCs w:val="18"/>
              </w:rPr>
            </w:pPr>
          </w:p>
        </w:tc>
        <w:tc>
          <w:tcPr>
            <w:tcW w:w="4596" w:type="dxa"/>
            <w:gridSpan w:val="5"/>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50827B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rPr>
                <w:rFonts w:hint="default" w:ascii="仿宋_GB2312" w:hAnsi="宋体" w:eastAsia="仿宋_GB2312" w:cs="仿宋_GB2312"/>
                <w:kern w:val="0"/>
                <w:sz w:val="24"/>
                <w:szCs w:val="24"/>
                <w:bdr w:val="none" w:color="auto" w:sz="0" w:space="0"/>
                <w:lang w:val="en-US" w:eastAsia="zh-CN" w:bidi="ar"/>
              </w:rPr>
              <w:t>4.生产性用火山场内无分布国家级或省级重点保护野生动植物，或对上述保护的野生动植物已采取有效的防火隔离措施。</w:t>
            </w:r>
          </w:p>
        </w:tc>
        <w:tc>
          <w:tcPr>
            <w:tcW w:w="830"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AC5C7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是否完成</w:t>
            </w:r>
          </w:p>
        </w:tc>
        <w:tc>
          <w:tcPr>
            <w:tcW w:w="1893"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451DE4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r>
      <w:tr w14:paraId="3FAA68A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764" w:hRule="atLeast"/>
        </w:trPr>
        <w:tc>
          <w:tcPr>
            <w:tcW w:w="1677" w:type="dxa"/>
            <w:vMerge w:val="continue"/>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14F48D9">
            <w:pPr>
              <w:rPr>
                <w:rFonts w:hint="eastAsia" w:ascii="宋体" w:hAnsi="宋体" w:eastAsia="宋体" w:cs="宋体"/>
                <w:sz w:val="18"/>
                <w:szCs w:val="18"/>
              </w:rPr>
            </w:pPr>
          </w:p>
        </w:tc>
        <w:tc>
          <w:tcPr>
            <w:tcW w:w="4596" w:type="dxa"/>
            <w:gridSpan w:val="5"/>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BAADB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rPr>
                <w:rFonts w:hint="default" w:ascii="仿宋_GB2312" w:hAnsi="宋体" w:eastAsia="仿宋_GB2312" w:cs="仿宋_GB2312"/>
                <w:kern w:val="0"/>
                <w:sz w:val="24"/>
                <w:szCs w:val="24"/>
                <w:bdr w:val="none" w:color="auto" w:sz="0" w:space="0"/>
                <w:lang w:val="en-US" w:eastAsia="zh-CN" w:bidi="ar"/>
              </w:rPr>
              <w:t>5.高火险天气或风力等级超过3级需立即停止野外用火。</w:t>
            </w:r>
          </w:p>
        </w:tc>
        <w:tc>
          <w:tcPr>
            <w:tcW w:w="830"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974C1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是否安排</w:t>
            </w:r>
          </w:p>
        </w:tc>
        <w:tc>
          <w:tcPr>
            <w:tcW w:w="1893"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48D67E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r>
      <w:tr w14:paraId="144FA66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405" w:hRule="atLeast"/>
        </w:trPr>
        <w:tc>
          <w:tcPr>
            <w:tcW w:w="1677"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10DA8A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1FA28B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7D1B37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322338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安全措施</w:t>
            </w:r>
          </w:p>
          <w:p w14:paraId="4E001C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落实情况</w:t>
            </w:r>
          </w:p>
        </w:tc>
        <w:tc>
          <w:tcPr>
            <w:tcW w:w="7319" w:type="dxa"/>
            <w:gridSpan w:val="7"/>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48D7B1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6FA4D2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3DF2F7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6C48D21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23FC98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389008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741D93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4E5E18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rPr>
                <w:rFonts w:hint="default" w:ascii="仿宋_GB2312" w:hAnsi="宋体" w:eastAsia="仿宋_GB2312" w:cs="仿宋_GB2312"/>
                <w:kern w:val="0"/>
                <w:sz w:val="24"/>
                <w:szCs w:val="24"/>
                <w:bdr w:val="none" w:color="auto" w:sz="0" w:space="0"/>
                <w:lang w:val="en-US" w:eastAsia="zh-CN" w:bidi="ar"/>
              </w:rPr>
              <w:t>安全责任落实负责人（签名）：                年    月   日</w:t>
            </w:r>
          </w:p>
          <w:p w14:paraId="305763C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r>
      <w:tr w14:paraId="520E423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2069" w:hRule="atLeast"/>
        </w:trPr>
        <w:tc>
          <w:tcPr>
            <w:tcW w:w="1677"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64545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rPr>
                <w:rFonts w:hint="default" w:ascii="仿宋_GB2312" w:hAnsi="宋体" w:eastAsia="仿宋_GB2312" w:cs="仿宋_GB2312"/>
                <w:kern w:val="0"/>
                <w:sz w:val="24"/>
                <w:szCs w:val="24"/>
                <w:bdr w:val="none" w:color="auto" w:sz="0" w:space="0"/>
                <w:lang w:val="en-US" w:eastAsia="zh-CN" w:bidi="ar"/>
              </w:rPr>
              <w:t> </w:t>
            </w:r>
          </w:p>
          <w:p w14:paraId="7E8555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村级</w:t>
            </w:r>
          </w:p>
          <w:p w14:paraId="3D4E97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审批</w:t>
            </w:r>
          </w:p>
          <w:p w14:paraId="3311A0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意见</w:t>
            </w:r>
          </w:p>
        </w:tc>
        <w:tc>
          <w:tcPr>
            <w:tcW w:w="7319" w:type="dxa"/>
            <w:gridSpan w:val="7"/>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6E6C88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3348B1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543F90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7E0990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51CC15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rPr>
                <w:rFonts w:hint="default" w:ascii="仿宋_GB2312" w:hAnsi="宋体" w:eastAsia="仿宋_GB2312" w:cs="仿宋_GB2312"/>
                <w:kern w:val="0"/>
                <w:sz w:val="24"/>
                <w:szCs w:val="24"/>
                <w:bdr w:val="none" w:color="auto" w:sz="0" w:space="0"/>
                <w:lang w:val="en-US" w:eastAsia="zh-CN" w:bidi="ar"/>
              </w:rPr>
              <w:t>负责人（签名）：        单位（盖章）：          年     月    日</w:t>
            </w:r>
          </w:p>
        </w:tc>
      </w:tr>
      <w:tr w14:paraId="6EF6D67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650" w:hRule="atLeast"/>
        </w:trPr>
        <w:tc>
          <w:tcPr>
            <w:tcW w:w="1677"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05D537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5D3C3A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乡镇（街道）</w:t>
            </w:r>
          </w:p>
          <w:p w14:paraId="298274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审批意见</w:t>
            </w:r>
          </w:p>
        </w:tc>
        <w:tc>
          <w:tcPr>
            <w:tcW w:w="7319" w:type="dxa"/>
            <w:gridSpan w:val="7"/>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30F443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2702AB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48C465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7FA879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370FDE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7D39C7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rPr>
                <w:rFonts w:hint="default" w:ascii="仿宋_GB2312" w:hAnsi="宋体" w:eastAsia="仿宋_GB2312" w:cs="仿宋_GB2312"/>
                <w:kern w:val="0"/>
                <w:sz w:val="24"/>
                <w:szCs w:val="24"/>
                <w:bdr w:val="none" w:color="auto" w:sz="0" w:space="0"/>
                <w:lang w:val="en-US" w:eastAsia="zh-CN" w:bidi="ar"/>
              </w:rPr>
              <w:t>负责人（签名）：         单位（盖章）：         年    月     日</w:t>
            </w:r>
          </w:p>
          <w:p w14:paraId="03572F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r>
      <w:tr w14:paraId="018AD6C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2828" w:hRule="atLeast"/>
        </w:trPr>
        <w:tc>
          <w:tcPr>
            <w:tcW w:w="1677"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0E43D2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68BF6A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2F02E0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7A032B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林业局</w:t>
            </w:r>
          </w:p>
          <w:p w14:paraId="5BE0E9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审批意见</w:t>
            </w:r>
          </w:p>
        </w:tc>
        <w:tc>
          <w:tcPr>
            <w:tcW w:w="7319" w:type="dxa"/>
            <w:gridSpan w:val="7"/>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12B241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52DBA9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3D6EA1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724C25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05388C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1750D7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p w14:paraId="647553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rPr>
                <w:rFonts w:hint="default" w:ascii="仿宋_GB2312" w:hAnsi="宋体" w:eastAsia="仿宋_GB2312" w:cs="仿宋_GB2312"/>
                <w:kern w:val="0"/>
                <w:sz w:val="24"/>
                <w:szCs w:val="24"/>
                <w:bdr w:val="none" w:color="auto" w:sz="0" w:space="0"/>
                <w:lang w:val="en-US" w:eastAsia="zh-CN" w:bidi="ar"/>
              </w:rPr>
              <w:t>相关负责人（签名）：     单位（盖章）：         年    月    日</w:t>
            </w:r>
          </w:p>
        </w:tc>
      </w:tr>
    </w:tbl>
    <w:p w14:paraId="09B4C2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附件3</w:t>
      </w:r>
    </w:p>
    <w:p w14:paraId="50E7BF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880"/>
        <w:jc w:val="left"/>
      </w:pPr>
      <w:r>
        <w:rPr>
          <w:rFonts w:hint="default" w:ascii="方正小标宋简体" w:hAnsi="方正小标宋简体" w:eastAsia="方正小标宋简体" w:cs="方正小标宋简体"/>
          <w:i w:val="0"/>
          <w:iCs w:val="0"/>
          <w:caps w:val="0"/>
          <w:color w:val="000000"/>
          <w:spacing w:val="0"/>
          <w:kern w:val="0"/>
          <w:sz w:val="44"/>
          <w:szCs w:val="44"/>
          <w:bdr w:val="none" w:color="auto" w:sz="0" w:space="0"/>
          <w:lang w:val="en-US" w:eastAsia="zh-CN" w:bidi="ar"/>
        </w:rPr>
        <w:t> </w:t>
      </w:r>
    </w:p>
    <w:p w14:paraId="01017C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880"/>
        <w:jc w:val="left"/>
      </w:pPr>
      <w:r>
        <w:rPr>
          <w:rFonts w:hint="default" w:ascii="方正小标宋简体" w:hAnsi="方正小标宋简体" w:eastAsia="方正小标宋简体" w:cs="方正小标宋简体"/>
          <w:i w:val="0"/>
          <w:iCs w:val="0"/>
          <w:caps w:val="0"/>
          <w:color w:val="000000"/>
          <w:spacing w:val="0"/>
          <w:kern w:val="0"/>
          <w:sz w:val="44"/>
          <w:szCs w:val="44"/>
          <w:bdr w:val="none" w:color="auto" w:sz="0" w:space="0"/>
          <w:lang w:val="en-US" w:eastAsia="zh-CN" w:bidi="ar"/>
        </w:rPr>
        <w:t>新田县一般森林防火区野外用火审批表</w:t>
      </w:r>
    </w:p>
    <w:p w14:paraId="47A0DF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880"/>
        <w:jc w:val="left"/>
      </w:pPr>
      <w:r>
        <w:rPr>
          <w:rFonts w:hint="default" w:ascii="方正小标宋简体" w:hAnsi="方正小标宋简体" w:eastAsia="方正小标宋简体" w:cs="方正小标宋简体"/>
          <w:i w:val="0"/>
          <w:iCs w:val="0"/>
          <w:caps w:val="0"/>
          <w:color w:val="000000"/>
          <w:spacing w:val="0"/>
          <w:kern w:val="0"/>
          <w:sz w:val="44"/>
          <w:szCs w:val="44"/>
          <w:bdr w:val="none" w:color="auto" w:sz="0" w:space="0"/>
          <w:lang w:val="en-US" w:eastAsia="zh-CN" w:bidi="ar"/>
        </w:rPr>
        <w:t> </w:t>
      </w:r>
    </w:p>
    <w:tbl>
      <w:tblPr>
        <w:tblW w:w="8838"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1582"/>
        <w:gridCol w:w="877"/>
        <w:gridCol w:w="1051"/>
        <w:gridCol w:w="948"/>
        <w:gridCol w:w="1047"/>
        <w:gridCol w:w="860"/>
        <w:gridCol w:w="798"/>
        <w:gridCol w:w="63"/>
        <w:gridCol w:w="1612"/>
      </w:tblGrid>
      <w:tr w14:paraId="5A21226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22" w:hRule="atLeast"/>
        </w:trPr>
        <w:tc>
          <w:tcPr>
            <w:tcW w:w="1582"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05D78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申请单位</w:t>
            </w:r>
          </w:p>
          <w:p w14:paraId="062860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(盖章)</w:t>
            </w:r>
          </w:p>
        </w:tc>
        <w:tc>
          <w:tcPr>
            <w:tcW w:w="1928" w:type="dxa"/>
            <w:gridSpan w:val="2"/>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B5F60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c>
          <w:tcPr>
            <w:tcW w:w="948"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4C110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责任人</w:t>
            </w:r>
          </w:p>
        </w:tc>
        <w:tc>
          <w:tcPr>
            <w:tcW w:w="1047"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6234C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c>
          <w:tcPr>
            <w:tcW w:w="860"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F3952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电话</w:t>
            </w:r>
          </w:p>
        </w:tc>
        <w:tc>
          <w:tcPr>
            <w:tcW w:w="2473" w:type="dxa"/>
            <w:gridSpan w:val="3"/>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72A34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r>
      <w:tr w14:paraId="44442D4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717" w:hRule="atLeast"/>
        </w:trPr>
        <w:tc>
          <w:tcPr>
            <w:tcW w:w="1582"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CFE67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地点</w:t>
            </w:r>
          </w:p>
        </w:tc>
        <w:tc>
          <w:tcPr>
            <w:tcW w:w="7256" w:type="dxa"/>
            <w:gridSpan w:val="8"/>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9777D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镇            村        组，山名：</w:t>
            </w:r>
          </w:p>
        </w:tc>
      </w:tr>
      <w:tr w14:paraId="351E079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822" w:hRule="atLeast"/>
        </w:trPr>
        <w:tc>
          <w:tcPr>
            <w:tcW w:w="1582"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D958E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小班号</w:t>
            </w:r>
          </w:p>
        </w:tc>
        <w:tc>
          <w:tcPr>
            <w:tcW w:w="877"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8A1F0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c>
          <w:tcPr>
            <w:tcW w:w="1051"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ED652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小地名</w:t>
            </w:r>
          </w:p>
        </w:tc>
        <w:tc>
          <w:tcPr>
            <w:tcW w:w="948"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D0045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c>
          <w:tcPr>
            <w:tcW w:w="1047"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1C8C9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面积</w:t>
            </w:r>
          </w:p>
        </w:tc>
        <w:tc>
          <w:tcPr>
            <w:tcW w:w="860"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71EE1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c>
          <w:tcPr>
            <w:tcW w:w="798"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5BBC4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地类</w:t>
            </w:r>
          </w:p>
        </w:tc>
        <w:tc>
          <w:tcPr>
            <w:tcW w:w="1675" w:type="dxa"/>
            <w:gridSpan w:val="2"/>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62A25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r>
      <w:tr w14:paraId="2DD1915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749" w:hRule="atLeast"/>
        </w:trPr>
        <w:tc>
          <w:tcPr>
            <w:tcW w:w="1582"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319B1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用火目的</w:t>
            </w:r>
          </w:p>
        </w:tc>
        <w:tc>
          <w:tcPr>
            <w:tcW w:w="2876" w:type="dxa"/>
            <w:gridSpan w:val="3"/>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66686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c>
          <w:tcPr>
            <w:tcW w:w="1047"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931FE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风力</w:t>
            </w:r>
          </w:p>
          <w:p w14:paraId="3119AA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等级</w:t>
            </w:r>
          </w:p>
        </w:tc>
        <w:tc>
          <w:tcPr>
            <w:tcW w:w="3333" w:type="dxa"/>
            <w:gridSpan w:val="4"/>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DFC47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三级以下</w:t>
            </w:r>
          </w:p>
        </w:tc>
      </w:tr>
      <w:tr w14:paraId="315072D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1413" w:hRule="atLeast"/>
        </w:trPr>
        <w:tc>
          <w:tcPr>
            <w:tcW w:w="1582"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348CC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用火日期</w:t>
            </w:r>
          </w:p>
        </w:tc>
        <w:tc>
          <w:tcPr>
            <w:tcW w:w="2876" w:type="dxa"/>
            <w:gridSpan w:val="3"/>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05CE9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 年     月    日至     年    月   日</w:t>
            </w:r>
          </w:p>
        </w:tc>
        <w:tc>
          <w:tcPr>
            <w:tcW w:w="1047"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794EC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用火</w:t>
            </w:r>
          </w:p>
          <w:p w14:paraId="5ACEB5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时间</w:t>
            </w:r>
          </w:p>
        </w:tc>
        <w:tc>
          <w:tcPr>
            <w:tcW w:w="3333" w:type="dxa"/>
            <w:gridSpan w:val="4"/>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05D992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当天      时       分</w:t>
            </w:r>
          </w:p>
          <w:p w14:paraId="6E2F5F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至      时      分</w:t>
            </w:r>
          </w:p>
        </w:tc>
      </w:tr>
      <w:tr w14:paraId="679FACF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1077" w:hRule="atLeast"/>
        </w:trPr>
        <w:tc>
          <w:tcPr>
            <w:tcW w:w="1582" w:type="dxa"/>
            <w:vMerge w:val="restart"/>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B64E8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焚烧点经纬度</w:t>
            </w:r>
          </w:p>
        </w:tc>
        <w:tc>
          <w:tcPr>
            <w:tcW w:w="877"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6B841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火点1</w:t>
            </w:r>
          </w:p>
        </w:tc>
        <w:tc>
          <w:tcPr>
            <w:tcW w:w="1999"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9C7C3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东经    北纬</w:t>
            </w:r>
          </w:p>
        </w:tc>
        <w:tc>
          <w:tcPr>
            <w:tcW w:w="1047"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0B6CB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火点6</w:t>
            </w:r>
          </w:p>
        </w:tc>
        <w:tc>
          <w:tcPr>
            <w:tcW w:w="3333" w:type="dxa"/>
            <w:gridSpan w:val="4"/>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8DC7D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东经         北纬</w:t>
            </w:r>
          </w:p>
        </w:tc>
      </w:tr>
      <w:tr w14:paraId="3BE1F96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1077" w:hRule="atLeast"/>
        </w:trPr>
        <w:tc>
          <w:tcPr>
            <w:tcW w:w="1582" w:type="dxa"/>
            <w:vMerge w:val="continue"/>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A997F5D">
            <w:pPr>
              <w:rPr>
                <w:rFonts w:hint="eastAsia" w:ascii="宋体" w:hAnsi="宋体" w:eastAsia="宋体" w:cs="宋体"/>
                <w:sz w:val="18"/>
                <w:szCs w:val="18"/>
              </w:rPr>
            </w:pPr>
          </w:p>
        </w:tc>
        <w:tc>
          <w:tcPr>
            <w:tcW w:w="877"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781F1E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火点2</w:t>
            </w:r>
          </w:p>
        </w:tc>
        <w:tc>
          <w:tcPr>
            <w:tcW w:w="1999"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774A47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东经    北纬</w:t>
            </w:r>
          </w:p>
        </w:tc>
        <w:tc>
          <w:tcPr>
            <w:tcW w:w="1047"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DEB78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火点7</w:t>
            </w:r>
          </w:p>
        </w:tc>
        <w:tc>
          <w:tcPr>
            <w:tcW w:w="3333" w:type="dxa"/>
            <w:gridSpan w:val="4"/>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7E4FC2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东经         北纬</w:t>
            </w:r>
          </w:p>
        </w:tc>
      </w:tr>
      <w:tr w14:paraId="06D11C3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077" w:hRule="atLeast"/>
        </w:trPr>
        <w:tc>
          <w:tcPr>
            <w:tcW w:w="1582" w:type="dxa"/>
            <w:vMerge w:val="continue"/>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1A55C7B">
            <w:pPr>
              <w:rPr>
                <w:rFonts w:hint="eastAsia" w:ascii="宋体" w:hAnsi="宋体" w:eastAsia="宋体" w:cs="宋体"/>
                <w:sz w:val="18"/>
                <w:szCs w:val="18"/>
              </w:rPr>
            </w:pPr>
          </w:p>
        </w:tc>
        <w:tc>
          <w:tcPr>
            <w:tcW w:w="877"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360D8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火点3</w:t>
            </w:r>
          </w:p>
        </w:tc>
        <w:tc>
          <w:tcPr>
            <w:tcW w:w="1999"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71AB3A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东经    北纬</w:t>
            </w:r>
          </w:p>
        </w:tc>
        <w:tc>
          <w:tcPr>
            <w:tcW w:w="1047"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0A3C3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火点8</w:t>
            </w:r>
          </w:p>
        </w:tc>
        <w:tc>
          <w:tcPr>
            <w:tcW w:w="3333" w:type="dxa"/>
            <w:gridSpan w:val="4"/>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62431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东经         北纬</w:t>
            </w:r>
          </w:p>
        </w:tc>
      </w:tr>
      <w:tr w14:paraId="7980B62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1077" w:hRule="atLeast"/>
        </w:trPr>
        <w:tc>
          <w:tcPr>
            <w:tcW w:w="1582" w:type="dxa"/>
            <w:vMerge w:val="continue"/>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4BB809E">
            <w:pPr>
              <w:rPr>
                <w:rFonts w:hint="eastAsia" w:ascii="宋体" w:hAnsi="宋体" w:eastAsia="宋体" w:cs="宋体"/>
                <w:sz w:val="18"/>
                <w:szCs w:val="18"/>
              </w:rPr>
            </w:pPr>
          </w:p>
        </w:tc>
        <w:tc>
          <w:tcPr>
            <w:tcW w:w="877"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C1D11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火点4</w:t>
            </w:r>
          </w:p>
        </w:tc>
        <w:tc>
          <w:tcPr>
            <w:tcW w:w="1999"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57E65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东经    北纬</w:t>
            </w:r>
          </w:p>
        </w:tc>
        <w:tc>
          <w:tcPr>
            <w:tcW w:w="1047"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1702B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火点9</w:t>
            </w:r>
          </w:p>
        </w:tc>
        <w:tc>
          <w:tcPr>
            <w:tcW w:w="3333" w:type="dxa"/>
            <w:gridSpan w:val="4"/>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17CC8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东经         北纬</w:t>
            </w:r>
          </w:p>
        </w:tc>
      </w:tr>
      <w:tr w14:paraId="6243A2D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1077" w:hRule="atLeast"/>
        </w:trPr>
        <w:tc>
          <w:tcPr>
            <w:tcW w:w="1582" w:type="dxa"/>
            <w:vMerge w:val="continue"/>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EA96537">
            <w:pPr>
              <w:rPr>
                <w:rFonts w:hint="eastAsia" w:ascii="宋体" w:hAnsi="宋体" w:eastAsia="宋体" w:cs="宋体"/>
                <w:sz w:val="18"/>
                <w:szCs w:val="18"/>
              </w:rPr>
            </w:pPr>
          </w:p>
        </w:tc>
        <w:tc>
          <w:tcPr>
            <w:tcW w:w="877"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4BE34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火点5</w:t>
            </w:r>
          </w:p>
        </w:tc>
        <w:tc>
          <w:tcPr>
            <w:tcW w:w="1999"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8364D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东经    北纬</w:t>
            </w:r>
          </w:p>
        </w:tc>
        <w:tc>
          <w:tcPr>
            <w:tcW w:w="1047"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5F395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火点10</w:t>
            </w:r>
          </w:p>
        </w:tc>
        <w:tc>
          <w:tcPr>
            <w:tcW w:w="3333" w:type="dxa"/>
            <w:gridSpan w:val="4"/>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08739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东经         北纬</w:t>
            </w:r>
          </w:p>
        </w:tc>
      </w:tr>
      <w:tr w14:paraId="145A2E1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243" w:hRule="atLeast"/>
        </w:trPr>
        <w:tc>
          <w:tcPr>
            <w:tcW w:w="1582" w:type="dxa"/>
            <w:vMerge w:val="restart"/>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5B3C0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安全措施落实情况</w:t>
            </w:r>
          </w:p>
        </w:tc>
        <w:tc>
          <w:tcPr>
            <w:tcW w:w="4783" w:type="dxa"/>
            <w:gridSpan w:val="5"/>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01B3C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rPr>
                <w:rFonts w:hint="default" w:ascii="仿宋_GB2312" w:hAnsi="宋体" w:eastAsia="仿宋_GB2312" w:cs="仿宋_GB2312"/>
                <w:kern w:val="0"/>
                <w:sz w:val="24"/>
                <w:szCs w:val="24"/>
                <w:bdr w:val="none" w:color="auto" w:sz="0" w:space="0"/>
                <w:lang w:val="en-US" w:eastAsia="zh-CN" w:bidi="ar"/>
              </w:rPr>
              <w:t>1.是否签订《野外用火安全承诺书》，用火山场周边是否开设10米以上的防火隔离带。</w:t>
            </w:r>
          </w:p>
        </w:tc>
        <w:tc>
          <w:tcPr>
            <w:tcW w:w="861"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76211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是否完成</w:t>
            </w:r>
          </w:p>
        </w:tc>
        <w:tc>
          <w:tcPr>
            <w:tcW w:w="1612"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A006A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r>
      <w:tr w14:paraId="1C856CF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1025" w:hRule="atLeast"/>
        </w:trPr>
        <w:tc>
          <w:tcPr>
            <w:tcW w:w="1582" w:type="dxa"/>
            <w:vMerge w:val="continue"/>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4A88275">
            <w:pPr>
              <w:rPr>
                <w:rFonts w:hint="eastAsia" w:ascii="宋体" w:hAnsi="宋体" w:eastAsia="宋体" w:cs="宋体"/>
                <w:sz w:val="18"/>
                <w:szCs w:val="18"/>
              </w:rPr>
            </w:pPr>
          </w:p>
        </w:tc>
        <w:tc>
          <w:tcPr>
            <w:tcW w:w="4783" w:type="dxa"/>
            <w:gridSpan w:val="5"/>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72C63A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rPr>
                <w:rFonts w:hint="default" w:ascii="仿宋_GB2312" w:hAnsi="宋体" w:eastAsia="仿宋_GB2312" w:cs="仿宋_GB2312"/>
                <w:kern w:val="0"/>
                <w:sz w:val="24"/>
                <w:szCs w:val="24"/>
                <w:bdr w:val="none" w:color="auto" w:sz="0" w:space="0"/>
                <w:lang w:val="en-US" w:eastAsia="zh-CN" w:bidi="ar"/>
              </w:rPr>
              <w:t>2.用火单位（个人）组织好10-30人的防火扑火队伍。</w:t>
            </w:r>
          </w:p>
        </w:tc>
        <w:tc>
          <w:tcPr>
            <w:tcW w:w="861"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84EF9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是否完成</w:t>
            </w:r>
          </w:p>
        </w:tc>
        <w:tc>
          <w:tcPr>
            <w:tcW w:w="1612"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A74D22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r>
      <w:tr w14:paraId="51DCE44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822" w:hRule="atLeast"/>
        </w:trPr>
        <w:tc>
          <w:tcPr>
            <w:tcW w:w="1582" w:type="dxa"/>
            <w:vMerge w:val="continue"/>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7B4394D5">
            <w:pPr>
              <w:rPr>
                <w:rFonts w:hint="eastAsia" w:ascii="宋体" w:hAnsi="宋体" w:eastAsia="宋体" w:cs="宋体"/>
                <w:sz w:val="18"/>
                <w:szCs w:val="18"/>
              </w:rPr>
            </w:pPr>
          </w:p>
        </w:tc>
        <w:tc>
          <w:tcPr>
            <w:tcW w:w="4783" w:type="dxa"/>
            <w:gridSpan w:val="5"/>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957D6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rPr>
                <w:rFonts w:hint="default" w:ascii="仿宋_GB2312" w:hAnsi="宋体" w:eastAsia="仿宋_GB2312" w:cs="仿宋_GB2312"/>
                <w:kern w:val="0"/>
                <w:sz w:val="24"/>
                <w:szCs w:val="24"/>
                <w:bdr w:val="none" w:color="auto" w:sz="0" w:space="0"/>
                <w:lang w:val="en-US" w:eastAsia="zh-CN" w:bidi="ar"/>
              </w:rPr>
              <w:t>3.用火单位（个人）准备好防火扑火工具（附工具清单）</w:t>
            </w:r>
          </w:p>
        </w:tc>
        <w:tc>
          <w:tcPr>
            <w:tcW w:w="861"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F7B11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是否完成</w:t>
            </w:r>
          </w:p>
        </w:tc>
        <w:tc>
          <w:tcPr>
            <w:tcW w:w="1612"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9D2DF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r>
      <w:tr w14:paraId="50ED6DD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438" w:hRule="atLeast"/>
        </w:trPr>
        <w:tc>
          <w:tcPr>
            <w:tcW w:w="1582" w:type="dxa"/>
            <w:vMerge w:val="continue"/>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4C87FCA">
            <w:pPr>
              <w:rPr>
                <w:rFonts w:hint="eastAsia" w:ascii="宋体" w:hAnsi="宋体" w:eastAsia="宋体" w:cs="宋体"/>
                <w:sz w:val="18"/>
                <w:szCs w:val="18"/>
              </w:rPr>
            </w:pPr>
          </w:p>
        </w:tc>
        <w:tc>
          <w:tcPr>
            <w:tcW w:w="4783" w:type="dxa"/>
            <w:gridSpan w:val="5"/>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7C0F9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rPr>
                <w:rFonts w:hint="default" w:ascii="仿宋_GB2312" w:hAnsi="宋体" w:eastAsia="仿宋_GB2312" w:cs="仿宋_GB2312"/>
                <w:kern w:val="0"/>
                <w:sz w:val="24"/>
                <w:szCs w:val="24"/>
                <w:bdr w:val="none" w:color="auto" w:sz="0" w:space="0"/>
                <w:lang w:val="en-US" w:eastAsia="zh-CN" w:bidi="ar"/>
              </w:rPr>
              <w:t>4.生产性用火山场内无分布国家级或省级重点保护野生动植物，或对上述保护的野生动植物已采取有效的防火隔离措施。</w:t>
            </w:r>
          </w:p>
        </w:tc>
        <w:tc>
          <w:tcPr>
            <w:tcW w:w="861"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9300E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是否完成</w:t>
            </w:r>
          </w:p>
        </w:tc>
        <w:tc>
          <w:tcPr>
            <w:tcW w:w="1612"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ADC42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r>
      <w:tr w14:paraId="512C4DF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52" w:hRule="atLeast"/>
        </w:trPr>
        <w:tc>
          <w:tcPr>
            <w:tcW w:w="1582" w:type="dxa"/>
            <w:vMerge w:val="continue"/>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10A5CDE">
            <w:pPr>
              <w:rPr>
                <w:rFonts w:hint="eastAsia" w:ascii="宋体" w:hAnsi="宋体" w:eastAsia="宋体" w:cs="宋体"/>
                <w:sz w:val="18"/>
                <w:szCs w:val="18"/>
              </w:rPr>
            </w:pPr>
          </w:p>
        </w:tc>
        <w:tc>
          <w:tcPr>
            <w:tcW w:w="4783" w:type="dxa"/>
            <w:gridSpan w:val="5"/>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9E0BC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rPr>
                <w:rFonts w:hint="default" w:ascii="仿宋_GB2312" w:hAnsi="宋体" w:eastAsia="仿宋_GB2312" w:cs="仿宋_GB2312"/>
                <w:kern w:val="0"/>
                <w:sz w:val="24"/>
                <w:szCs w:val="24"/>
                <w:bdr w:val="none" w:color="auto" w:sz="0" w:space="0"/>
                <w:lang w:val="en-US" w:eastAsia="zh-CN" w:bidi="ar"/>
              </w:rPr>
              <w:t>5.高火险天气或风力等级超过3级需立即停止野外用火。</w:t>
            </w:r>
          </w:p>
        </w:tc>
        <w:tc>
          <w:tcPr>
            <w:tcW w:w="861"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9CEE9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是否安排</w:t>
            </w:r>
          </w:p>
        </w:tc>
        <w:tc>
          <w:tcPr>
            <w:tcW w:w="1612"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65EA8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r>
      <w:tr w14:paraId="266B55A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732" w:hRule="atLeast"/>
        </w:trPr>
        <w:tc>
          <w:tcPr>
            <w:tcW w:w="1582"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527891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53059D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1882BA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3F4A00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安全措施</w:t>
            </w:r>
          </w:p>
          <w:p w14:paraId="6A78FE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落实情况</w:t>
            </w:r>
          </w:p>
        </w:tc>
        <w:tc>
          <w:tcPr>
            <w:tcW w:w="7256" w:type="dxa"/>
            <w:gridSpan w:val="8"/>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304F88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105A95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4A12F7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27AD11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0AF12C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1D3F78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469A6F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安全责任落实负责人（签名）：                   年    月    日</w:t>
            </w:r>
          </w:p>
        </w:tc>
      </w:tr>
      <w:tr w14:paraId="7EA7805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732" w:hRule="atLeast"/>
        </w:trPr>
        <w:tc>
          <w:tcPr>
            <w:tcW w:w="1582"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2F26A2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563079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2B60FE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村级</w:t>
            </w:r>
          </w:p>
          <w:p w14:paraId="306825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审批意见</w:t>
            </w:r>
          </w:p>
        </w:tc>
        <w:tc>
          <w:tcPr>
            <w:tcW w:w="7256" w:type="dxa"/>
            <w:gridSpan w:val="8"/>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3173E3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022917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1D0648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5C5378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569F62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46807A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0FC872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负责人（签名）：         单位（盖章）：          年     月    日</w:t>
            </w:r>
          </w:p>
        </w:tc>
      </w:tr>
      <w:tr w14:paraId="0B9E883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26" w:hRule="atLeast"/>
        </w:trPr>
        <w:tc>
          <w:tcPr>
            <w:tcW w:w="1582"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35ECCD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765A31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7173C1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乡镇（街道）审批意见</w:t>
            </w:r>
          </w:p>
        </w:tc>
        <w:tc>
          <w:tcPr>
            <w:tcW w:w="7256" w:type="dxa"/>
            <w:gridSpan w:val="8"/>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271E97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61733A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055EA8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462243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p w14:paraId="3D030E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负责人（签名）：        单位（盖章）：         年    月     日</w:t>
            </w:r>
          </w:p>
        </w:tc>
      </w:tr>
    </w:tbl>
    <w:p w14:paraId="34D58275">
      <w:pPr>
        <w:keepNext w:val="0"/>
        <w:keepLines w:val="0"/>
        <w:widowControl/>
        <w:suppressLineNumbers w:val="0"/>
        <w:jc w:val="left"/>
      </w:pPr>
    </w:p>
    <w:p w14:paraId="0022E5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附件4</w:t>
      </w:r>
    </w:p>
    <w:tbl>
      <w:tblPr>
        <w:tblW w:w="14779" w:type="dxa"/>
        <w:tblInd w:w="135"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20"/>
        <w:gridCol w:w="1006"/>
        <w:gridCol w:w="2063"/>
        <w:gridCol w:w="1582"/>
        <w:gridCol w:w="1262"/>
        <w:gridCol w:w="1448"/>
        <w:gridCol w:w="1349"/>
        <w:gridCol w:w="1324"/>
        <w:gridCol w:w="1202"/>
        <w:gridCol w:w="1238"/>
        <w:gridCol w:w="1485"/>
      </w:tblGrid>
      <w:tr w14:paraId="490A23A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74" w:hRule="atLeast"/>
        </w:trPr>
        <w:tc>
          <w:tcPr>
            <w:tcW w:w="654" w:type="dxa"/>
            <w:tcBorders>
              <w:top w:val="nil"/>
              <w:left w:val="nil"/>
              <w:bottom w:val="single" w:color="auto" w:sz="8" w:space="0"/>
              <w:right w:val="nil"/>
            </w:tcBorders>
            <w:shd w:val="clear"/>
            <w:tcMar>
              <w:top w:w="0" w:type="dxa"/>
              <w:left w:w="0" w:type="dxa"/>
              <w:bottom w:w="0" w:type="dxa"/>
              <w:right w:w="0" w:type="dxa"/>
            </w:tcMar>
            <w:vAlign w:val="top"/>
          </w:tcPr>
          <w:p w14:paraId="6593DE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c>
          <w:tcPr>
            <w:tcW w:w="14125" w:type="dxa"/>
            <w:gridSpan w:val="10"/>
            <w:tcBorders>
              <w:top w:val="nil"/>
              <w:left w:val="nil"/>
              <w:bottom w:val="single" w:color="auto" w:sz="8" w:space="0"/>
              <w:right w:val="nil"/>
            </w:tcBorders>
            <w:shd w:val="clear"/>
            <w:tcMar>
              <w:top w:w="0" w:type="dxa"/>
              <w:left w:w="0" w:type="dxa"/>
              <w:bottom w:w="0" w:type="dxa"/>
              <w:right w:w="0" w:type="dxa"/>
            </w:tcMar>
            <w:vAlign w:val="top"/>
          </w:tcPr>
          <w:p w14:paraId="7AB422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pPr>
            <w:r>
              <w:rPr>
                <w:rFonts w:hint="default" w:ascii="方正小标宋简体" w:hAnsi="方正小标宋简体" w:eastAsia="方正小标宋简体" w:cs="方正小标宋简体"/>
                <w:kern w:val="0"/>
                <w:sz w:val="44"/>
                <w:szCs w:val="44"/>
                <w:bdr w:val="none" w:color="auto" w:sz="0" w:space="0"/>
                <w:lang w:val="en-US" w:eastAsia="zh-CN" w:bidi="ar"/>
              </w:rPr>
              <w:t>新田县森林防火区野外用火报备表</w:t>
            </w:r>
          </w:p>
          <w:p w14:paraId="21105B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方正小标宋简体" w:hAnsi="方正小标宋简体" w:eastAsia="方正小标宋简体" w:cs="方正小标宋简体"/>
                <w:kern w:val="0"/>
                <w:sz w:val="44"/>
                <w:szCs w:val="44"/>
                <w:bdr w:val="none" w:color="auto" w:sz="0" w:space="0"/>
                <w:lang w:val="en-US" w:eastAsia="zh-CN" w:bidi="ar"/>
              </w:rPr>
              <w:t> </w:t>
            </w:r>
          </w:p>
        </w:tc>
      </w:tr>
      <w:tr w14:paraId="16F6B30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611" w:hRule="atLeast"/>
        </w:trPr>
        <w:tc>
          <w:tcPr>
            <w:tcW w:w="654" w:type="dxa"/>
            <w:tcBorders>
              <w:top w:val="nil"/>
              <w:left w:val="single" w:color="auto" w:sz="8" w:space="0"/>
              <w:bottom w:val="single" w:color="auto" w:sz="8" w:space="0"/>
              <w:right w:val="single" w:color="auto" w:sz="8" w:space="0"/>
            </w:tcBorders>
            <w:shd w:val="clear"/>
            <w:tcMar>
              <w:top w:w="0" w:type="dxa"/>
              <w:left w:w="0" w:type="dxa"/>
              <w:bottom w:w="0" w:type="dxa"/>
              <w:right w:w="0" w:type="dxa"/>
            </w:tcMar>
            <w:vAlign w:val="center"/>
          </w:tcPr>
          <w:p w14:paraId="0AB4F1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序号</w:t>
            </w:r>
          </w:p>
        </w:tc>
        <w:tc>
          <w:tcPr>
            <w:tcW w:w="1011" w:type="dxa"/>
            <w:tcBorders>
              <w:top w:val="nil"/>
              <w:left w:val="nil"/>
              <w:bottom w:val="single" w:color="auto" w:sz="8" w:space="0"/>
              <w:right w:val="single" w:color="auto" w:sz="8" w:space="0"/>
            </w:tcBorders>
            <w:shd w:val="clear"/>
            <w:tcMar>
              <w:top w:w="0" w:type="dxa"/>
              <w:left w:w="0" w:type="dxa"/>
              <w:bottom w:w="0" w:type="dxa"/>
              <w:right w:w="0" w:type="dxa"/>
            </w:tcMar>
            <w:vAlign w:val="center"/>
          </w:tcPr>
          <w:p w14:paraId="5D06FF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用火时间</w:t>
            </w:r>
          </w:p>
        </w:tc>
        <w:tc>
          <w:tcPr>
            <w:tcW w:w="2099" w:type="dxa"/>
            <w:tcBorders>
              <w:top w:val="single" w:color="auto" w:sz="8" w:space="0"/>
              <w:left w:val="nil"/>
              <w:bottom w:val="single" w:color="auto" w:sz="8" w:space="0"/>
              <w:right w:val="single" w:color="auto" w:sz="8" w:space="0"/>
            </w:tcBorders>
            <w:shd w:val="clear"/>
            <w:tcMar>
              <w:top w:w="0" w:type="dxa"/>
              <w:left w:w="0" w:type="dxa"/>
              <w:bottom w:w="0" w:type="dxa"/>
              <w:right w:w="0" w:type="dxa"/>
            </w:tcMar>
            <w:vAlign w:val="center"/>
          </w:tcPr>
          <w:p w14:paraId="29CFEA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用火地点</w:t>
            </w:r>
          </w:p>
        </w:tc>
        <w:tc>
          <w:tcPr>
            <w:tcW w:w="1604" w:type="dxa"/>
            <w:tcBorders>
              <w:top w:val="single" w:color="auto" w:sz="8" w:space="0"/>
              <w:left w:val="nil"/>
              <w:bottom w:val="single" w:color="auto" w:sz="8" w:space="0"/>
              <w:right w:val="single" w:color="auto" w:sz="8" w:space="0"/>
            </w:tcBorders>
            <w:shd w:val="clear"/>
            <w:tcMar>
              <w:top w:w="0" w:type="dxa"/>
              <w:left w:w="0" w:type="dxa"/>
              <w:bottom w:w="0" w:type="dxa"/>
              <w:right w:w="0" w:type="dxa"/>
            </w:tcMar>
            <w:vAlign w:val="center"/>
          </w:tcPr>
          <w:p w14:paraId="2312EC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经纬度</w:t>
            </w:r>
          </w:p>
        </w:tc>
        <w:tc>
          <w:tcPr>
            <w:tcW w:w="1275" w:type="dxa"/>
            <w:tcBorders>
              <w:top w:val="single" w:color="auto" w:sz="8" w:space="0"/>
              <w:left w:val="nil"/>
              <w:bottom w:val="single" w:color="auto" w:sz="8" w:space="0"/>
              <w:right w:val="single" w:color="auto" w:sz="8" w:space="0"/>
            </w:tcBorders>
            <w:shd w:val="clear"/>
            <w:tcMar>
              <w:top w:w="0" w:type="dxa"/>
              <w:left w:w="0" w:type="dxa"/>
              <w:bottom w:w="0" w:type="dxa"/>
              <w:right w:w="0" w:type="dxa"/>
            </w:tcMar>
            <w:vAlign w:val="center"/>
          </w:tcPr>
          <w:p w14:paraId="06B23F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申请人</w:t>
            </w:r>
          </w:p>
        </w:tc>
        <w:tc>
          <w:tcPr>
            <w:tcW w:w="1466" w:type="dxa"/>
            <w:tcBorders>
              <w:top w:val="single" w:color="auto" w:sz="8" w:space="0"/>
              <w:left w:val="nil"/>
              <w:bottom w:val="single" w:color="auto" w:sz="8" w:space="0"/>
              <w:right w:val="single" w:color="auto" w:sz="8" w:space="0"/>
            </w:tcBorders>
            <w:shd w:val="clear"/>
            <w:tcMar>
              <w:top w:w="0" w:type="dxa"/>
              <w:left w:w="0" w:type="dxa"/>
              <w:bottom w:w="0" w:type="dxa"/>
              <w:right w:w="0" w:type="dxa"/>
            </w:tcMar>
            <w:vAlign w:val="center"/>
          </w:tcPr>
          <w:p w14:paraId="259009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联系方式</w:t>
            </w:r>
          </w:p>
        </w:tc>
        <w:tc>
          <w:tcPr>
            <w:tcW w:w="1364" w:type="dxa"/>
            <w:tcBorders>
              <w:top w:val="single" w:color="auto" w:sz="8" w:space="0"/>
              <w:left w:val="nil"/>
              <w:bottom w:val="single" w:color="auto" w:sz="8" w:space="0"/>
              <w:right w:val="single" w:color="auto" w:sz="8" w:space="0"/>
            </w:tcBorders>
            <w:shd w:val="clear"/>
            <w:tcMar>
              <w:top w:w="0" w:type="dxa"/>
              <w:left w:w="0" w:type="dxa"/>
              <w:bottom w:w="0" w:type="dxa"/>
              <w:right w:w="0" w:type="dxa"/>
            </w:tcMar>
            <w:vAlign w:val="center"/>
          </w:tcPr>
          <w:p w14:paraId="23D398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监烧人</w:t>
            </w:r>
          </w:p>
        </w:tc>
        <w:tc>
          <w:tcPr>
            <w:tcW w:w="1339" w:type="dxa"/>
            <w:tcBorders>
              <w:top w:val="single" w:color="auto" w:sz="8" w:space="0"/>
              <w:left w:val="nil"/>
              <w:bottom w:val="single" w:color="auto" w:sz="8" w:space="0"/>
              <w:right w:val="single" w:color="auto" w:sz="8" w:space="0"/>
            </w:tcBorders>
            <w:shd w:val="clear"/>
            <w:tcMar>
              <w:top w:w="0" w:type="dxa"/>
              <w:left w:w="0" w:type="dxa"/>
              <w:bottom w:w="0" w:type="dxa"/>
              <w:right w:w="0" w:type="dxa"/>
            </w:tcMar>
            <w:vAlign w:val="center"/>
          </w:tcPr>
          <w:p w14:paraId="71ECAE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联系方式</w:t>
            </w:r>
          </w:p>
        </w:tc>
        <w:tc>
          <w:tcPr>
            <w:tcW w:w="1213" w:type="dxa"/>
            <w:tcBorders>
              <w:top w:val="single" w:color="auto" w:sz="8" w:space="0"/>
              <w:left w:val="nil"/>
              <w:bottom w:val="single" w:color="auto" w:sz="8" w:space="0"/>
              <w:right w:val="single" w:color="auto" w:sz="8" w:space="0"/>
            </w:tcBorders>
            <w:shd w:val="clear"/>
            <w:tcMar>
              <w:top w:w="0" w:type="dxa"/>
              <w:left w:w="0" w:type="dxa"/>
              <w:bottom w:w="0" w:type="dxa"/>
              <w:right w:w="0" w:type="dxa"/>
            </w:tcMar>
            <w:vAlign w:val="center"/>
          </w:tcPr>
          <w:p w14:paraId="0E4AD38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面积（亩）/火点数量</w:t>
            </w:r>
          </w:p>
        </w:tc>
        <w:tc>
          <w:tcPr>
            <w:tcW w:w="1250" w:type="dxa"/>
            <w:tcBorders>
              <w:top w:val="single" w:color="auto" w:sz="8" w:space="0"/>
              <w:left w:val="nil"/>
              <w:bottom w:val="single" w:color="auto" w:sz="8" w:space="0"/>
              <w:right w:val="single" w:color="auto" w:sz="8" w:space="0"/>
            </w:tcBorders>
            <w:shd w:val="clear"/>
            <w:tcMar>
              <w:top w:w="0" w:type="dxa"/>
              <w:left w:w="0" w:type="dxa"/>
              <w:bottom w:w="0" w:type="dxa"/>
              <w:right w:w="0" w:type="dxa"/>
            </w:tcMar>
            <w:vAlign w:val="center"/>
          </w:tcPr>
          <w:p w14:paraId="0B4387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用火类型</w:t>
            </w:r>
          </w:p>
        </w:tc>
        <w:tc>
          <w:tcPr>
            <w:tcW w:w="1504" w:type="dxa"/>
            <w:tcBorders>
              <w:top w:val="single" w:color="auto" w:sz="8" w:space="0"/>
              <w:left w:val="nil"/>
              <w:bottom w:val="single" w:color="auto" w:sz="8" w:space="0"/>
              <w:right w:val="single" w:color="auto" w:sz="8" w:space="0"/>
            </w:tcBorders>
            <w:shd w:val="clear"/>
            <w:tcMar>
              <w:top w:w="0" w:type="dxa"/>
              <w:left w:w="0" w:type="dxa"/>
              <w:bottom w:w="0" w:type="dxa"/>
              <w:right w:w="0" w:type="dxa"/>
            </w:tcMar>
            <w:vAlign w:val="center"/>
          </w:tcPr>
          <w:p w14:paraId="21F942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Fonts w:hint="default" w:ascii="仿宋_GB2312" w:hAnsi="宋体" w:eastAsia="仿宋_GB2312" w:cs="仿宋_GB2312"/>
                <w:kern w:val="0"/>
                <w:sz w:val="24"/>
                <w:szCs w:val="24"/>
                <w:bdr w:val="none" w:color="auto" w:sz="0" w:space="0"/>
                <w:lang w:val="en-US" w:eastAsia="zh-CN" w:bidi="ar"/>
              </w:rPr>
              <w:t>备注</w:t>
            </w:r>
          </w:p>
        </w:tc>
      </w:tr>
      <w:tr w14:paraId="6AF238D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65" w:hRule="atLeast"/>
        </w:trPr>
        <w:tc>
          <w:tcPr>
            <w:tcW w:w="654" w:type="dxa"/>
            <w:tcBorders>
              <w:top w:val="nil"/>
              <w:left w:val="single" w:color="auto" w:sz="8" w:space="0"/>
              <w:bottom w:val="single" w:color="auto" w:sz="8" w:space="0"/>
              <w:right w:val="single" w:color="auto" w:sz="8" w:space="0"/>
            </w:tcBorders>
            <w:shd w:val="clear"/>
            <w:tcMar>
              <w:top w:w="0" w:type="dxa"/>
              <w:left w:w="0" w:type="dxa"/>
              <w:bottom w:w="0" w:type="dxa"/>
              <w:right w:w="0" w:type="dxa"/>
            </w:tcMar>
            <w:vAlign w:val="top"/>
          </w:tcPr>
          <w:p w14:paraId="4FF2DF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011" w:type="dxa"/>
            <w:tcBorders>
              <w:top w:val="nil"/>
              <w:left w:val="nil"/>
              <w:bottom w:val="single" w:color="auto" w:sz="8" w:space="0"/>
              <w:right w:val="single" w:color="auto" w:sz="8" w:space="0"/>
            </w:tcBorders>
            <w:shd w:val="clear"/>
            <w:tcMar>
              <w:top w:w="0" w:type="dxa"/>
              <w:left w:w="0" w:type="dxa"/>
              <w:bottom w:w="0" w:type="dxa"/>
              <w:right w:w="0" w:type="dxa"/>
            </w:tcMar>
            <w:vAlign w:val="top"/>
          </w:tcPr>
          <w:p w14:paraId="0D209F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2099" w:type="dxa"/>
            <w:tcBorders>
              <w:top w:val="nil"/>
              <w:left w:val="nil"/>
              <w:bottom w:val="single" w:color="auto" w:sz="8" w:space="0"/>
              <w:right w:val="single" w:color="auto" w:sz="8" w:space="0"/>
            </w:tcBorders>
            <w:shd w:val="clear"/>
            <w:tcMar>
              <w:top w:w="0" w:type="dxa"/>
              <w:left w:w="0" w:type="dxa"/>
              <w:bottom w:w="0" w:type="dxa"/>
              <w:right w:w="0" w:type="dxa"/>
            </w:tcMar>
            <w:vAlign w:val="top"/>
          </w:tcPr>
          <w:p w14:paraId="3859DD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604" w:type="dxa"/>
            <w:tcBorders>
              <w:top w:val="nil"/>
              <w:left w:val="nil"/>
              <w:bottom w:val="single" w:color="auto" w:sz="8" w:space="0"/>
              <w:right w:val="single" w:color="auto" w:sz="8" w:space="0"/>
            </w:tcBorders>
            <w:shd w:val="clear"/>
            <w:tcMar>
              <w:top w:w="0" w:type="dxa"/>
              <w:left w:w="0" w:type="dxa"/>
              <w:bottom w:w="0" w:type="dxa"/>
              <w:right w:w="0" w:type="dxa"/>
            </w:tcMar>
            <w:vAlign w:val="top"/>
          </w:tcPr>
          <w:p w14:paraId="258F8E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275" w:type="dxa"/>
            <w:tcBorders>
              <w:top w:val="nil"/>
              <w:left w:val="nil"/>
              <w:bottom w:val="single" w:color="auto" w:sz="8" w:space="0"/>
              <w:right w:val="single" w:color="auto" w:sz="8" w:space="0"/>
            </w:tcBorders>
            <w:shd w:val="clear"/>
            <w:tcMar>
              <w:top w:w="0" w:type="dxa"/>
              <w:left w:w="0" w:type="dxa"/>
              <w:bottom w:w="0" w:type="dxa"/>
              <w:right w:w="0" w:type="dxa"/>
            </w:tcMar>
            <w:vAlign w:val="top"/>
          </w:tcPr>
          <w:p w14:paraId="3BCBF3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466" w:type="dxa"/>
            <w:tcBorders>
              <w:top w:val="nil"/>
              <w:left w:val="nil"/>
              <w:bottom w:val="single" w:color="auto" w:sz="8" w:space="0"/>
              <w:right w:val="single" w:color="auto" w:sz="8" w:space="0"/>
            </w:tcBorders>
            <w:shd w:val="clear"/>
            <w:tcMar>
              <w:top w:w="0" w:type="dxa"/>
              <w:left w:w="0" w:type="dxa"/>
              <w:bottom w:w="0" w:type="dxa"/>
              <w:right w:w="0" w:type="dxa"/>
            </w:tcMar>
            <w:vAlign w:val="top"/>
          </w:tcPr>
          <w:p w14:paraId="7D1800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364" w:type="dxa"/>
            <w:tcBorders>
              <w:top w:val="nil"/>
              <w:left w:val="nil"/>
              <w:bottom w:val="single" w:color="auto" w:sz="8" w:space="0"/>
              <w:right w:val="single" w:color="auto" w:sz="8" w:space="0"/>
            </w:tcBorders>
            <w:shd w:val="clear"/>
            <w:tcMar>
              <w:top w:w="0" w:type="dxa"/>
              <w:left w:w="0" w:type="dxa"/>
              <w:bottom w:w="0" w:type="dxa"/>
              <w:right w:w="0" w:type="dxa"/>
            </w:tcMar>
            <w:vAlign w:val="top"/>
          </w:tcPr>
          <w:p w14:paraId="3DDCCA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339" w:type="dxa"/>
            <w:tcBorders>
              <w:top w:val="nil"/>
              <w:left w:val="nil"/>
              <w:bottom w:val="single" w:color="auto" w:sz="8" w:space="0"/>
              <w:right w:val="single" w:color="auto" w:sz="8" w:space="0"/>
            </w:tcBorders>
            <w:shd w:val="clear"/>
            <w:tcMar>
              <w:top w:w="0" w:type="dxa"/>
              <w:left w:w="0" w:type="dxa"/>
              <w:bottom w:w="0" w:type="dxa"/>
              <w:right w:w="0" w:type="dxa"/>
            </w:tcMar>
            <w:vAlign w:val="top"/>
          </w:tcPr>
          <w:p w14:paraId="21BF51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213" w:type="dxa"/>
            <w:tcBorders>
              <w:top w:val="nil"/>
              <w:left w:val="nil"/>
              <w:bottom w:val="single" w:color="auto" w:sz="8" w:space="0"/>
              <w:right w:val="single" w:color="auto" w:sz="8" w:space="0"/>
            </w:tcBorders>
            <w:shd w:val="clear"/>
            <w:tcMar>
              <w:top w:w="0" w:type="dxa"/>
              <w:left w:w="0" w:type="dxa"/>
              <w:bottom w:w="0" w:type="dxa"/>
              <w:right w:w="0" w:type="dxa"/>
            </w:tcMar>
            <w:vAlign w:val="top"/>
          </w:tcPr>
          <w:p w14:paraId="4209C8C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250" w:type="dxa"/>
            <w:tcBorders>
              <w:top w:val="nil"/>
              <w:left w:val="nil"/>
              <w:bottom w:val="single" w:color="auto" w:sz="8" w:space="0"/>
              <w:right w:val="single" w:color="auto" w:sz="8" w:space="0"/>
            </w:tcBorders>
            <w:shd w:val="clear"/>
            <w:tcMar>
              <w:top w:w="0" w:type="dxa"/>
              <w:left w:w="0" w:type="dxa"/>
              <w:bottom w:w="0" w:type="dxa"/>
              <w:right w:w="0" w:type="dxa"/>
            </w:tcMar>
            <w:vAlign w:val="top"/>
          </w:tcPr>
          <w:p w14:paraId="75DA68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504" w:type="dxa"/>
            <w:tcBorders>
              <w:top w:val="nil"/>
              <w:left w:val="nil"/>
              <w:bottom w:val="single" w:color="auto" w:sz="8" w:space="0"/>
              <w:right w:val="single" w:color="auto" w:sz="8" w:space="0"/>
            </w:tcBorders>
            <w:shd w:val="clear"/>
            <w:tcMar>
              <w:top w:w="0" w:type="dxa"/>
              <w:left w:w="0" w:type="dxa"/>
              <w:bottom w:w="0" w:type="dxa"/>
              <w:right w:w="0" w:type="dxa"/>
            </w:tcMar>
            <w:vAlign w:val="top"/>
          </w:tcPr>
          <w:p w14:paraId="767130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r>
      <w:tr w14:paraId="3D225C0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65" w:hRule="atLeast"/>
        </w:trPr>
        <w:tc>
          <w:tcPr>
            <w:tcW w:w="654" w:type="dxa"/>
            <w:tcBorders>
              <w:top w:val="nil"/>
              <w:left w:val="single" w:color="auto" w:sz="8" w:space="0"/>
              <w:bottom w:val="single" w:color="000000" w:sz="8" w:space="0"/>
              <w:right w:val="single" w:color="000000" w:sz="8" w:space="0"/>
            </w:tcBorders>
            <w:shd w:val="clear"/>
            <w:tcMar>
              <w:top w:w="0" w:type="dxa"/>
              <w:left w:w="0" w:type="dxa"/>
              <w:bottom w:w="0" w:type="dxa"/>
              <w:right w:w="0" w:type="dxa"/>
            </w:tcMar>
            <w:vAlign w:val="top"/>
          </w:tcPr>
          <w:p w14:paraId="2F4020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011"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70608B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2099"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115EAE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604"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5779A1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275"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46AD09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466"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413055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364"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28A374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339"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4AB143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213"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7B0CC6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250"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6E0CC9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504" w:type="dxa"/>
            <w:tcBorders>
              <w:top w:val="nil"/>
              <w:left w:val="single" w:color="000000" w:sz="8" w:space="0"/>
              <w:bottom w:val="single" w:color="000000" w:sz="8" w:space="0"/>
              <w:right w:val="single" w:color="auto" w:sz="8" w:space="0"/>
            </w:tcBorders>
            <w:shd w:val="clear"/>
            <w:tcMar>
              <w:top w:w="0" w:type="dxa"/>
              <w:left w:w="0" w:type="dxa"/>
              <w:bottom w:w="0" w:type="dxa"/>
              <w:right w:w="0" w:type="dxa"/>
            </w:tcMar>
            <w:vAlign w:val="top"/>
          </w:tcPr>
          <w:p w14:paraId="685027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r>
      <w:tr w14:paraId="61B35F8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65" w:hRule="atLeast"/>
        </w:trPr>
        <w:tc>
          <w:tcPr>
            <w:tcW w:w="654" w:type="dxa"/>
            <w:tcBorders>
              <w:top w:val="nil"/>
              <w:left w:val="single" w:color="auto" w:sz="8" w:space="0"/>
              <w:bottom w:val="single" w:color="000000" w:sz="8" w:space="0"/>
              <w:right w:val="single" w:color="000000" w:sz="8" w:space="0"/>
            </w:tcBorders>
            <w:shd w:val="clear"/>
            <w:tcMar>
              <w:top w:w="0" w:type="dxa"/>
              <w:left w:w="0" w:type="dxa"/>
              <w:bottom w:w="0" w:type="dxa"/>
              <w:right w:w="0" w:type="dxa"/>
            </w:tcMar>
            <w:vAlign w:val="top"/>
          </w:tcPr>
          <w:p w14:paraId="422A26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011"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6A40A7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2099"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0B70F5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604"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237E8C5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275"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1AF5CF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466"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524E99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364"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3CE01C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339"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23A624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213"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41A4E4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250"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4B5FF4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504" w:type="dxa"/>
            <w:tcBorders>
              <w:top w:val="nil"/>
              <w:left w:val="single" w:color="000000" w:sz="8" w:space="0"/>
              <w:bottom w:val="single" w:color="000000" w:sz="8" w:space="0"/>
              <w:right w:val="single" w:color="auto" w:sz="8" w:space="0"/>
            </w:tcBorders>
            <w:shd w:val="clear"/>
            <w:tcMar>
              <w:top w:w="0" w:type="dxa"/>
              <w:left w:w="0" w:type="dxa"/>
              <w:bottom w:w="0" w:type="dxa"/>
              <w:right w:w="0" w:type="dxa"/>
            </w:tcMar>
            <w:vAlign w:val="top"/>
          </w:tcPr>
          <w:p w14:paraId="086495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r>
      <w:tr w14:paraId="3951939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65" w:hRule="atLeast"/>
        </w:trPr>
        <w:tc>
          <w:tcPr>
            <w:tcW w:w="654" w:type="dxa"/>
            <w:tcBorders>
              <w:top w:val="nil"/>
              <w:left w:val="single" w:color="auto" w:sz="8" w:space="0"/>
              <w:bottom w:val="single" w:color="000000" w:sz="8" w:space="0"/>
              <w:right w:val="single" w:color="000000" w:sz="8" w:space="0"/>
            </w:tcBorders>
            <w:shd w:val="clear"/>
            <w:tcMar>
              <w:top w:w="0" w:type="dxa"/>
              <w:left w:w="0" w:type="dxa"/>
              <w:bottom w:w="0" w:type="dxa"/>
              <w:right w:w="0" w:type="dxa"/>
            </w:tcMar>
            <w:vAlign w:val="top"/>
          </w:tcPr>
          <w:p w14:paraId="07AC6A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011"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3009EF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2099"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17441E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604"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75ABA8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275"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0A5A9E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466"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0ACB44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364"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4B88AD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339"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01D3F0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213"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473A0D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250"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736EF8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504" w:type="dxa"/>
            <w:tcBorders>
              <w:top w:val="nil"/>
              <w:left w:val="single" w:color="000000" w:sz="8" w:space="0"/>
              <w:bottom w:val="single" w:color="000000" w:sz="8" w:space="0"/>
              <w:right w:val="single" w:color="auto" w:sz="8" w:space="0"/>
            </w:tcBorders>
            <w:shd w:val="clear"/>
            <w:tcMar>
              <w:top w:w="0" w:type="dxa"/>
              <w:left w:w="0" w:type="dxa"/>
              <w:bottom w:w="0" w:type="dxa"/>
              <w:right w:w="0" w:type="dxa"/>
            </w:tcMar>
            <w:vAlign w:val="top"/>
          </w:tcPr>
          <w:p w14:paraId="7F78B5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r>
      <w:tr w14:paraId="2C7577D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65" w:hRule="atLeast"/>
        </w:trPr>
        <w:tc>
          <w:tcPr>
            <w:tcW w:w="654" w:type="dxa"/>
            <w:tcBorders>
              <w:top w:val="nil"/>
              <w:left w:val="single" w:color="auto" w:sz="8" w:space="0"/>
              <w:bottom w:val="single" w:color="000000" w:sz="8" w:space="0"/>
              <w:right w:val="single" w:color="000000" w:sz="8" w:space="0"/>
            </w:tcBorders>
            <w:shd w:val="clear"/>
            <w:tcMar>
              <w:top w:w="0" w:type="dxa"/>
              <w:left w:w="0" w:type="dxa"/>
              <w:bottom w:w="0" w:type="dxa"/>
              <w:right w:w="0" w:type="dxa"/>
            </w:tcMar>
            <w:vAlign w:val="top"/>
          </w:tcPr>
          <w:p w14:paraId="12623F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011"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4E2B95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2099"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629716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604"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1090BE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275"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614DB2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466"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4A432F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364"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62AE7C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339"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6A5121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213"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30F3E4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250"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2C9617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504" w:type="dxa"/>
            <w:tcBorders>
              <w:top w:val="nil"/>
              <w:left w:val="single" w:color="000000" w:sz="8" w:space="0"/>
              <w:bottom w:val="single" w:color="000000" w:sz="8" w:space="0"/>
              <w:right w:val="single" w:color="auto" w:sz="8" w:space="0"/>
            </w:tcBorders>
            <w:shd w:val="clear"/>
            <w:tcMar>
              <w:top w:w="0" w:type="dxa"/>
              <w:left w:w="0" w:type="dxa"/>
              <w:bottom w:w="0" w:type="dxa"/>
              <w:right w:w="0" w:type="dxa"/>
            </w:tcMar>
            <w:vAlign w:val="top"/>
          </w:tcPr>
          <w:p w14:paraId="28AA4E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r>
      <w:tr w14:paraId="3FDA54A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65" w:hRule="atLeast"/>
        </w:trPr>
        <w:tc>
          <w:tcPr>
            <w:tcW w:w="654" w:type="dxa"/>
            <w:tcBorders>
              <w:top w:val="nil"/>
              <w:left w:val="single" w:color="auto" w:sz="8" w:space="0"/>
              <w:bottom w:val="single" w:color="000000" w:sz="8" w:space="0"/>
              <w:right w:val="single" w:color="000000" w:sz="8" w:space="0"/>
            </w:tcBorders>
            <w:shd w:val="clear"/>
            <w:tcMar>
              <w:top w:w="0" w:type="dxa"/>
              <w:left w:w="0" w:type="dxa"/>
              <w:bottom w:w="0" w:type="dxa"/>
              <w:right w:w="0" w:type="dxa"/>
            </w:tcMar>
            <w:vAlign w:val="top"/>
          </w:tcPr>
          <w:p w14:paraId="6D7633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011"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68C02D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2099"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1C3C27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604"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18CFF2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275"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03C891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466"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412B24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364"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5ED57B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339"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44C25D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213"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5C79F0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250"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1B49E8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504" w:type="dxa"/>
            <w:tcBorders>
              <w:top w:val="nil"/>
              <w:left w:val="single" w:color="000000" w:sz="8" w:space="0"/>
              <w:bottom w:val="single" w:color="000000" w:sz="8" w:space="0"/>
              <w:right w:val="single" w:color="auto" w:sz="8" w:space="0"/>
            </w:tcBorders>
            <w:shd w:val="clear"/>
            <w:tcMar>
              <w:top w:w="0" w:type="dxa"/>
              <w:left w:w="0" w:type="dxa"/>
              <w:bottom w:w="0" w:type="dxa"/>
              <w:right w:w="0" w:type="dxa"/>
            </w:tcMar>
            <w:vAlign w:val="top"/>
          </w:tcPr>
          <w:p w14:paraId="122784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r>
      <w:tr w14:paraId="7407EED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65" w:hRule="atLeast"/>
        </w:trPr>
        <w:tc>
          <w:tcPr>
            <w:tcW w:w="654" w:type="dxa"/>
            <w:tcBorders>
              <w:top w:val="nil"/>
              <w:left w:val="single" w:color="auto" w:sz="8" w:space="0"/>
              <w:bottom w:val="single" w:color="000000" w:sz="8" w:space="0"/>
              <w:right w:val="single" w:color="000000" w:sz="8" w:space="0"/>
            </w:tcBorders>
            <w:shd w:val="clear"/>
            <w:tcMar>
              <w:top w:w="0" w:type="dxa"/>
              <w:left w:w="0" w:type="dxa"/>
              <w:bottom w:w="0" w:type="dxa"/>
              <w:right w:w="0" w:type="dxa"/>
            </w:tcMar>
            <w:vAlign w:val="top"/>
          </w:tcPr>
          <w:p w14:paraId="10BA85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011"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70C8D8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2099"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333AAD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604"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60CE5E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275"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5FF1A2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466"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51BE30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364"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5147CD8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339"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2FFE6D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213"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4A9815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250"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081437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c>
          <w:tcPr>
            <w:tcW w:w="1504" w:type="dxa"/>
            <w:tcBorders>
              <w:top w:val="nil"/>
              <w:left w:val="single" w:color="000000" w:sz="8" w:space="0"/>
              <w:bottom w:val="single" w:color="000000" w:sz="8" w:space="0"/>
              <w:right w:val="single" w:color="auto" w:sz="8" w:space="0"/>
            </w:tcBorders>
            <w:shd w:val="clear"/>
            <w:tcMar>
              <w:top w:w="0" w:type="dxa"/>
              <w:left w:w="0" w:type="dxa"/>
              <w:bottom w:w="0" w:type="dxa"/>
              <w:right w:w="0" w:type="dxa"/>
            </w:tcMar>
            <w:vAlign w:val="top"/>
          </w:tcPr>
          <w:p w14:paraId="5D3331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pPr>
            <w:r>
              <w:rPr>
                <w:rFonts w:hint="default" w:ascii="仿宋_GB2312" w:hAnsi="宋体" w:eastAsia="仿宋_GB2312" w:cs="仿宋_GB2312"/>
                <w:kern w:val="0"/>
                <w:sz w:val="24"/>
                <w:szCs w:val="24"/>
                <w:bdr w:val="none" w:color="auto" w:sz="0" w:space="0"/>
                <w:lang w:val="en-US" w:eastAsia="zh-CN" w:bidi="ar"/>
              </w:rPr>
              <w:t> </w:t>
            </w:r>
          </w:p>
        </w:tc>
      </w:tr>
      <w:tr w14:paraId="734897E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565" w:hRule="atLeast"/>
        </w:trPr>
        <w:tc>
          <w:tcPr>
            <w:tcW w:w="654" w:type="dxa"/>
            <w:tcBorders>
              <w:top w:val="nil"/>
              <w:left w:val="single" w:color="auto" w:sz="8" w:space="0"/>
              <w:bottom w:val="single" w:color="000000" w:sz="8" w:space="0"/>
              <w:right w:val="single" w:color="000000" w:sz="8" w:space="0"/>
            </w:tcBorders>
            <w:shd w:val="clear"/>
            <w:tcMar>
              <w:top w:w="0" w:type="dxa"/>
              <w:left w:w="0" w:type="dxa"/>
              <w:bottom w:w="0" w:type="dxa"/>
              <w:right w:w="0" w:type="dxa"/>
            </w:tcMar>
            <w:vAlign w:val="top"/>
          </w:tcPr>
          <w:p w14:paraId="12D39F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c>
          <w:tcPr>
            <w:tcW w:w="1011"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4B054C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c>
          <w:tcPr>
            <w:tcW w:w="2099"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0872FBA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c>
          <w:tcPr>
            <w:tcW w:w="1604"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2F6B58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c>
          <w:tcPr>
            <w:tcW w:w="1275"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5DB87A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c>
          <w:tcPr>
            <w:tcW w:w="1466"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113E3C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c>
          <w:tcPr>
            <w:tcW w:w="1364"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45D3F2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c>
          <w:tcPr>
            <w:tcW w:w="1339"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45352A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c>
          <w:tcPr>
            <w:tcW w:w="1213"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445F6D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c>
          <w:tcPr>
            <w:tcW w:w="1250" w:type="dxa"/>
            <w:tcBorders>
              <w:top w:val="nil"/>
              <w:left w:val="single" w:color="000000" w:sz="8" w:space="0"/>
              <w:bottom w:val="single" w:color="000000" w:sz="8" w:space="0"/>
              <w:right w:val="single" w:color="000000" w:sz="8" w:space="0"/>
            </w:tcBorders>
            <w:shd w:val="clear"/>
            <w:tcMar>
              <w:top w:w="0" w:type="dxa"/>
              <w:left w:w="0" w:type="dxa"/>
              <w:bottom w:w="0" w:type="dxa"/>
              <w:right w:w="0" w:type="dxa"/>
            </w:tcMar>
            <w:vAlign w:val="top"/>
          </w:tcPr>
          <w:p w14:paraId="450B35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c>
          <w:tcPr>
            <w:tcW w:w="1504" w:type="dxa"/>
            <w:tcBorders>
              <w:top w:val="nil"/>
              <w:left w:val="single" w:color="000000" w:sz="8" w:space="0"/>
              <w:bottom w:val="single" w:color="000000" w:sz="8" w:space="0"/>
              <w:right w:val="single" w:color="auto" w:sz="8" w:space="0"/>
            </w:tcBorders>
            <w:shd w:val="clear"/>
            <w:tcMar>
              <w:top w:w="0" w:type="dxa"/>
              <w:left w:w="0" w:type="dxa"/>
              <w:bottom w:w="0" w:type="dxa"/>
              <w:right w:w="0" w:type="dxa"/>
            </w:tcMar>
            <w:vAlign w:val="top"/>
          </w:tcPr>
          <w:p w14:paraId="5529F1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r>
      <w:tr w14:paraId="4474931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65" w:hRule="atLeast"/>
        </w:trPr>
        <w:tc>
          <w:tcPr>
            <w:tcW w:w="654" w:type="dxa"/>
            <w:tcBorders>
              <w:top w:val="nil"/>
              <w:left w:val="single" w:color="auto" w:sz="8" w:space="0"/>
              <w:bottom w:val="single" w:color="auto" w:sz="8" w:space="0"/>
              <w:right w:val="single" w:color="000000" w:sz="8" w:space="0"/>
            </w:tcBorders>
            <w:shd w:val="clear"/>
            <w:tcMar>
              <w:top w:w="0" w:type="dxa"/>
              <w:left w:w="0" w:type="dxa"/>
              <w:bottom w:w="0" w:type="dxa"/>
              <w:right w:w="0" w:type="dxa"/>
            </w:tcMar>
            <w:vAlign w:val="top"/>
          </w:tcPr>
          <w:p w14:paraId="5A8FB7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c>
          <w:tcPr>
            <w:tcW w:w="1011" w:type="dxa"/>
            <w:tcBorders>
              <w:top w:val="nil"/>
              <w:left w:val="single" w:color="000000" w:sz="8" w:space="0"/>
              <w:bottom w:val="single" w:color="auto" w:sz="8" w:space="0"/>
              <w:right w:val="single" w:color="000000" w:sz="8" w:space="0"/>
            </w:tcBorders>
            <w:shd w:val="clear"/>
            <w:tcMar>
              <w:top w:w="0" w:type="dxa"/>
              <w:left w:w="0" w:type="dxa"/>
              <w:bottom w:w="0" w:type="dxa"/>
              <w:right w:w="0" w:type="dxa"/>
            </w:tcMar>
            <w:vAlign w:val="top"/>
          </w:tcPr>
          <w:p w14:paraId="40EB09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c>
          <w:tcPr>
            <w:tcW w:w="2099" w:type="dxa"/>
            <w:tcBorders>
              <w:top w:val="nil"/>
              <w:left w:val="single" w:color="000000" w:sz="8" w:space="0"/>
              <w:bottom w:val="single" w:color="auto" w:sz="8" w:space="0"/>
              <w:right w:val="single" w:color="000000" w:sz="8" w:space="0"/>
            </w:tcBorders>
            <w:shd w:val="clear"/>
            <w:tcMar>
              <w:top w:w="0" w:type="dxa"/>
              <w:left w:w="0" w:type="dxa"/>
              <w:bottom w:w="0" w:type="dxa"/>
              <w:right w:w="0" w:type="dxa"/>
            </w:tcMar>
            <w:vAlign w:val="top"/>
          </w:tcPr>
          <w:p w14:paraId="110383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c>
          <w:tcPr>
            <w:tcW w:w="1604" w:type="dxa"/>
            <w:tcBorders>
              <w:top w:val="nil"/>
              <w:left w:val="single" w:color="000000" w:sz="8" w:space="0"/>
              <w:bottom w:val="single" w:color="auto" w:sz="8" w:space="0"/>
              <w:right w:val="single" w:color="000000" w:sz="8" w:space="0"/>
            </w:tcBorders>
            <w:shd w:val="clear"/>
            <w:tcMar>
              <w:top w:w="0" w:type="dxa"/>
              <w:left w:w="0" w:type="dxa"/>
              <w:bottom w:w="0" w:type="dxa"/>
              <w:right w:w="0" w:type="dxa"/>
            </w:tcMar>
            <w:vAlign w:val="top"/>
          </w:tcPr>
          <w:p w14:paraId="51BC35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c>
          <w:tcPr>
            <w:tcW w:w="1275" w:type="dxa"/>
            <w:tcBorders>
              <w:top w:val="nil"/>
              <w:left w:val="single" w:color="000000" w:sz="8" w:space="0"/>
              <w:bottom w:val="single" w:color="auto" w:sz="8" w:space="0"/>
              <w:right w:val="single" w:color="000000" w:sz="8" w:space="0"/>
            </w:tcBorders>
            <w:shd w:val="clear"/>
            <w:tcMar>
              <w:top w:w="0" w:type="dxa"/>
              <w:left w:w="0" w:type="dxa"/>
              <w:bottom w:w="0" w:type="dxa"/>
              <w:right w:w="0" w:type="dxa"/>
            </w:tcMar>
            <w:vAlign w:val="top"/>
          </w:tcPr>
          <w:p w14:paraId="58F77C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c>
          <w:tcPr>
            <w:tcW w:w="1466" w:type="dxa"/>
            <w:tcBorders>
              <w:top w:val="nil"/>
              <w:left w:val="single" w:color="000000" w:sz="8" w:space="0"/>
              <w:bottom w:val="single" w:color="auto" w:sz="8" w:space="0"/>
              <w:right w:val="single" w:color="000000" w:sz="8" w:space="0"/>
            </w:tcBorders>
            <w:shd w:val="clear"/>
            <w:tcMar>
              <w:top w:w="0" w:type="dxa"/>
              <w:left w:w="0" w:type="dxa"/>
              <w:bottom w:w="0" w:type="dxa"/>
              <w:right w:w="0" w:type="dxa"/>
            </w:tcMar>
            <w:vAlign w:val="top"/>
          </w:tcPr>
          <w:p w14:paraId="21F5E7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c>
          <w:tcPr>
            <w:tcW w:w="1364" w:type="dxa"/>
            <w:tcBorders>
              <w:top w:val="nil"/>
              <w:left w:val="single" w:color="000000" w:sz="8" w:space="0"/>
              <w:bottom w:val="single" w:color="auto" w:sz="8" w:space="0"/>
              <w:right w:val="single" w:color="000000" w:sz="8" w:space="0"/>
            </w:tcBorders>
            <w:shd w:val="clear"/>
            <w:tcMar>
              <w:top w:w="0" w:type="dxa"/>
              <w:left w:w="0" w:type="dxa"/>
              <w:bottom w:w="0" w:type="dxa"/>
              <w:right w:w="0" w:type="dxa"/>
            </w:tcMar>
            <w:vAlign w:val="top"/>
          </w:tcPr>
          <w:p w14:paraId="22E798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c>
          <w:tcPr>
            <w:tcW w:w="1339" w:type="dxa"/>
            <w:tcBorders>
              <w:top w:val="nil"/>
              <w:left w:val="single" w:color="000000" w:sz="8" w:space="0"/>
              <w:bottom w:val="single" w:color="auto" w:sz="8" w:space="0"/>
              <w:right w:val="single" w:color="000000" w:sz="8" w:space="0"/>
            </w:tcBorders>
            <w:shd w:val="clear"/>
            <w:tcMar>
              <w:top w:w="0" w:type="dxa"/>
              <w:left w:w="0" w:type="dxa"/>
              <w:bottom w:w="0" w:type="dxa"/>
              <w:right w:w="0" w:type="dxa"/>
            </w:tcMar>
            <w:vAlign w:val="top"/>
          </w:tcPr>
          <w:p w14:paraId="63F48E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c>
          <w:tcPr>
            <w:tcW w:w="1213" w:type="dxa"/>
            <w:tcBorders>
              <w:top w:val="nil"/>
              <w:left w:val="single" w:color="000000" w:sz="8" w:space="0"/>
              <w:bottom w:val="single" w:color="auto" w:sz="8" w:space="0"/>
              <w:right w:val="single" w:color="000000" w:sz="8" w:space="0"/>
            </w:tcBorders>
            <w:shd w:val="clear"/>
            <w:tcMar>
              <w:top w:w="0" w:type="dxa"/>
              <w:left w:w="0" w:type="dxa"/>
              <w:bottom w:w="0" w:type="dxa"/>
              <w:right w:w="0" w:type="dxa"/>
            </w:tcMar>
            <w:vAlign w:val="top"/>
          </w:tcPr>
          <w:p w14:paraId="158107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c>
          <w:tcPr>
            <w:tcW w:w="1250" w:type="dxa"/>
            <w:tcBorders>
              <w:top w:val="nil"/>
              <w:left w:val="single" w:color="000000" w:sz="8" w:space="0"/>
              <w:bottom w:val="single" w:color="auto" w:sz="8" w:space="0"/>
              <w:right w:val="single" w:color="000000" w:sz="8" w:space="0"/>
            </w:tcBorders>
            <w:shd w:val="clear"/>
            <w:tcMar>
              <w:top w:w="0" w:type="dxa"/>
              <w:left w:w="0" w:type="dxa"/>
              <w:bottom w:w="0" w:type="dxa"/>
              <w:right w:w="0" w:type="dxa"/>
            </w:tcMar>
            <w:vAlign w:val="top"/>
          </w:tcPr>
          <w:p w14:paraId="7B4790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c>
          <w:tcPr>
            <w:tcW w:w="1504" w:type="dxa"/>
            <w:tcBorders>
              <w:top w:val="nil"/>
              <w:left w:val="single" w:color="000000" w:sz="8" w:space="0"/>
              <w:bottom w:val="single" w:color="auto" w:sz="8" w:space="0"/>
              <w:right w:val="single" w:color="auto" w:sz="8" w:space="0"/>
            </w:tcBorders>
            <w:shd w:val="clear"/>
            <w:tcMar>
              <w:top w:w="0" w:type="dxa"/>
              <w:left w:w="0" w:type="dxa"/>
              <w:bottom w:w="0" w:type="dxa"/>
              <w:right w:w="0" w:type="dxa"/>
            </w:tcMar>
            <w:vAlign w:val="top"/>
          </w:tcPr>
          <w:p w14:paraId="440523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jc w:val="left"/>
            </w:pPr>
            <w:r>
              <w:rPr>
                <w:rFonts w:hint="default" w:ascii="仿宋_GB2312" w:hAnsi="宋体" w:eastAsia="仿宋_GB2312" w:cs="仿宋_GB2312"/>
                <w:kern w:val="0"/>
                <w:sz w:val="32"/>
                <w:szCs w:val="32"/>
                <w:bdr w:val="none" w:color="auto" w:sz="0" w:space="0"/>
                <w:lang w:val="en-US" w:eastAsia="zh-CN" w:bidi="ar"/>
              </w:rPr>
              <w:t> </w:t>
            </w:r>
          </w:p>
        </w:tc>
      </w:tr>
    </w:tbl>
    <w:p w14:paraId="416540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hint="default" w:ascii="Calibri" w:hAnsi="Calibri" w:eastAsia="宋体" w:cs="Calibri"/>
          <w:i w:val="0"/>
          <w:iCs w:val="0"/>
          <w:caps w:val="0"/>
          <w:color w:val="000000"/>
          <w:spacing w:val="0"/>
          <w:kern w:val="0"/>
          <w:sz w:val="21"/>
          <w:szCs w:val="21"/>
          <w:bdr w:val="none" w:color="auto" w:sz="0" w:space="0"/>
          <w:lang w:val="en-US" w:eastAsia="zh-CN" w:bidi="ar"/>
        </w:rPr>
        <w:t> </w:t>
      </w:r>
    </w:p>
    <w:p w14:paraId="556CD1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Calibri" w:hAnsi="Calibri" w:eastAsia="宋体" w:cs="Calibri"/>
          <w:i w:val="0"/>
          <w:iCs w:val="0"/>
          <w:caps w:val="0"/>
          <w:color w:val="000000"/>
          <w:spacing w:val="0"/>
          <w:kern w:val="0"/>
          <w:sz w:val="21"/>
          <w:szCs w:val="21"/>
          <w:bdr w:val="none" w:color="auto" w:sz="0" w:space="0"/>
          <w:lang w:val="en-US" w:eastAsia="zh-CN" w:bidi="ar"/>
        </w:rPr>
        <w:t> </w:t>
      </w:r>
    </w:p>
    <w:p w14:paraId="21B99CF5">
      <w:pPr>
        <w:keepNext w:val="0"/>
        <w:keepLines w:val="0"/>
        <w:widowControl/>
        <w:suppressLineNumbers w:val="0"/>
        <w:jc w:val="left"/>
      </w:pPr>
    </w:p>
    <w:p w14:paraId="56DCAA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方正小标宋简体" w:hAnsi="方正小标宋简体" w:eastAsia="方正小标宋简体" w:cs="方正小标宋简体"/>
          <w:i w:val="0"/>
          <w:iCs w:val="0"/>
          <w:caps w:val="0"/>
          <w:color w:val="000000"/>
          <w:spacing w:val="0"/>
          <w:kern w:val="0"/>
          <w:sz w:val="44"/>
          <w:szCs w:val="44"/>
          <w:bdr w:val="none" w:color="auto" w:sz="0" w:space="0"/>
          <w:lang w:val="en-US" w:eastAsia="zh-CN" w:bidi="ar"/>
        </w:rPr>
        <w:t>新田县人民政府</w:t>
      </w:r>
    </w:p>
    <w:p w14:paraId="73CC90F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方正小标宋简体" w:hAnsi="方正小标宋简体" w:eastAsia="方正小标宋简体" w:cs="方正小标宋简体"/>
          <w:i w:val="0"/>
          <w:iCs w:val="0"/>
          <w:caps w:val="0"/>
          <w:color w:val="000000"/>
          <w:spacing w:val="0"/>
          <w:kern w:val="0"/>
          <w:sz w:val="44"/>
          <w:szCs w:val="44"/>
          <w:bdr w:val="none" w:color="auto" w:sz="0" w:space="0"/>
          <w:lang w:val="en-US" w:eastAsia="zh-CN" w:bidi="ar"/>
        </w:rPr>
        <w:t>关于划定秸秆禁烧区和限烧区的通告</w:t>
      </w:r>
    </w:p>
    <w:p w14:paraId="582117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新政函〔2024〕95号</w:t>
      </w:r>
    </w:p>
    <w:p w14:paraId="58D095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XTDR-2024-00005</w:t>
      </w:r>
    </w:p>
    <w:p w14:paraId="4B151A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pPr>
      <w:r>
        <w:rPr>
          <w:rFonts w:ascii="楷体_GB2312" w:hAnsi="宋体" w:eastAsia="楷体_GB2312" w:cs="楷体_GB2312"/>
          <w:i w:val="0"/>
          <w:iCs w:val="0"/>
          <w:caps w:val="0"/>
          <w:color w:val="000000"/>
          <w:spacing w:val="0"/>
          <w:kern w:val="0"/>
          <w:sz w:val="21"/>
          <w:szCs w:val="21"/>
          <w:bdr w:val="none" w:color="auto" w:sz="0" w:space="0"/>
          <w:lang w:val="en-US" w:eastAsia="zh-CN" w:bidi="ar"/>
        </w:rPr>
        <w:t> </w:t>
      </w:r>
    </w:p>
    <w:p w14:paraId="7FD375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为科学有效管控露天焚烧秸秆，减少对环境空气质量的影响，保障人民群众生命财产安全，根据《中华人民共和国大气污染防治法》《湖南省大气污染防治条例》《湖南省重污染天气防治若干规定》等有关规定，结合我县实际，现就划定新田县秸秆禁烧区和限烧区的有关事项通告如下：</w:t>
      </w:r>
    </w:p>
    <w:p w14:paraId="5EE9D8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一、禁烧的秸秆种类</w:t>
      </w:r>
    </w:p>
    <w:p w14:paraId="0EABE0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本通告所指秸秆包括水稻、玉米、油菜、豆类、薯类、甘蔗、烟草等农作物收获籽实后的剩余部分，露天焚烧树枝、落叶、杂草、垃圾等参照秸秆管理。</w:t>
      </w:r>
    </w:p>
    <w:p w14:paraId="32D703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二、秸秆禁烧区及管控要求</w:t>
      </w:r>
    </w:p>
    <w:p w14:paraId="1A71A2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ascii="楷体" w:hAnsi="楷体" w:eastAsia="楷体" w:cs="楷体"/>
          <w:b/>
          <w:bCs/>
          <w:i w:val="0"/>
          <w:iCs w:val="0"/>
          <w:caps w:val="0"/>
          <w:color w:val="000000"/>
          <w:spacing w:val="0"/>
          <w:kern w:val="0"/>
          <w:sz w:val="32"/>
          <w:szCs w:val="32"/>
          <w:bdr w:val="none" w:color="auto" w:sz="0" w:space="0"/>
          <w:lang w:val="en-US" w:eastAsia="zh-CN" w:bidi="ar"/>
        </w:rPr>
        <w:t>（一）秸秆禁烧区</w:t>
      </w:r>
    </w:p>
    <w:p w14:paraId="13A9DD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1.县城建成区，及沿边界外延1公里范围：</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朝阳社区、大历县村、洞源村、蛟龙塘村、</w:t>
      </w:r>
      <w:r>
        <w:rPr>
          <w:rFonts w:hint="eastAsia" w:ascii="宋体" w:hAnsi="宋体" w:eastAsia="宋体" w:cs="宋体"/>
          <w:i w:val="0"/>
          <w:iCs w:val="0"/>
          <w:caps w:val="0"/>
          <w:color w:val="000000"/>
          <w:spacing w:val="0"/>
          <w:kern w:val="0"/>
          <w:sz w:val="32"/>
          <w:szCs w:val="32"/>
          <w:bdr w:val="none" w:color="auto" w:sz="0" w:space="0"/>
          <w:lang w:val="en-US" w:eastAsia="zh-CN" w:bidi="ar"/>
        </w:rPr>
        <w:t>砠</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下村、龙脉塘村、梅湾村、双碧社区、双胜社区、潭田村、小岗村、新华社区、兴泉村、秀峰社区、鱼游村、源头村。</w:t>
      </w:r>
    </w:p>
    <w:p w14:paraId="41BFF0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2.高速公路两侧（以外侧为起点）外延300米范围：</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桂新高速新田段（在建）沿线白杜尧村、潮水铺村、大坪塘社区、大山仁村、定家村、黄沙溪村、刘家桥村、龙井塘村、梅溪村、石甑源村、五柳塘村、小坪塘村、长富村、知市坪社区。</w:t>
      </w:r>
    </w:p>
    <w:p w14:paraId="12611B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3.国道、省道公路干线两侧（以外侧为起点）外延100米范围：</w:t>
      </w:r>
    </w:p>
    <w:p w14:paraId="091235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（1）国道G234道路两侧：</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鳌头社区、白杜村、大元冲村、佃湾村、挂兰村、侯桥村、金陵圩社区、莲花塘村、临河村、龙会寺社区、龙会潭村、龙溪村、龙珠村、磨刀岭村、坪洞村、仁岗村、山林岗村、山田湾村、上游村、神桥村、双溪岭村、下户社区、心安村、永桂城社区、竹林坪村。</w:t>
      </w:r>
    </w:p>
    <w:p w14:paraId="0398384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（2）省道S227、S229、S345道路两侧：</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豪山村、合福坊村、洪仁村、枧头社区、邝胡社区、篮田村、老夏荣社区、乐聪村、李家社区、李郁村、留家田村、龙元茂社区、毛里坪社区、彭梓城村、青龙村、三占塘村、上坪村、十字社区、石古湾村、石门头村、陶市社区、田心村、桐木窝村、土桥坪村、小源村、新圩社区、秀岗村、云溪欧家村、周家村、祖亭下村。</w:t>
      </w:r>
    </w:p>
    <w:p w14:paraId="30F5C9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4.</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各乡镇（街道）辖区范围内的自然保护区、风景名胜区、文物保护单位、油库、粮库、高压输电线路、通讯设施等周围50米以内的区域；全县行政区域内所有林地及距林地边缘50米范围内区域。</w:t>
      </w:r>
    </w:p>
    <w:p w14:paraId="52A153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5.</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法律、法规以及规范性文件规定的其他禁止露天焚烧秸秆的区域。</w:t>
      </w:r>
    </w:p>
    <w:p w14:paraId="17018C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楷体" w:hAnsi="楷体" w:eastAsia="楷体" w:cs="楷体"/>
          <w:b/>
          <w:bCs/>
          <w:i w:val="0"/>
          <w:iCs w:val="0"/>
          <w:caps w:val="0"/>
          <w:color w:val="000000"/>
          <w:spacing w:val="0"/>
          <w:kern w:val="0"/>
          <w:sz w:val="32"/>
          <w:szCs w:val="32"/>
          <w:bdr w:val="none" w:color="auto" w:sz="0" w:space="0"/>
          <w:lang w:val="en-US" w:eastAsia="zh-CN" w:bidi="ar"/>
        </w:rPr>
        <w:t>（二）管控要求</w:t>
      </w:r>
    </w:p>
    <w:p w14:paraId="66C279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禁烧区域实行强制性禁烧管理措施，任何时间、任何气象条件及空气质量状况下，均不允许露天焚烧秸秆。禁烧区设立“秸秆禁烧”明显警示标志。</w:t>
      </w:r>
    </w:p>
    <w:p w14:paraId="042CD4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三、秸秆限烧区及管控要求</w:t>
      </w:r>
    </w:p>
    <w:p w14:paraId="6952E2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楷体" w:hAnsi="楷体" w:eastAsia="楷体" w:cs="楷体"/>
          <w:b/>
          <w:bCs/>
          <w:i w:val="0"/>
          <w:iCs w:val="0"/>
          <w:caps w:val="0"/>
          <w:color w:val="000000"/>
          <w:spacing w:val="0"/>
          <w:kern w:val="0"/>
          <w:sz w:val="32"/>
          <w:szCs w:val="32"/>
          <w:bdr w:val="none" w:color="auto" w:sz="0" w:space="0"/>
          <w:lang w:val="en-US" w:eastAsia="zh-CN" w:bidi="ar"/>
        </w:rPr>
        <w:t>（一）秸秆限烧区</w:t>
      </w:r>
    </w:p>
    <w:p w14:paraId="6B433E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本通告明确的禁烧区外的区域为限烧区。</w:t>
      </w:r>
    </w:p>
    <w:p w14:paraId="25A003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楷体" w:hAnsi="楷体" w:eastAsia="楷体" w:cs="楷体"/>
          <w:b/>
          <w:bCs/>
          <w:i w:val="0"/>
          <w:iCs w:val="0"/>
          <w:caps w:val="0"/>
          <w:color w:val="000000"/>
          <w:spacing w:val="0"/>
          <w:kern w:val="0"/>
          <w:sz w:val="32"/>
          <w:szCs w:val="32"/>
          <w:bdr w:val="none" w:color="auto" w:sz="0" w:space="0"/>
          <w:lang w:val="en-US" w:eastAsia="zh-CN" w:bidi="ar"/>
        </w:rPr>
        <w:t>（二）管控要求</w:t>
      </w:r>
    </w:p>
    <w:p w14:paraId="33CE50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在确保人民生命财产安全、防止大气污染、保护广大人民群众身体健康的前提下，充分考虑气象条件、焚烧地点和方式，可开展有序焚烧。</w:t>
      </w:r>
    </w:p>
    <w:p w14:paraId="6181DC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楷体" w:hAnsi="楷体" w:eastAsia="楷体" w:cs="楷体"/>
          <w:b/>
          <w:bCs/>
          <w:i w:val="0"/>
          <w:iCs w:val="0"/>
          <w:caps w:val="0"/>
          <w:color w:val="000000"/>
          <w:spacing w:val="0"/>
          <w:kern w:val="0"/>
          <w:sz w:val="32"/>
          <w:szCs w:val="32"/>
          <w:bdr w:val="none" w:color="auto" w:sz="0" w:space="0"/>
          <w:lang w:val="en-US" w:eastAsia="zh-CN" w:bidi="ar"/>
        </w:rPr>
        <w:t>（三）限烧区禁烧时段</w:t>
      </w:r>
    </w:p>
    <w:p w14:paraId="1104EA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限烧区内，出现下列情形之一的，应当列入秸秆禁烧时段：</w:t>
      </w:r>
    </w:p>
    <w:p w14:paraId="76F26C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1.风速小、静稳、逆温等不利于大气污染扩散的天气；</w:t>
      </w:r>
    </w:p>
    <w:p w14:paraId="572098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2.下雨天或者秸秆潮湿不能充分燃烧的天气；</w:t>
      </w:r>
    </w:p>
    <w:p w14:paraId="40E13D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3.当日19:00至次日7:00夜间时段；</w:t>
      </w:r>
    </w:p>
    <w:p w14:paraId="791FE3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4.环境空气质量预报达到轻度及以上污染天气；</w:t>
      </w:r>
    </w:p>
    <w:p w14:paraId="686053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5.环境空气质量当日实际监测出现中度及以上污染连续达三小时；</w:t>
      </w:r>
    </w:p>
    <w:p w14:paraId="5CAF03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6.当地已经启动轻度及以上大气污染应对管控措施；</w:t>
      </w:r>
    </w:p>
    <w:p w14:paraId="3B7C57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7.发布三级及以上等级森林火险预警；</w:t>
      </w:r>
    </w:p>
    <w:p w14:paraId="7AC420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8.法律、法规以及规范性文件规定的其他禁止露天焚烧秸秆的时段。</w:t>
      </w:r>
    </w:p>
    <w:p w14:paraId="08DD66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四、</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违反本通告规定，露天焚烧秸秆产生烟尘污染物的，由相关执法部门责令改正，依法给予行政处罚；露天焚烧秸秆且不听劝阻，阻碍国家机关工作人员依法执行职责的，由公安机关依法给予行政处罚；因露天焚烧秸秆引发的违法行为，由相关执法部门依法给予处罚，构成犯罪的，依法追究刑事责任。</w:t>
      </w:r>
    </w:p>
    <w:p w14:paraId="051874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五、</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各乡镇人民政府（街道办事处）负责本行政区域内禁止露天焚烧秸秆工作，采取“疏堵结合”方式，落实秸秆禁烧责任，推进秸秆综合利用。各农业专业合作社、种粮大户等新型经营主体要带头做好秸秆禁烧和综合利用工作。</w:t>
      </w:r>
    </w:p>
    <w:p w14:paraId="5FC7E6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六、</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本通告自公布之日起施行，《新田县人民政府关于禁止露天焚烧农作物秸秆的通告》（新政函〔2021〕112号）同时废止。执行中如遇国家、省市相关政策调整，从其规定。</w:t>
      </w:r>
    </w:p>
    <w:p w14:paraId="4410A3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772A71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附件：新田县秸秆禁烧区和限烧区区划图</w:t>
      </w:r>
    </w:p>
    <w:p w14:paraId="27DF69AC">
      <w:pPr>
        <w:pStyle w:val="2"/>
        <w:keepNext w:val="0"/>
        <w:keepLines w:val="0"/>
        <w:widowControl/>
        <w:suppressLineNumbers w:val="0"/>
        <w:spacing w:before="0" w:beforeAutospacing="0" w:after="0" w:afterAutospacing="0" w:line="560" w:lineRule="atLeast"/>
        <w:ind w:left="0" w:firstLine="640"/>
        <w:jc w:val="left"/>
      </w:pPr>
      <w:r>
        <w:rPr>
          <w:rFonts w:hint="default" w:ascii="仿宋_GB2312" w:eastAsia="仿宋_GB2312" w:cs="仿宋_GB2312"/>
          <w:b/>
          <w:bCs/>
          <w:i w:val="0"/>
          <w:iCs w:val="0"/>
          <w:caps w:val="0"/>
          <w:color w:val="000000"/>
          <w:spacing w:val="0"/>
          <w:sz w:val="32"/>
          <w:szCs w:val="32"/>
        </w:rPr>
        <w:t> </w:t>
      </w:r>
    </w:p>
    <w:p w14:paraId="59931057">
      <w:pPr>
        <w:pStyle w:val="2"/>
        <w:keepNext w:val="0"/>
        <w:keepLines w:val="0"/>
        <w:widowControl/>
        <w:suppressLineNumbers w:val="0"/>
        <w:spacing w:before="0" w:beforeAutospacing="0" w:after="0" w:afterAutospacing="0" w:line="560" w:lineRule="atLeast"/>
        <w:ind w:left="0" w:firstLine="640"/>
        <w:jc w:val="left"/>
      </w:pPr>
      <w:r>
        <w:rPr>
          <w:rFonts w:hint="default" w:ascii="仿宋_GB2312" w:eastAsia="仿宋_GB2312" w:cs="仿宋_GB2312"/>
          <w:b/>
          <w:bCs/>
          <w:i w:val="0"/>
          <w:iCs w:val="0"/>
          <w:caps w:val="0"/>
          <w:color w:val="000000"/>
          <w:spacing w:val="0"/>
          <w:sz w:val="32"/>
          <w:szCs w:val="32"/>
        </w:rPr>
        <w:t> </w:t>
      </w:r>
    </w:p>
    <w:p w14:paraId="2C8E8F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76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新田县人民政府</w:t>
      </w:r>
    </w:p>
    <w:p w14:paraId="4233FE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564"/>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2024年12月31日</w:t>
      </w:r>
    </w:p>
    <w:p w14:paraId="28FBDB31">
      <w:pPr>
        <w:pStyle w:val="2"/>
        <w:keepNext w:val="0"/>
        <w:keepLines w:val="0"/>
        <w:widowControl/>
        <w:suppressLineNumbers w:val="0"/>
        <w:spacing w:before="0" w:beforeAutospacing="0" w:after="0" w:afterAutospacing="0" w:line="560" w:lineRule="atLeast"/>
        <w:jc w:val="left"/>
      </w:pPr>
      <w:r>
        <w:rPr>
          <w:rFonts w:hint="default" w:ascii="Calibri" w:hAnsi="Calibri" w:cs="Calibri"/>
          <w:b/>
          <w:bCs/>
          <w:i w:val="0"/>
          <w:iCs w:val="0"/>
          <w:caps w:val="0"/>
          <w:color w:val="000000"/>
          <w:spacing w:val="0"/>
          <w:sz w:val="36"/>
          <w:szCs w:val="36"/>
        </w:rPr>
        <w:t> </w:t>
      </w:r>
    </w:p>
    <w:p w14:paraId="7EBE0D38">
      <w:pPr>
        <w:pStyle w:val="2"/>
        <w:keepNext w:val="0"/>
        <w:keepLines w:val="0"/>
        <w:widowControl/>
        <w:suppressLineNumbers w:val="0"/>
        <w:spacing w:before="0" w:beforeAutospacing="0" w:after="0" w:afterAutospacing="0" w:line="560" w:lineRule="atLeast"/>
        <w:jc w:val="left"/>
      </w:pPr>
      <w:r>
        <w:rPr>
          <w:rFonts w:hint="default" w:ascii="Calibri" w:hAnsi="Calibri" w:cs="Calibri"/>
          <w:b/>
          <w:bCs/>
          <w:i w:val="0"/>
          <w:iCs w:val="0"/>
          <w:caps w:val="0"/>
          <w:color w:val="000000"/>
          <w:spacing w:val="0"/>
          <w:sz w:val="36"/>
          <w:szCs w:val="36"/>
        </w:rPr>
        <w:t> </w:t>
      </w:r>
    </w:p>
    <w:p w14:paraId="13EC4793">
      <w:pPr>
        <w:pStyle w:val="2"/>
        <w:keepNext w:val="0"/>
        <w:keepLines w:val="0"/>
        <w:widowControl/>
        <w:suppressLineNumbers w:val="0"/>
        <w:spacing w:before="0" w:beforeAutospacing="0" w:after="0" w:afterAutospacing="0" w:line="560" w:lineRule="atLeast"/>
        <w:jc w:val="left"/>
      </w:pPr>
      <w:r>
        <w:rPr>
          <w:rFonts w:hint="default" w:ascii="Calibri" w:hAnsi="Calibri" w:cs="Calibri"/>
          <w:b/>
          <w:bCs/>
          <w:i w:val="0"/>
          <w:iCs w:val="0"/>
          <w:caps w:val="0"/>
          <w:color w:val="000000"/>
          <w:spacing w:val="0"/>
          <w:sz w:val="36"/>
          <w:szCs w:val="36"/>
        </w:rPr>
        <w:t> </w:t>
      </w:r>
    </w:p>
    <w:p w14:paraId="40D014A4">
      <w:pPr>
        <w:pStyle w:val="2"/>
        <w:keepNext w:val="0"/>
        <w:keepLines w:val="0"/>
        <w:widowControl/>
        <w:suppressLineNumbers w:val="0"/>
        <w:spacing w:before="0" w:beforeAutospacing="0" w:after="0" w:afterAutospacing="0" w:line="560" w:lineRule="atLeast"/>
        <w:jc w:val="left"/>
      </w:pPr>
      <w:r>
        <w:rPr>
          <w:rFonts w:hint="default" w:ascii="Calibri" w:hAnsi="Calibri" w:cs="Calibri"/>
          <w:b/>
          <w:bCs/>
          <w:i w:val="0"/>
          <w:iCs w:val="0"/>
          <w:caps w:val="0"/>
          <w:color w:val="000000"/>
          <w:spacing w:val="0"/>
          <w:sz w:val="36"/>
          <w:szCs w:val="36"/>
        </w:rPr>
        <w:t> </w:t>
      </w:r>
    </w:p>
    <w:p w14:paraId="6F66A215">
      <w:pPr>
        <w:pStyle w:val="2"/>
        <w:keepNext w:val="0"/>
        <w:keepLines w:val="0"/>
        <w:widowControl/>
        <w:suppressLineNumbers w:val="0"/>
        <w:spacing w:before="0" w:beforeAutospacing="0" w:after="0" w:afterAutospacing="0" w:line="560" w:lineRule="atLeast"/>
        <w:jc w:val="left"/>
      </w:pPr>
      <w:r>
        <w:rPr>
          <w:rFonts w:hint="eastAsia" w:ascii="宋体" w:hAnsi="宋体" w:eastAsia="宋体" w:cs="宋体"/>
          <w:b/>
          <w:bCs/>
          <w:i w:val="0"/>
          <w:iCs w:val="0"/>
          <w:caps w:val="0"/>
          <w:color w:val="000000"/>
          <w:spacing w:val="0"/>
          <w:sz w:val="36"/>
          <w:szCs w:val="36"/>
        </w:rPr>
        <w:t>附件</w:t>
      </w:r>
    </w:p>
    <w:p w14:paraId="15A5EE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000000"/>
          <w:spacing w:val="0"/>
          <w:kern w:val="0"/>
          <w:sz w:val="24"/>
          <w:szCs w:val="24"/>
          <w:bdr w:val="none" w:color="auto" w:sz="0" w:space="0"/>
          <w:lang w:val="en-US" w:eastAsia="zh-CN" w:bidi="ar"/>
        </w:rPr>
        <w:drawing>
          <wp:inline distT="0" distB="0" distL="114300" distR="114300">
            <wp:extent cx="5269230" cy="7193280"/>
            <wp:effectExtent l="0" t="0" r="3810" b="0"/>
            <wp:docPr id="4"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IMG_260"/>
                    <pic:cNvPicPr>
                      <a:picLocks noChangeAspect="1"/>
                    </pic:cNvPicPr>
                  </pic:nvPicPr>
                  <pic:blipFill>
                    <a:blip r:embed="rId8"/>
                    <a:stretch>
                      <a:fillRect/>
                    </a:stretch>
                  </pic:blipFill>
                  <pic:spPr>
                    <a:xfrm>
                      <a:off x="0" y="0"/>
                      <a:ext cx="5269230" cy="7193280"/>
                    </a:xfrm>
                    <a:prstGeom prst="rect">
                      <a:avLst/>
                    </a:prstGeom>
                    <a:noFill/>
                    <a:ln w="9525">
                      <a:noFill/>
                    </a:ln>
                  </pic:spPr>
                </pic:pic>
              </a:graphicData>
            </a:graphic>
          </wp:inline>
        </w:drawing>
      </w:r>
      <w:r>
        <w:rPr>
          <w:rFonts w:hint="default" w:ascii="Calibri" w:hAnsi="Calibri" w:eastAsia="宋体" w:cs="Calibri"/>
          <w:i w:val="0"/>
          <w:iCs w:val="0"/>
          <w:caps w:val="0"/>
          <w:color w:val="000000"/>
          <w:spacing w:val="0"/>
          <w:kern w:val="0"/>
          <w:sz w:val="21"/>
          <w:szCs w:val="21"/>
          <w:bdr w:val="none" w:color="auto" w:sz="0" w:space="0"/>
          <w:lang w:val="en-US" w:eastAsia="zh-CN" w:bidi="ar"/>
        </w:rPr>
        <w:t> </w:t>
      </w:r>
    </w:p>
    <w:p w14:paraId="34A96828">
      <w:pPr>
        <w:keepNext w:val="0"/>
        <w:keepLines w:val="0"/>
        <w:widowControl/>
        <w:suppressLineNumbers w:val="0"/>
        <w:jc w:val="left"/>
      </w:pPr>
    </w:p>
    <w:p w14:paraId="3B0D59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textAlignment w:val="baseline"/>
      </w:pPr>
      <w:r>
        <w:rPr>
          <w:rFonts w:hint="default" w:ascii="方正小标宋简体" w:hAnsi="方正小标宋简体" w:eastAsia="方正小标宋简体" w:cs="方正小标宋简体"/>
          <w:i w:val="0"/>
          <w:iCs w:val="0"/>
          <w:caps w:val="0"/>
          <w:color w:val="000000"/>
          <w:spacing w:val="0"/>
          <w:kern w:val="0"/>
          <w:sz w:val="44"/>
          <w:szCs w:val="44"/>
          <w:bdr w:val="none" w:color="auto" w:sz="0" w:space="0"/>
          <w:vertAlign w:val="baseline"/>
          <w:lang w:val="en-US" w:eastAsia="zh-CN" w:bidi="ar"/>
        </w:rPr>
        <w:t>新田县人民政府办公室</w:t>
      </w:r>
    </w:p>
    <w:p w14:paraId="53A3BD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textAlignment w:val="baseline"/>
      </w:pPr>
      <w:r>
        <w:rPr>
          <w:rFonts w:hint="default" w:ascii="方正小标宋简体" w:hAnsi="方正小标宋简体" w:eastAsia="方正小标宋简体" w:cs="方正小标宋简体"/>
          <w:i w:val="0"/>
          <w:iCs w:val="0"/>
          <w:caps w:val="0"/>
          <w:color w:val="000000"/>
          <w:spacing w:val="0"/>
          <w:kern w:val="0"/>
          <w:sz w:val="44"/>
          <w:szCs w:val="44"/>
          <w:bdr w:val="none" w:color="auto" w:sz="0" w:space="0"/>
          <w:vertAlign w:val="baseline"/>
          <w:lang w:val="en-US" w:eastAsia="zh-CN" w:bidi="ar"/>
        </w:rPr>
        <w:t>印发《关于建立健全医疗保障基金使用监督</w:t>
      </w:r>
    </w:p>
    <w:p w14:paraId="09F87C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textAlignment w:val="baseline"/>
      </w:pPr>
      <w:r>
        <w:rPr>
          <w:rFonts w:hint="default" w:ascii="方正小标宋简体" w:hAnsi="方正小标宋简体" w:eastAsia="方正小标宋简体" w:cs="方正小标宋简体"/>
          <w:i w:val="0"/>
          <w:iCs w:val="0"/>
          <w:caps w:val="0"/>
          <w:color w:val="000000"/>
          <w:spacing w:val="0"/>
          <w:kern w:val="0"/>
          <w:sz w:val="44"/>
          <w:szCs w:val="44"/>
          <w:bdr w:val="none" w:color="auto" w:sz="0" w:space="0"/>
          <w:vertAlign w:val="baseline"/>
          <w:lang w:val="en-US" w:eastAsia="zh-CN" w:bidi="ar"/>
        </w:rPr>
        <w:t>管理长效机制的实施方案》的通知</w:t>
      </w:r>
    </w:p>
    <w:p w14:paraId="65CD58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新政办发〔2024〕3号</w:t>
      </w:r>
    </w:p>
    <w:p w14:paraId="029128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textAlignment w:val="baseline"/>
      </w:pPr>
      <w:r>
        <w:rPr>
          <w:rFonts w:hint="default" w:ascii="仿宋_GB2312" w:hAnsi="宋体" w:eastAsia="仿宋_GB2312" w:cs="仿宋_GB2312"/>
          <w:i w:val="0"/>
          <w:iCs w:val="0"/>
          <w:caps w:val="0"/>
          <w:color w:val="000000"/>
          <w:spacing w:val="0"/>
          <w:kern w:val="0"/>
          <w:sz w:val="32"/>
          <w:szCs w:val="32"/>
          <w:bdr w:val="none" w:color="auto" w:sz="0" w:space="0"/>
          <w:vertAlign w:val="baseline"/>
          <w:lang w:val="en-US" w:eastAsia="zh-CN" w:bidi="ar"/>
        </w:rPr>
        <w:t>XTDR-2024-01001</w:t>
      </w:r>
    </w:p>
    <w:p w14:paraId="023FBD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textAlignment w:val="baseline"/>
      </w:pPr>
      <w:r>
        <w:rPr>
          <w:rFonts w:hint="default" w:ascii="方正小标宋简体" w:hAnsi="方正小标宋简体" w:eastAsia="方正小标宋简体" w:cs="方正小标宋简体"/>
          <w:i w:val="0"/>
          <w:iCs w:val="0"/>
          <w:caps w:val="0"/>
          <w:color w:val="000000"/>
          <w:spacing w:val="0"/>
          <w:kern w:val="0"/>
          <w:sz w:val="44"/>
          <w:szCs w:val="44"/>
          <w:bdr w:val="none" w:color="auto" w:sz="0" w:space="0"/>
          <w:vertAlign w:val="baseline"/>
          <w:lang w:val="en-US" w:eastAsia="zh-CN" w:bidi="ar"/>
        </w:rPr>
        <w:t> </w:t>
      </w:r>
    </w:p>
    <w:p w14:paraId="643A7B3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Calibri" w:hAnsi="Calibri" w:eastAsia="宋体" w:cs="Calibri"/>
          <w:i w:val="0"/>
          <w:iCs w:val="0"/>
          <w:caps w:val="0"/>
          <w:color w:val="000000"/>
          <w:spacing w:val="0"/>
          <w:kern w:val="0"/>
          <w:sz w:val="21"/>
          <w:szCs w:val="21"/>
          <w:bdr w:val="none" w:color="auto" w:sz="0" w:space="0"/>
          <w:lang w:val="en-US" w:eastAsia="zh-CN" w:bidi="ar"/>
        </w:rPr>
        <w:t> </w:t>
      </w:r>
    </w:p>
    <w:p w14:paraId="3F3195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i w:val="0"/>
          <w:iCs w:val="0"/>
          <w:caps w:val="0"/>
          <w:color w:val="000000"/>
          <w:spacing w:val="-4"/>
          <w:kern w:val="0"/>
          <w:sz w:val="32"/>
          <w:szCs w:val="32"/>
          <w:bdr w:val="none" w:color="auto" w:sz="0" w:space="0"/>
          <w:lang w:val="en-US" w:eastAsia="zh-CN" w:bidi="ar"/>
        </w:rPr>
        <w:t>各乡镇人民政府（街道办事处），县直及中央、省市驻新相关单位：</w:t>
      </w:r>
    </w:p>
    <w:p w14:paraId="0AAF90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《关于建立健全医疗保障基金使用监督管理长效机制的实施方案》已经县人民政府同意，现印发给你们，请认真贯彻落实。</w:t>
      </w:r>
    </w:p>
    <w:p w14:paraId="770AB8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Calibri" w:hAnsi="Calibri" w:eastAsia="宋体" w:cs="Calibri"/>
          <w:i w:val="0"/>
          <w:iCs w:val="0"/>
          <w:caps w:val="0"/>
          <w:color w:val="000000"/>
          <w:spacing w:val="0"/>
          <w:kern w:val="0"/>
          <w:sz w:val="21"/>
          <w:szCs w:val="21"/>
          <w:bdr w:val="none" w:color="auto" w:sz="0" w:space="0"/>
          <w:lang w:val="en-US" w:eastAsia="zh-CN" w:bidi="ar"/>
        </w:rPr>
        <w:t> </w:t>
      </w:r>
    </w:p>
    <w:p w14:paraId="76A6E5D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60" w:lineRule="atLeast"/>
        <w:ind w:left="0" w:right="320" w:firstLine="640"/>
        <w:jc w:val="righ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新田县人民政府办公室</w:t>
      </w:r>
    </w:p>
    <w:p w14:paraId="515FB61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60" w:lineRule="atLeast"/>
        <w:ind w:left="0" w:right="640" w:firstLine="640"/>
        <w:jc w:val="righ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2024年6月12日</w:t>
      </w:r>
    </w:p>
    <w:p w14:paraId="05EEB4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Calibri" w:hAnsi="Calibri" w:eastAsia="宋体" w:cs="Calibri"/>
          <w:i w:val="0"/>
          <w:iCs w:val="0"/>
          <w:caps w:val="0"/>
          <w:color w:val="000000"/>
          <w:spacing w:val="0"/>
          <w:kern w:val="0"/>
          <w:sz w:val="21"/>
          <w:szCs w:val="21"/>
          <w:bdr w:val="none" w:color="auto" w:sz="0" w:space="0"/>
          <w:lang w:val="en-US" w:eastAsia="zh-CN" w:bidi="ar"/>
        </w:rPr>
        <w:t> </w:t>
      </w:r>
    </w:p>
    <w:p w14:paraId="437CC7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5250" w:right="0"/>
      </w:pPr>
      <w:r>
        <w:rPr>
          <w:rFonts w:ascii="Arial" w:hAnsi="Arial" w:eastAsia="宋体" w:cs="Arial"/>
          <w:i w:val="0"/>
          <w:iCs w:val="0"/>
          <w:caps w:val="0"/>
          <w:color w:val="000000"/>
          <w:spacing w:val="0"/>
          <w:sz w:val="21"/>
          <w:szCs w:val="21"/>
          <w:bdr w:val="none" w:color="auto" w:sz="0" w:space="0"/>
        </w:rPr>
        <w:t> </w:t>
      </w:r>
    </w:p>
    <w:p w14:paraId="4154D9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Arial" w:hAnsi="Arial" w:eastAsia="宋体" w:cs="Arial"/>
          <w:i w:val="0"/>
          <w:iCs w:val="0"/>
          <w:caps w:val="0"/>
          <w:color w:val="000000"/>
          <w:spacing w:val="0"/>
          <w:sz w:val="21"/>
          <w:szCs w:val="21"/>
          <w:bdr w:val="none" w:color="auto" w:sz="0" w:space="0"/>
        </w:rPr>
        <w:t> </w:t>
      </w:r>
    </w:p>
    <w:p w14:paraId="7FA3829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Arial" w:hAnsi="Arial" w:eastAsia="宋体" w:cs="Arial"/>
          <w:i w:val="0"/>
          <w:iCs w:val="0"/>
          <w:caps w:val="0"/>
          <w:color w:val="000000"/>
          <w:spacing w:val="0"/>
          <w:sz w:val="21"/>
          <w:szCs w:val="21"/>
          <w:bdr w:val="none" w:color="auto" w:sz="0" w:space="0"/>
        </w:rPr>
        <w:t> </w:t>
      </w:r>
    </w:p>
    <w:p w14:paraId="58B7B0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Arial" w:hAnsi="Arial" w:eastAsia="宋体" w:cs="Arial"/>
          <w:i w:val="0"/>
          <w:iCs w:val="0"/>
          <w:caps w:val="0"/>
          <w:color w:val="000000"/>
          <w:spacing w:val="0"/>
          <w:sz w:val="21"/>
          <w:szCs w:val="21"/>
          <w:bdr w:val="none" w:color="auto" w:sz="0" w:space="0"/>
        </w:rPr>
        <w:t> </w:t>
      </w:r>
    </w:p>
    <w:p w14:paraId="7432849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Arial" w:hAnsi="Arial" w:eastAsia="宋体" w:cs="Arial"/>
          <w:i w:val="0"/>
          <w:iCs w:val="0"/>
          <w:caps w:val="0"/>
          <w:color w:val="000000"/>
          <w:spacing w:val="0"/>
          <w:sz w:val="21"/>
          <w:szCs w:val="21"/>
          <w:bdr w:val="none" w:color="auto" w:sz="0" w:space="0"/>
        </w:rPr>
        <w:t> </w:t>
      </w:r>
    </w:p>
    <w:p w14:paraId="5A3CA2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Arial" w:hAnsi="Arial" w:eastAsia="宋体" w:cs="Arial"/>
          <w:i w:val="0"/>
          <w:iCs w:val="0"/>
          <w:caps w:val="0"/>
          <w:color w:val="000000"/>
          <w:spacing w:val="0"/>
          <w:sz w:val="21"/>
          <w:szCs w:val="21"/>
          <w:bdr w:val="none" w:color="auto" w:sz="0" w:space="0"/>
        </w:rPr>
        <w:t> </w:t>
      </w:r>
    </w:p>
    <w:p w14:paraId="5B034C0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Arial" w:hAnsi="Arial" w:eastAsia="宋体" w:cs="Arial"/>
          <w:i w:val="0"/>
          <w:iCs w:val="0"/>
          <w:caps w:val="0"/>
          <w:color w:val="000000"/>
          <w:spacing w:val="0"/>
          <w:sz w:val="21"/>
          <w:szCs w:val="21"/>
          <w:bdr w:val="none" w:color="auto" w:sz="0" w:space="0"/>
        </w:rPr>
        <w:t> </w:t>
      </w:r>
    </w:p>
    <w:p w14:paraId="4E5F75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Arial" w:hAnsi="Arial" w:eastAsia="宋体" w:cs="Arial"/>
          <w:i w:val="0"/>
          <w:iCs w:val="0"/>
          <w:caps w:val="0"/>
          <w:color w:val="000000"/>
          <w:spacing w:val="0"/>
          <w:sz w:val="21"/>
          <w:szCs w:val="21"/>
          <w:bdr w:val="none" w:color="auto" w:sz="0" w:space="0"/>
        </w:rPr>
        <w:t> </w:t>
      </w:r>
    </w:p>
    <w:p w14:paraId="10DF765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Arial" w:hAnsi="Arial" w:eastAsia="宋体" w:cs="Arial"/>
          <w:i w:val="0"/>
          <w:iCs w:val="0"/>
          <w:caps w:val="0"/>
          <w:color w:val="000000"/>
          <w:spacing w:val="0"/>
          <w:sz w:val="21"/>
          <w:szCs w:val="21"/>
          <w:bdr w:val="none" w:color="auto" w:sz="0" w:space="0"/>
        </w:rPr>
        <w:t> </w:t>
      </w:r>
    </w:p>
    <w:p w14:paraId="763B80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Arial" w:hAnsi="Arial" w:eastAsia="宋体" w:cs="Arial"/>
          <w:i w:val="0"/>
          <w:iCs w:val="0"/>
          <w:caps w:val="0"/>
          <w:color w:val="000000"/>
          <w:spacing w:val="0"/>
          <w:sz w:val="21"/>
          <w:szCs w:val="21"/>
          <w:bdr w:val="none" w:color="auto" w:sz="0" w:space="0"/>
        </w:rPr>
        <w:t> </w:t>
      </w:r>
    </w:p>
    <w:p w14:paraId="5F390D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Arial" w:hAnsi="Arial" w:eastAsia="宋体" w:cs="Arial"/>
          <w:i w:val="0"/>
          <w:iCs w:val="0"/>
          <w:caps w:val="0"/>
          <w:color w:val="000000"/>
          <w:spacing w:val="0"/>
          <w:sz w:val="21"/>
          <w:szCs w:val="21"/>
          <w:bdr w:val="none" w:color="auto" w:sz="0" w:space="0"/>
        </w:rPr>
        <w:t> </w:t>
      </w:r>
    </w:p>
    <w:p w14:paraId="22B5D1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Arial" w:hAnsi="Arial" w:eastAsia="宋体" w:cs="Arial"/>
          <w:i w:val="0"/>
          <w:iCs w:val="0"/>
          <w:caps w:val="0"/>
          <w:color w:val="000000"/>
          <w:spacing w:val="0"/>
          <w:sz w:val="21"/>
          <w:szCs w:val="21"/>
          <w:bdr w:val="none" w:color="auto" w:sz="0" w:space="0"/>
        </w:rPr>
        <w:t> </w:t>
      </w:r>
    </w:p>
    <w:p w14:paraId="0EDC520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Arial" w:hAnsi="Arial" w:eastAsia="宋体" w:cs="Arial"/>
          <w:i w:val="0"/>
          <w:iCs w:val="0"/>
          <w:caps w:val="0"/>
          <w:color w:val="000000"/>
          <w:spacing w:val="0"/>
          <w:sz w:val="21"/>
          <w:szCs w:val="21"/>
          <w:bdr w:val="none" w:color="auto" w:sz="0" w:space="0"/>
        </w:rPr>
        <w:t> </w:t>
      </w:r>
    </w:p>
    <w:p w14:paraId="3C2309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Arial" w:hAnsi="Arial" w:eastAsia="宋体" w:cs="Arial"/>
          <w:i w:val="0"/>
          <w:iCs w:val="0"/>
          <w:caps w:val="0"/>
          <w:color w:val="000000"/>
          <w:spacing w:val="0"/>
          <w:sz w:val="21"/>
          <w:szCs w:val="21"/>
          <w:bdr w:val="none" w:color="auto" w:sz="0" w:space="0"/>
        </w:rPr>
        <w:t> </w:t>
      </w:r>
    </w:p>
    <w:p w14:paraId="7C70B86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Arial" w:hAnsi="Arial" w:eastAsia="宋体" w:cs="Arial"/>
          <w:i w:val="0"/>
          <w:iCs w:val="0"/>
          <w:caps w:val="0"/>
          <w:color w:val="000000"/>
          <w:spacing w:val="0"/>
          <w:sz w:val="21"/>
          <w:szCs w:val="21"/>
          <w:bdr w:val="none" w:color="auto" w:sz="0" w:space="0"/>
        </w:rPr>
        <w:t> </w:t>
      </w:r>
    </w:p>
    <w:p w14:paraId="0B21D2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Arial" w:hAnsi="Arial" w:eastAsia="宋体" w:cs="Arial"/>
          <w:i w:val="0"/>
          <w:iCs w:val="0"/>
          <w:caps w:val="0"/>
          <w:color w:val="000000"/>
          <w:spacing w:val="0"/>
          <w:sz w:val="21"/>
          <w:szCs w:val="21"/>
          <w:bdr w:val="none" w:color="auto" w:sz="0" w:space="0"/>
        </w:rPr>
        <w:t> </w:t>
      </w:r>
    </w:p>
    <w:p w14:paraId="2EBEA28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Arial" w:hAnsi="Arial" w:eastAsia="宋体" w:cs="Arial"/>
          <w:i w:val="0"/>
          <w:iCs w:val="0"/>
          <w:caps w:val="0"/>
          <w:color w:val="000000"/>
          <w:spacing w:val="0"/>
          <w:sz w:val="21"/>
          <w:szCs w:val="21"/>
          <w:bdr w:val="none" w:color="auto" w:sz="0" w:space="0"/>
        </w:rPr>
        <w:t> </w:t>
      </w:r>
    </w:p>
    <w:p w14:paraId="7207E1E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Arial" w:hAnsi="Arial" w:eastAsia="宋体" w:cs="Arial"/>
          <w:i w:val="0"/>
          <w:iCs w:val="0"/>
          <w:caps w:val="0"/>
          <w:color w:val="000000"/>
          <w:spacing w:val="0"/>
          <w:sz w:val="21"/>
          <w:szCs w:val="21"/>
          <w:bdr w:val="none" w:color="auto" w:sz="0" w:space="0"/>
        </w:rPr>
        <w:t> </w:t>
      </w:r>
    </w:p>
    <w:p w14:paraId="683A0A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方正小标宋简体" w:hAnsi="方正小标宋简体" w:eastAsia="方正小标宋简体" w:cs="方正小标宋简体"/>
          <w:i w:val="0"/>
          <w:iCs w:val="0"/>
          <w:caps w:val="0"/>
          <w:color w:val="000000"/>
          <w:spacing w:val="0"/>
          <w:kern w:val="0"/>
          <w:sz w:val="44"/>
          <w:szCs w:val="44"/>
          <w:bdr w:val="none" w:color="auto" w:sz="0" w:space="0"/>
          <w:lang w:val="en-US" w:eastAsia="zh-CN" w:bidi="ar"/>
        </w:rPr>
        <w:t>关于建立健全医疗保障基金使用监督管理</w:t>
      </w:r>
    </w:p>
    <w:p w14:paraId="0ACA9F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方正小标宋简体" w:hAnsi="方正小标宋简体" w:eastAsia="方正小标宋简体" w:cs="方正小标宋简体"/>
          <w:i w:val="0"/>
          <w:iCs w:val="0"/>
          <w:caps w:val="0"/>
          <w:color w:val="000000"/>
          <w:spacing w:val="0"/>
          <w:kern w:val="0"/>
          <w:sz w:val="44"/>
          <w:szCs w:val="44"/>
          <w:bdr w:val="none" w:color="auto" w:sz="0" w:space="0"/>
          <w:lang w:val="en-US" w:eastAsia="zh-CN" w:bidi="ar"/>
        </w:rPr>
        <w:t>长效机制的实施方案</w:t>
      </w:r>
    </w:p>
    <w:p w14:paraId="534F87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Calibri" w:hAnsi="Calibri" w:eastAsia="宋体" w:cs="Calibri"/>
          <w:i w:val="0"/>
          <w:iCs w:val="0"/>
          <w:caps w:val="0"/>
          <w:color w:val="000000"/>
          <w:spacing w:val="0"/>
          <w:kern w:val="0"/>
          <w:sz w:val="21"/>
          <w:szCs w:val="21"/>
          <w:bdr w:val="none" w:color="auto" w:sz="0" w:space="0"/>
          <w:lang w:val="en-US" w:eastAsia="zh-CN" w:bidi="ar"/>
        </w:rPr>
        <w:t> </w:t>
      </w:r>
    </w:p>
    <w:p w14:paraId="334E46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为贯彻落实习近平总书记对医疗保障基金（以下简称医保基金）监督管理工作的重要指示批示精神和党中央国务院、省市决策部署，巩固全县打击欺诈骗保、套保和挪用贪占医保基金集中整治工作成果，根据《医疗保障基金使用监督管理条例》（国务院令第735号）、《国务院办公厅关于推进医疗保障基金监管制度体系改革的指导意见》（国办发〔2020〕20号）、《国务院办公厅关于加强医疗保障基金使用常态化监管的实施意见》（国办发〔2023〕17号）、《湖南省人民政府办公厅关于建立健全医疗保障基金使用监督管理长效机制的通知》（湘政办发〔2023〕45号），结合我县实际，特制定本实施方案。</w:t>
      </w:r>
    </w:p>
    <w:p w14:paraId="1DA6D6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一、总体要求</w:t>
      </w:r>
    </w:p>
    <w:p w14:paraId="04C33C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以习近平新时代中国特色社会主义思想为指导，全面贯彻党的二十大精神，坚持行政监管与协议监管相结合、医保常态监管与部门联合监管相结合、传统方式监管与智能监管相结合、长效机制建设与专项整治相结合、强化主体责任与构建信用体系相结合、政府监管与社会监督相结合，以零容忍态度严厉打击欺诈骗保、套保或挪用贪占医疗保障资金的违法行为，切实守护好人民群众的“看病钱”“救命钱”，推动我县医疗保障事业高质量发展。</w:t>
      </w:r>
    </w:p>
    <w:p w14:paraId="1479C3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二、加强组织领导</w:t>
      </w:r>
    </w:p>
    <w:p w14:paraId="6F882D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成立由分管副县长任组长,县医保局、县卫健局、县财政局、县行政审批局、县市场监管局、县审计局、县民政局、县人社局、县税务局、县司法局、县融媒体中心、县乡村振兴局等单位主要负责人和县公安局、县人民法院、县人民检察院等单位分管负责人为成员的新田县医保基金监督管理工作专班。工作专班下设办公室在县医保局,负责统筹协调全县医保基金监督管理工作,明确各相关部门在基金监管中的职责和任务,确保监管措施落实到位,县医保局主要负责人兼任办公室主任。</w:t>
      </w:r>
    </w:p>
    <w:p w14:paraId="11521A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三、明确部门职责</w:t>
      </w:r>
    </w:p>
    <w:p w14:paraId="791802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县医保局:负责医保基金使用监督管理,对纳入医保支付范围的医疗服务行为和医疗费用进行监督检查,依法查处医保领域违法违规行为;加强对医保经办机构履职行为的监督,促进医保经办机构业务规范;承担日常审核检查责任,包括医药机构的医保定点管理、医保协议签订及考核等工作,审核、稽查所支付的医保费用,按照医保协议约定及时预警</w:t>
      </w:r>
    </w:p>
    <w:p w14:paraId="5B4F2F2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并处理医保定点医药机构违约行为。</w:t>
      </w:r>
    </w:p>
    <w:p w14:paraId="40C6BA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县卫健局:负责依法对全县医疗机构诊疗行为进行监督检查,加强医护人员业务培训,规范医疗机构诊疗行为,对违规违纪的单位和个人进行查处。</w:t>
      </w:r>
    </w:p>
    <w:p w14:paraId="1AD120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县财政局:对医保基金使用管理情况实施监督,协助完成医疗收费电子票据查验;负责按时足额划转医保财政补助资金及其他应拨付资金；将打击欺诈骗保举报奖励经费与医保基金监管工作经费列入年初预算统筹使用。</w:t>
      </w:r>
    </w:p>
    <w:p w14:paraId="395BFA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县行政审批局：负责公示公开医保行政处罚等医保领域信用信息，协助医保部门推动自我信用承诺公示和信用报告在医保领域的应用。</w:t>
      </w:r>
    </w:p>
    <w:p w14:paraId="49527F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县市场监管局：负责依法对医疗领域违反医药价格和医疗服务价格的违法违规行为进行查处；加强药品质量监管，检查药品进货渠道，打击从非法途径采购药品的行为；及时共享医保定点零售药店非法套取医保基金等相关监管数据并依据法定职责会同相关部门开展联合惩戒。</w:t>
      </w:r>
    </w:p>
    <w:p w14:paraId="631273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县公安局：负责依法查处医保行政部门移送或报案的涉嫌医保基金诈骗案件。</w:t>
      </w:r>
    </w:p>
    <w:p w14:paraId="71316A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县人民法院：负责依法审理欺诈骗取医保基金的案件并提供判决数据。</w:t>
      </w:r>
    </w:p>
    <w:p w14:paraId="12AD63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县人民检察院：负责依法审查逮捕、审查起诉各类欺诈骗保犯罪案件，开展刑事案件的立案监督和公益诉讼检察监督。</w:t>
      </w:r>
    </w:p>
    <w:p w14:paraId="58B260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县审计局：负责加强医保基金相关政策措施落实情况的审计监督，发现重大违纪违法问题及时移送相关部门查处。</w:t>
      </w:r>
    </w:p>
    <w:p w14:paraId="5F5A6D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县民政局：负责提供火化、低保、低保边缘家庭成员、特困、孤儿、事实无人抚养儿童等数据。</w:t>
      </w:r>
    </w:p>
    <w:p w14:paraId="36049EE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县人社局：负责加强与县医保局协作配合，严厉打击工伤医疗服务中欺诈骗取工伤保险基金的行为，互通社会保险基金监管信息，实现信息共享、结果互认。</w:t>
      </w:r>
    </w:p>
    <w:p w14:paraId="7269EB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县税务局：负责配合有关部门对利用虚假发票欺诈骗取医保基金行为进行查处。</w:t>
      </w:r>
    </w:p>
    <w:p w14:paraId="49B666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县司法局：负责提供社区矫正和安置帮教对象信息，监督指导医保领域行政执法。</w:t>
      </w:r>
    </w:p>
    <w:p w14:paraId="512F01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县融媒体中心：负责医保基金安全宣传工作。</w:t>
      </w:r>
    </w:p>
    <w:p w14:paraId="2161E4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县乡村振兴局：负责提供防止返贫致贫监测对象信息。</w:t>
      </w:r>
    </w:p>
    <w:p w14:paraId="1CF316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对于未纳入医保协议管理，但其行为与医保基金使用密切相关、影响基金合理使用的机构，按照“谁审批、谁监管，谁主管、谁监管”的原则，落实监管责任。</w:t>
      </w:r>
    </w:p>
    <w:p w14:paraId="3B7728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四、健全监管体系</w:t>
      </w:r>
    </w:p>
    <w:p w14:paraId="085103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楷体" w:hAnsi="楷体" w:eastAsia="楷体" w:cs="楷体"/>
          <w:b/>
          <w:bCs/>
          <w:i w:val="0"/>
          <w:iCs w:val="0"/>
          <w:caps w:val="0"/>
          <w:color w:val="000000"/>
          <w:spacing w:val="0"/>
          <w:kern w:val="0"/>
          <w:sz w:val="32"/>
          <w:szCs w:val="32"/>
          <w:bdr w:val="none" w:color="auto" w:sz="0" w:space="0"/>
          <w:lang w:val="en-US" w:eastAsia="zh-CN" w:bidi="ar"/>
        </w:rPr>
        <w:t>（一）强化医保常态监管</w:t>
      </w:r>
    </w:p>
    <w:p w14:paraId="5CD807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1．严格协议管理。</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严格执行医保定点准入、退出管理制度，对存在财务制度不健全，造成无账可查、无源可溯等情况的不予定点，对查实存在严重欺诈骗保等重大违法违规行为的，按照协议约定解除医保协议，并依法依规严肃查处。强化年度考核的奖惩激励机制，考核结果与年终清算、质量保证金退还、协议续签等挂钩，并将医保年度检查考核结果纳入卫生健康部门对公立医疗机构的综合目标考核内容。实施乡镇卫生院、村卫生室、连锁药店一体化监管，压实乡镇卫生院对村卫生室、药品零售连锁总部对门店的监管主体责任。（责任单位：县医保局、县卫健局、县市场监管局，排第一位为牵头单位，下同）</w:t>
      </w:r>
    </w:p>
    <w:p w14:paraId="7588A8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pP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2．抓好专项整治。</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聚焦重症医学科、药品、耗材、检查、检验、康复理疗、骨科、血液净化、心血管内科等重点领域，聚焦虚假就医、医保药品倒卖等重点行为，实施重点领域、重点专科专项整治全覆盖计划，深入查处重点领域、重点专科医保违法违规问题，严厉打击“假病人、假病情、假票据”等欺诈骗保行为，加快形成重点领域、重点专科医保基金良性运行环境。（责任单位：县医保局、县人民检察院、县公安局、县财政局、县市场监管局、县卫健局、县税务局）</w:t>
      </w:r>
    </w:p>
    <w:p w14:paraId="3120DD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pP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3．落实审核稽查。</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建立规范的初审、复审两级审核机制，初审复审岗位实行不相容管理。充分利用智能审核平台，实现初审全覆盖和随机抽查复审不低于5％，加强医保基金支付范围外（含医保三大目录限定不予支付范围）医药费用的审核，防止超范围支付。制定年度监督检查计划，开展现场检查与非现场检查、自查与抽查、日常检查与年终检查，年度内实现辖区内定点医药机构现场检查全覆盖。（责任单位：县医保局）</w:t>
      </w:r>
    </w:p>
    <w:p w14:paraId="32BC05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pP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4．推行信用监管。</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完善医保基金监管信用体系建设，建立定点医药机构、参保单位、承办医保业务的第三方机构、医药企业、参保人等医保基金使用相关主体信用档案，落实信用承诺制，签署信用承诺书，将违法违规使用基金行为记入信用档案，纳入社会信用管理，实施失信联合惩戒对象名单、社会救助领域信用名单制度。实行信用等级分级分类监管，将信用等级与医保基金监管检查频次、处罚裁量、资金拨付、协议考核、业务办理、信用支付相挂钩。（责任单位：县医保局、县行政审批局、县卫健局、县民政局、县市场监管局）</w:t>
      </w:r>
    </w:p>
    <w:p w14:paraId="31B493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pP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5．强化智能监管。</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依托全国统一的医保信息平台，综合运用智能监管、宏观决策大数据应用、信用评价管理等子系统，加强对医保基金使用行为的实时动态监管。建设异地就医医保基金基层综合监管模型，适时将监管模型并入永州市医保基金反欺诈反滥用大数据综合监管模型。充分利用现有视频监控、人脸识别设施设备、大数据分析手段对医保基金使用违法违规行为的发现和锁定能力，为现场检查执法和精准打击提供数据支撑、信息预警。（责任单位：县医保局、县行政审批局）</w:t>
      </w:r>
    </w:p>
    <w:p w14:paraId="167AA8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pP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6．开展自查自纠。</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定期整理发布医保基金监督检查发现的典型性、顽固性、苗头性问题以及群众关注高的问题，实行负面清单管理，公告警示、引导规范医保定点医药机构医药服务行为。医保定点医药机构要根据问题清单、负面清单第一时间组织举一反三自查自纠，主动退还违规资金，整改相关医药服务行为。（责任单位：县医保局、县卫健局）</w:t>
      </w:r>
    </w:p>
    <w:p w14:paraId="0ADFEA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楷体" w:hAnsi="楷体" w:eastAsia="楷体" w:cs="楷体"/>
          <w:b/>
          <w:bCs/>
          <w:i w:val="0"/>
          <w:iCs w:val="0"/>
          <w:caps w:val="0"/>
          <w:color w:val="000000"/>
          <w:spacing w:val="0"/>
          <w:kern w:val="0"/>
          <w:sz w:val="32"/>
          <w:szCs w:val="32"/>
          <w:bdr w:val="none" w:color="auto" w:sz="0" w:space="0"/>
          <w:lang w:val="en-US" w:eastAsia="zh-CN" w:bidi="ar"/>
        </w:rPr>
        <w:t>（二）强化部门联合监管</w:t>
      </w:r>
    </w:p>
    <w:p w14:paraId="41DF86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pP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1．建立信息共享机制。</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积极推进户籍信息、死亡信息、参保信息、离退休信息、工伤认定信息、医疗事故鉴定信息、医疗损害鉴定信息、医疗纠纷信息、征缴信息、防止返贫致贫</w:t>
      </w:r>
    </w:p>
    <w:p w14:paraId="0B809A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监测对象信息、社区矫正和安置帮教对象信息及特困供养人员、低保等低收入人口身份认定信息等数据归集汇聚和互联互通，堵住因信息不对称导致的医保基金监管漏洞。（责任单位：县医保局、县公安局、县卫健局、县人社局、县税务局、县司法局、县民政局、县财政局、县乡村振兴局）</w:t>
      </w:r>
    </w:p>
    <w:p w14:paraId="5EACFC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pP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2．建立部门会商机制。</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充分发挥医保基金监督管理工作专班成员单位作用，建立健全部门会商制度，原则上每半年召开一次会议，根据工作需要可随时召开，分析研判医保基金监管形势，讨论医保基金监管工作中的重大问题，协同推进重点案件查处。（责任单位：县医保基金监督管理工作专班成员单位）</w:t>
      </w:r>
    </w:p>
    <w:p w14:paraId="34CF58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pP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3．建立案件移送机制。</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明确案件移送标准和程序，对涉及相关部门职责权限的违法违规案件线索，及时移送相关部门查处或者商请联合查处。对查实的违法违规线索，及时移交相关部门，综合运用司法、行政等手段，严肃查处欺诈骗保的单位和个人，提升惩处威慑力。对存在欺诈骗保行为的定点医药机构，由医保、卫健、市监等部门依法作出罚款、停业整顿、吊销执业（经营）资格、从业限制等处罚；对涉嫌犯罪的，依法移交司法机关追究刑事责任。（责任单位：县医保局、县卫健局、县市场监管局、县公安局、县人民检察院、县人民法院）</w:t>
      </w:r>
    </w:p>
    <w:p w14:paraId="7AA265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楷体" w:hAnsi="楷体" w:eastAsia="楷体" w:cs="楷体"/>
          <w:b/>
          <w:bCs/>
          <w:i w:val="0"/>
          <w:iCs w:val="0"/>
          <w:caps w:val="0"/>
          <w:color w:val="000000"/>
          <w:spacing w:val="0"/>
          <w:kern w:val="0"/>
          <w:sz w:val="32"/>
          <w:szCs w:val="32"/>
          <w:bdr w:val="none" w:color="auto" w:sz="0" w:space="0"/>
          <w:lang w:val="en-US" w:eastAsia="zh-CN" w:bidi="ar"/>
        </w:rPr>
        <w:t>（三）强化社会力量协同监管</w:t>
      </w:r>
    </w:p>
    <w:p w14:paraId="230F54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pP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1．落实举报奖励制度。</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进一步畅通电话、网络、来信来访等投诉举报渠道，规范受理、检查、处理、反馈流程，不断提高举报案件办理质量。认真落实举报奖励制度，确保及时、足额兑现奖励资金，持续调动全民参与监督医保基金使用的积极性。（责任单位：县医保局、县财政局）</w:t>
      </w:r>
    </w:p>
    <w:p w14:paraId="546FB7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pP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2．落实信息披露制度。</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医保部门定期公布医保基金监管工作成果、违法违规医药机构信息，依法依规及时曝光欺诈骗保典型案例，强化警示震慑；医保经办机构定期向社会公告基金收支、结余和收益情况；定点医药机构向社会公开医药费用、费用结构等信息，鼓励社会监督。（责任单位：县医保局、县行政审批局、县卫健局、县融媒体中心）</w:t>
      </w:r>
    </w:p>
    <w:p w14:paraId="013A51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pP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3．落实社会监督员制度。</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鼓励社会各界参与医保基金监督工作，聘请人大代表、政协委员、新闻媒体工作者和群众代表担任社会监督员，对定点医药机构、经办机构、参保人员等的医保基金使用行为进行广泛深入监督，实现政府监管与社会监督的良性互动、同向发力。（责任单位：县医保局）</w:t>
      </w:r>
    </w:p>
    <w:p w14:paraId="628E29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楷体" w:hAnsi="楷体" w:eastAsia="楷体" w:cs="楷体"/>
          <w:b/>
          <w:bCs/>
          <w:i w:val="0"/>
          <w:iCs w:val="0"/>
          <w:caps w:val="0"/>
          <w:color w:val="000000"/>
          <w:spacing w:val="0"/>
          <w:kern w:val="0"/>
          <w:sz w:val="32"/>
          <w:szCs w:val="32"/>
          <w:bdr w:val="none" w:color="auto" w:sz="0" w:space="0"/>
          <w:lang w:val="en-US" w:eastAsia="zh-CN" w:bidi="ar"/>
        </w:rPr>
        <w:t>（四）强化医药机构自主监管</w:t>
      </w:r>
    </w:p>
    <w:p w14:paraId="521668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pP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1．推动定点医药机构加强自我管理。</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推动定点医药机构建立健全医保管理、财务、价格、统计、医疗质量安全等内控制度，规范设置内部医保管理部门。全面、准确、及时上传相关数据至医保系统，做好就诊患者和购药人员医保身份核验、医保目录适用认定、记录和检查检验报告存档等工作。建立医疗保障违规行为自查自纠制度，医疗机构要对患者出院结算时医保政策执行情况进行自查，发现不合理的及时整改。（责任单位：县医保局、县卫健局、县市场监管局）</w:t>
      </w:r>
    </w:p>
    <w:p w14:paraId="749256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0" w:lineRule="atLeast"/>
        <w:ind w:left="0" w:right="0" w:firstLine="640"/>
        <w:jc w:val="left"/>
      </w:pPr>
      <w:r>
        <w:rPr>
          <w:rFonts w:hint="default" w:ascii="仿宋_GB2312" w:hAnsi="宋体" w:eastAsia="仿宋_GB2312" w:cs="仿宋_GB2312"/>
          <w:b/>
          <w:bCs/>
          <w:i w:val="0"/>
          <w:iCs w:val="0"/>
          <w:caps w:val="0"/>
          <w:color w:val="000000"/>
          <w:spacing w:val="0"/>
          <w:kern w:val="0"/>
          <w:sz w:val="32"/>
          <w:szCs w:val="32"/>
          <w:bdr w:val="none" w:color="auto" w:sz="0" w:space="0"/>
          <w:lang w:val="en-US" w:eastAsia="zh-CN" w:bidi="ar"/>
        </w:rPr>
        <w:t>2．推进医药卫生、医保行业自律。</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鼓励并促进公立医疗机构、民营医疗机构、零售药店、医师、护士、医保等行业协会制定自律公约，促进行业自我规范和自我约束，提升行业诚信水平。严肃查处不合理诊查、过度治疗等违规行为，严禁为医务人员设定创收指标。定点医药机构的法定代表人要依法依规签订承诺书，约定承担的责任，鼓励全体医务人员签订承诺书。（责任单位：县医保局、县卫健局、县市场监管局）</w:t>
      </w:r>
    </w:p>
    <w:p w14:paraId="7293B2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黑体" w:hAnsi="宋体" w:eastAsia="黑体" w:cs="黑体"/>
          <w:i w:val="0"/>
          <w:iCs w:val="0"/>
          <w:caps w:val="0"/>
          <w:color w:val="000000"/>
          <w:spacing w:val="0"/>
          <w:kern w:val="0"/>
          <w:sz w:val="32"/>
          <w:szCs w:val="32"/>
          <w:bdr w:val="none" w:color="auto" w:sz="0" w:space="0"/>
          <w:lang w:val="en-US" w:eastAsia="zh-CN" w:bidi="ar"/>
        </w:rPr>
        <w:t>五、严明工作要求</w:t>
      </w:r>
    </w:p>
    <w:p w14:paraId="772EE8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楷体" w:hAnsi="楷体" w:eastAsia="楷体" w:cs="楷体"/>
          <w:b/>
          <w:bCs/>
          <w:i w:val="0"/>
          <w:iCs w:val="0"/>
          <w:caps w:val="0"/>
          <w:color w:val="000000"/>
          <w:spacing w:val="0"/>
          <w:kern w:val="0"/>
          <w:sz w:val="32"/>
          <w:szCs w:val="32"/>
          <w:bdr w:val="none" w:color="auto" w:sz="0" w:space="0"/>
          <w:lang w:val="en-US" w:eastAsia="zh-CN" w:bidi="ar"/>
        </w:rPr>
        <w:t>1．强化组织领导。</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将医保基金监管工作列入重要议程，县政府常务会议每年至少听取一次医保基金监管工作情况的汇报，及时解决医保基金安全隐患、基金监管经费保障等重要问题。切实加强医保基金长期收支平衡管理，严格规范医保基金使用途径，严禁挤占挪用医保基金。</w:t>
      </w:r>
    </w:p>
    <w:p w14:paraId="465C5A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楷体" w:hAnsi="楷体" w:eastAsia="楷体" w:cs="楷体"/>
          <w:b/>
          <w:bCs/>
          <w:i w:val="0"/>
          <w:iCs w:val="0"/>
          <w:caps w:val="0"/>
          <w:color w:val="000000"/>
          <w:spacing w:val="0"/>
          <w:kern w:val="0"/>
          <w:sz w:val="32"/>
          <w:szCs w:val="32"/>
          <w:bdr w:val="none" w:color="auto" w:sz="0" w:space="0"/>
          <w:lang w:val="en-US" w:eastAsia="zh-CN" w:bidi="ar"/>
        </w:rPr>
        <w:t>2．强化能力保障。</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要综合考虑医保基金收支规模、服务对象等因素，根据医保经办、基金监管岗位设置需求和一事双岗双审要求，保障经办服务和基金监管必要的人力配备。加大引进医学、信息、法律等相关领域人才，加强队伍政治建设、能力建设、作风建设，推进监管队伍专业化建设。保障医保基金监管执法经费和依法履职所需的业务用房，依规配置执法用车和执法装备。大力开展监管队伍培训，强化实战练兵，积极参加国家、省市飞行检查、交叉检查。</w:t>
      </w:r>
    </w:p>
    <w:p w14:paraId="5923D0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楷体" w:hAnsi="楷体" w:eastAsia="楷体" w:cs="楷体"/>
          <w:b/>
          <w:bCs/>
          <w:i w:val="0"/>
          <w:iCs w:val="0"/>
          <w:caps w:val="0"/>
          <w:color w:val="000000"/>
          <w:spacing w:val="0"/>
          <w:kern w:val="0"/>
          <w:sz w:val="32"/>
          <w:szCs w:val="32"/>
          <w:bdr w:val="none" w:color="auto" w:sz="0" w:space="0"/>
          <w:lang w:val="en-US" w:eastAsia="zh-CN" w:bidi="ar"/>
        </w:rPr>
        <w:t>3．强化宣传引导。</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每年4月组织开展医保基金监管集中宣传月活动，聚焦打击欺诈骗保、维护基金安全等相关主题，大力开展医保基金安全法治宣传，持续增强全社会医保基金安全风险防范意识。充分利用网络媒体等新媒介平台，加强医保基金监管政策解读，普及医保基金安全知识，强化舆论引导，积极回应社会关切，推动形成全社会共同关心、支持、参与医保基金监管的浓厚氛围。</w:t>
      </w:r>
    </w:p>
    <w:p w14:paraId="4822FC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eastAsia" w:ascii="楷体" w:hAnsi="楷体" w:eastAsia="楷体" w:cs="楷体"/>
          <w:b/>
          <w:bCs/>
          <w:i w:val="0"/>
          <w:iCs w:val="0"/>
          <w:caps w:val="0"/>
          <w:color w:val="000000"/>
          <w:spacing w:val="0"/>
          <w:kern w:val="0"/>
          <w:sz w:val="32"/>
          <w:szCs w:val="32"/>
          <w:bdr w:val="none" w:color="auto" w:sz="0" w:space="0"/>
          <w:lang w:val="en-US" w:eastAsia="zh-CN" w:bidi="ar"/>
        </w:rPr>
        <w:t>4．强化激励问责。</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将医保基金监管工作纳入相关考核，对失职渎职导致重大风险和严重后果以及在监管工作中滥用职权、玩忽职守、徇私舞弊的，要严肃责任追究；对涉嫌违纪或者职务违法、职务犯罪的，按规定程序及时移送纪检监察机关处理。建立基金监管工作容错纠错制度，建立责任追究与尽职免责事项清单，细化追责免责情形，释放监管工作压力，激励监管队伍轻装上阵、担当作为。</w:t>
      </w:r>
    </w:p>
    <w:p w14:paraId="10F051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Calibri" w:hAnsi="Calibri" w:eastAsia="宋体" w:cs="Calibri"/>
          <w:i w:val="0"/>
          <w:iCs w:val="0"/>
          <w:caps w:val="0"/>
          <w:color w:val="000000"/>
          <w:spacing w:val="0"/>
          <w:kern w:val="0"/>
          <w:sz w:val="21"/>
          <w:szCs w:val="21"/>
          <w:bdr w:val="none" w:color="auto" w:sz="0" w:space="0"/>
          <w:lang w:val="en-US" w:eastAsia="zh-CN" w:bidi="ar"/>
        </w:rPr>
        <w:t> </w:t>
      </w:r>
    </w:p>
    <w:p w14:paraId="59FBD3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Calibri" w:hAnsi="Calibri" w:eastAsia="宋体" w:cs="Calibri"/>
          <w:i w:val="0"/>
          <w:iCs w:val="0"/>
          <w:caps w:val="0"/>
          <w:color w:val="000000"/>
          <w:spacing w:val="0"/>
          <w:kern w:val="0"/>
          <w:sz w:val="21"/>
          <w:szCs w:val="21"/>
          <w:bdr w:val="none" w:color="auto" w:sz="0" w:space="0"/>
          <w:lang w:val="en-US" w:eastAsia="zh-CN" w:bidi="ar"/>
        </w:rPr>
        <w:t> </w:t>
      </w:r>
    </w:p>
    <w:p w14:paraId="3AC968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Calibri" w:hAnsi="Calibri" w:eastAsia="宋体" w:cs="Calibri"/>
          <w:i w:val="0"/>
          <w:iCs w:val="0"/>
          <w:caps w:val="0"/>
          <w:color w:val="000000"/>
          <w:spacing w:val="0"/>
          <w:kern w:val="0"/>
          <w:sz w:val="21"/>
          <w:szCs w:val="21"/>
          <w:bdr w:val="none" w:color="auto" w:sz="0" w:space="0"/>
          <w:lang w:val="en-US" w:eastAsia="zh-CN" w:bidi="ar"/>
        </w:rPr>
        <w:t> </w:t>
      </w:r>
    </w:p>
    <w:p w14:paraId="431502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Calibri" w:hAnsi="Calibri" w:eastAsia="宋体" w:cs="Calibri"/>
          <w:i w:val="0"/>
          <w:iCs w:val="0"/>
          <w:caps w:val="0"/>
          <w:color w:val="000000"/>
          <w:spacing w:val="0"/>
          <w:kern w:val="0"/>
          <w:sz w:val="21"/>
          <w:szCs w:val="21"/>
          <w:bdr w:val="none" w:color="auto" w:sz="0" w:space="0"/>
          <w:lang w:val="en-US" w:eastAsia="zh-CN" w:bidi="ar"/>
        </w:rPr>
        <w:t> </w:t>
      </w:r>
    </w:p>
    <w:p w14:paraId="224859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Calibri" w:hAnsi="Calibri" w:eastAsia="宋体" w:cs="Calibri"/>
          <w:i w:val="0"/>
          <w:iCs w:val="0"/>
          <w:caps w:val="0"/>
          <w:color w:val="000000"/>
          <w:spacing w:val="0"/>
          <w:kern w:val="0"/>
          <w:sz w:val="21"/>
          <w:szCs w:val="21"/>
          <w:bdr w:val="none" w:color="auto" w:sz="0" w:space="0"/>
          <w:lang w:val="en-US" w:eastAsia="zh-CN" w:bidi="ar"/>
        </w:rPr>
        <w:t> </w:t>
      </w:r>
    </w:p>
    <w:p w14:paraId="1F99C6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方正小标宋简体" w:hAnsi="方正小标宋简体" w:eastAsia="方正小标宋简体" w:cs="方正小标宋简体"/>
          <w:i w:val="0"/>
          <w:iCs w:val="0"/>
          <w:caps w:val="0"/>
          <w:color w:val="000000"/>
          <w:spacing w:val="0"/>
          <w:kern w:val="0"/>
          <w:sz w:val="44"/>
          <w:szCs w:val="44"/>
          <w:bdr w:val="none" w:color="auto" w:sz="0" w:space="0"/>
          <w:lang w:val="en-US" w:eastAsia="zh-CN" w:bidi="ar"/>
        </w:rPr>
        <w:t>新田县人民政府办公室</w:t>
      </w:r>
    </w:p>
    <w:p w14:paraId="39C123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方正小标宋简体" w:hAnsi="方正小标宋简体" w:eastAsia="方正小标宋简体" w:cs="方正小标宋简体"/>
          <w:i w:val="0"/>
          <w:iCs w:val="0"/>
          <w:caps w:val="0"/>
          <w:color w:val="000000"/>
          <w:spacing w:val="0"/>
          <w:kern w:val="0"/>
          <w:sz w:val="44"/>
          <w:szCs w:val="44"/>
          <w:bdr w:val="none" w:color="auto" w:sz="0" w:space="0"/>
          <w:lang w:val="en-US" w:eastAsia="zh-CN" w:bidi="ar"/>
        </w:rPr>
        <w:t>关于公布规范性文件清理结果的通知</w:t>
      </w:r>
    </w:p>
    <w:p w14:paraId="28C6DA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新政办函〔2024〕20号</w:t>
      </w:r>
    </w:p>
    <w:p w14:paraId="12E681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XTDR-2024-01002</w:t>
      </w:r>
    </w:p>
    <w:p w14:paraId="11CE56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pPr>
      <w:r>
        <w:rPr>
          <w:rFonts w:hint="eastAsia" w:ascii="宋体" w:hAnsi="宋体" w:eastAsia="宋体" w:cs="宋体"/>
          <w:i w:val="0"/>
          <w:iCs w:val="0"/>
          <w:caps w:val="0"/>
          <w:color w:val="000000"/>
          <w:spacing w:val="0"/>
          <w:kern w:val="0"/>
          <w:sz w:val="32"/>
          <w:szCs w:val="32"/>
          <w:bdr w:val="none" w:color="auto" w:sz="0" w:space="0"/>
          <w:lang w:val="en-US" w:eastAsia="zh-CN" w:bidi="ar"/>
        </w:rPr>
        <w:t> </w:t>
      </w:r>
    </w:p>
    <w:p w14:paraId="6F16E4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各乡镇人民政府（街道办事处），县直有关单位：</w:t>
      </w:r>
    </w:p>
    <w:p w14:paraId="0BFBEF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pPr>
      <w:r>
        <w:rPr>
          <w:rFonts w:hint="default" w:ascii="仿宋_GB2312" w:hAnsi="宋体" w:eastAsia="仿宋_GB2312" w:cs="仿宋_GB2312"/>
          <w:i w:val="0"/>
          <w:iCs w:val="0"/>
          <w:caps w:val="0"/>
          <w:color w:val="000000"/>
          <w:spacing w:val="0"/>
          <w:sz w:val="32"/>
          <w:szCs w:val="32"/>
          <w:bdr w:val="none" w:color="auto" w:sz="0" w:space="0"/>
        </w:rPr>
        <w:t>为全面推进依法行政，加快建设法治政府，根据《湖南省行政程序规定》《湖南省规范性文件管理办法》《永州市行政规范性文件管理办法》《新田县人民政府办公室关于规范性文件清理工作的通知》等文件要求，县人民政府组织相关单位，对2019年7月1日至2024年6月30日期间以县人民政府和县人民政府办公室名义出台的规范性文件进行了全面清理，现将清理结果公布如下。</w:t>
      </w:r>
    </w:p>
    <w:p w14:paraId="0456083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pPr>
      <w:r>
        <w:rPr>
          <w:rFonts w:hint="eastAsia" w:ascii="黑体" w:hAnsi="宋体" w:eastAsia="黑体" w:cs="黑体"/>
          <w:i w:val="0"/>
          <w:iCs w:val="0"/>
          <w:caps w:val="0"/>
          <w:color w:val="000000"/>
          <w:spacing w:val="0"/>
          <w:sz w:val="32"/>
          <w:szCs w:val="32"/>
          <w:bdr w:val="none" w:color="auto" w:sz="0" w:space="0"/>
        </w:rPr>
        <w:t>一、清理结果</w:t>
      </w:r>
    </w:p>
    <w:p w14:paraId="028CAC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pPr>
      <w:r>
        <w:rPr>
          <w:rFonts w:hint="default" w:ascii="仿宋_GB2312" w:hAnsi="宋体" w:eastAsia="仿宋_GB2312" w:cs="仿宋_GB2312"/>
          <w:i w:val="0"/>
          <w:iCs w:val="0"/>
          <w:caps w:val="0"/>
          <w:color w:val="000000"/>
          <w:spacing w:val="0"/>
          <w:sz w:val="32"/>
          <w:szCs w:val="32"/>
          <w:bdr w:val="none" w:color="auto" w:sz="0" w:space="0"/>
        </w:rPr>
        <w:t>2019年7月1日至2024年6月30日期间，以县人民政府和县人民政府办公室名义出台规范性的文件共79份，其中：61份文件继续有效、13份文件宣布失效、5份文件予以废止。</w:t>
      </w:r>
    </w:p>
    <w:p w14:paraId="733E72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pPr>
      <w:r>
        <w:rPr>
          <w:rFonts w:hint="eastAsia" w:ascii="黑体" w:hAnsi="宋体" w:eastAsia="黑体" w:cs="黑体"/>
          <w:i w:val="0"/>
          <w:iCs w:val="0"/>
          <w:caps w:val="0"/>
          <w:color w:val="000000"/>
          <w:spacing w:val="0"/>
          <w:sz w:val="32"/>
          <w:szCs w:val="32"/>
          <w:bdr w:val="none" w:color="auto" w:sz="0" w:space="0"/>
        </w:rPr>
        <w:t>二、有关要求</w:t>
      </w:r>
    </w:p>
    <w:p w14:paraId="2A6F5E4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pPr>
      <w:r>
        <w:rPr>
          <w:rFonts w:hint="default" w:ascii="仿宋_GB2312" w:hAnsi="宋体" w:eastAsia="仿宋_GB2312" w:cs="仿宋_GB2312"/>
          <w:i w:val="0"/>
          <w:iCs w:val="0"/>
          <w:caps w:val="0"/>
          <w:color w:val="000000"/>
          <w:spacing w:val="0"/>
          <w:sz w:val="32"/>
          <w:szCs w:val="32"/>
          <w:bdr w:val="none" w:color="auto" w:sz="0" w:space="0"/>
        </w:rPr>
        <w:t>1.规范性文件须依法定期进行清理，清理责任主体为具体负责起草或执行规范性文件的单位。</w:t>
      </w:r>
    </w:p>
    <w:p w14:paraId="25523E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pPr>
      <w:r>
        <w:rPr>
          <w:rFonts w:hint="default" w:ascii="仿宋_GB2312" w:hAnsi="宋体" w:eastAsia="仿宋_GB2312" w:cs="仿宋_GB2312"/>
          <w:i w:val="0"/>
          <w:iCs w:val="0"/>
          <w:caps w:val="0"/>
          <w:color w:val="000000"/>
          <w:spacing w:val="0"/>
          <w:sz w:val="32"/>
          <w:szCs w:val="32"/>
          <w:bdr w:val="none" w:color="auto" w:sz="0" w:space="0"/>
        </w:rPr>
        <w:t>2.已宣布失效和予以废止的规范性文件，自本通知发布之日起不再执行，各乡镇人民政府（街道办事处）、县直各部门不得再将失效和废止的文件作为行政管理活动的依据。相关部门要切实做好规范性文件失效和废止的后续管理工作。</w:t>
      </w:r>
    </w:p>
    <w:p w14:paraId="371A0CE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pPr>
      <w:r>
        <w:rPr>
          <w:rFonts w:hint="default" w:ascii="仿宋_GB2312" w:hAnsi="宋体" w:eastAsia="仿宋_GB2312" w:cs="仿宋_GB2312"/>
          <w:i w:val="0"/>
          <w:iCs w:val="0"/>
          <w:caps w:val="0"/>
          <w:color w:val="000000"/>
          <w:spacing w:val="0"/>
          <w:sz w:val="32"/>
          <w:szCs w:val="32"/>
          <w:bdr w:val="none" w:color="auto" w:sz="0" w:space="0"/>
        </w:rPr>
        <w:t>3.继续有效的规范性文件，有效期自发布或施行之日起计算。规范性文件自身已规定有效期的，按规定的有效期执行。</w:t>
      </w:r>
    </w:p>
    <w:p w14:paraId="5473748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635E32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附件：1.继续有效的规范性文件目录</w:t>
      </w:r>
    </w:p>
    <w:p w14:paraId="10E615C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1664"/>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2.宣布失效的规范性文件目录</w:t>
      </w:r>
    </w:p>
    <w:p w14:paraId="2AAC82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1664"/>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3.予以废止的规范性文件目录</w:t>
      </w:r>
    </w:p>
    <w:p w14:paraId="1A2699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26DEA6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480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新田县人民政府办公室</w:t>
      </w:r>
    </w:p>
    <w:p w14:paraId="56878B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512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2024年11月25日</w:t>
      </w:r>
    </w:p>
    <w:p w14:paraId="300588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40965C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11F681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60CD7D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74BA02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05B56E1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Calibri" w:hAnsi="Calibri" w:eastAsia="宋体" w:cs="Calibri"/>
          <w:i w:val="0"/>
          <w:iCs w:val="0"/>
          <w:caps w:val="0"/>
          <w:color w:val="000000"/>
          <w:spacing w:val="0"/>
          <w:sz w:val="21"/>
          <w:szCs w:val="21"/>
          <w:bdr w:val="none" w:color="auto" w:sz="0" w:space="0"/>
        </w:rPr>
        <w:t> </w:t>
      </w:r>
    </w:p>
    <w:p w14:paraId="2F8C85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37357F5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Calibri" w:hAnsi="Calibri" w:eastAsia="宋体" w:cs="Calibri"/>
          <w:i w:val="0"/>
          <w:iCs w:val="0"/>
          <w:caps w:val="0"/>
          <w:color w:val="000000"/>
          <w:spacing w:val="0"/>
          <w:sz w:val="21"/>
          <w:szCs w:val="21"/>
          <w:bdr w:val="none" w:color="auto" w:sz="0" w:space="0"/>
        </w:rPr>
        <w:t> </w:t>
      </w:r>
    </w:p>
    <w:p w14:paraId="1607D6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Calibri" w:hAnsi="Calibri" w:eastAsia="宋体" w:cs="Calibri"/>
          <w:i w:val="0"/>
          <w:iCs w:val="0"/>
          <w:caps w:val="0"/>
          <w:color w:val="000000"/>
          <w:spacing w:val="0"/>
          <w:kern w:val="0"/>
          <w:sz w:val="21"/>
          <w:szCs w:val="21"/>
          <w:bdr w:val="none" w:color="auto" w:sz="0" w:space="0"/>
          <w:lang w:val="en-US" w:eastAsia="zh-CN" w:bidi="ar"/>
        </w:rPr>
        <w:t> </w:t>
      </w:r>
    </w:p>
    <w:p w14:paraId="1C2F73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64E921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2A5DF5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0FF58E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2BFDCA9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Calibri" w:hAnsi="Calibri" w:eastAsia="宋体" w:cs="Calibri"/>
          <w:i w:val="0"/>
          <w:iCs w:val="0"/>
          <w:caps w:val="0"/>
          <w:color w:val="000000"/>
          <w:spacing w:val="0"/>
          <w:sz w:val="21"/>
          <w:szCs w:val="21"/>
          <w:bdr w:val="none" w:color="auto" w:sz="0" w:space="0"/>
        </w:rPr>
        <w:t> </w:t>
      </w:r>
    </w:p>
    <w:p w14:paraId="0A5C7F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ascii="CESI黑体-GB2312" w:hAnsi="CESI黑体-GB2312" w:eastAsia="CESI黑体-GB2312" w:cs="CESI黑体-GB2312"/>
          <w:i w:val="0"/>
          <w:iCs w:val="0"/>
          <w:caps w:val="0"/>
          <w:color w:val="000000"/>
          <w:spacing w:val="0"/>
          <w:kern w:val="0"/>
          <w:sz w:val="32"/>
          <w:szCs w:val="32"/>
          <w:bdr w:val="none" w:color="auto" w:sz="0" w:space="0"/>
          <w:lang w:val="en-US" w:eastAsia="zh-CN" w:bidi="ar"/>
        </w:rPr>
        <w:t>附件</w:t>
      </w:r>
      <w:r>
        <w:rPr>
          <w:rFonts w:hint="default" w:ascii="CESI黑体-GB2312" w:hAnsi="CESI黑体-GB2312" w:eastAsia="CESI黑体-GB2312" w:cs="CESI黑体-GB2312"/>
          <w:i w:val="0"/>
          <w:iCs w:val="0"/>
          <w:caps w:val="0"/>
          <w:color w:val="000000"/>
          <w:spacing w:val="0"/>
          <w:kern w:val="0"/>
          <w:sz w:val="32"/>
          <w:szCs w:val="32"/>
          <w:bdr w:val="none" w:color="auto" w:sz="0" w:space="0"/>
          <w:lang w:val="en-US" w:eastAsia="zh-CN" w:bidi="ar"/>
        </w:rPr>
        <w:t>1</w:t>
      </w:r>
    </w:p>
    <w:tbl>
      <w:tblPr>
        <w:tblW w:w="9739" w:type="dxa"/>
        <w:tblInd w:w="1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795"/>
        <w:gridCol w:w="6219"/>
        <w:gridCol w:w="2725"/>
      </w:tblGrid>
      <w:tr w14:paraId="4E536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564" w:hRule="atLeast"/>
        </w:trPr>
        <w:tc>
          <w:tcPr>
            <w:tcW w:w="9739" w:type="dxa"/>
            <w:gridSpan w:val="3"/>
            <w:tcBorders>
              <w:top w:val="nil"/>
              <w:left w:val="nil"/>
              <w:bottom w:val="single" w:color="auto" w:sz="8" w:space="0"/>
              <w:right w:val="nil"/>
            </w:tcBorders>
            <w:shd w:val="clear"/>
            <w:tcMar>
              <w:top w:w="0" w:type="dxa"/>
              <w:left w:w="108" w:type="dxa"/>
              <w:bottom w:w="0" w:type="dxa"/>
              <w:right w:w="108" w:type="dxa"/>
            </w:tcMar>
            <w:vAlign w:val="center"/>
          </w:tcPr>
          <w:p w14:paraId="750A86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pPr>
            <w:r>
              <w:rPr>
                <w:rFonts w:hint="default" w:ascii="方正小标宋简体" w:hAnsi="方正小标宋简体" w:eastAsia="方正小标宋简体" w:cs="方正小标宋简体"/>
                <w:kern w:val="0"/>
                <w:sz w:val="44"/>
                <w:szCs w:val="44"/>
                <w:bdr w:val="none" w:color="auto" w:sz="0" w:space="0"/>
                <w:lang w:val="en-US" w:eastAsia="zh-CN" w:bidi="ar"/>
              </w:rPr>
              <w:t>继续有效的规范性文件目录</w:t>
            </w:r>
          </w:p>
        </w:tc>
      </w:tr>
      <w:tr w14:paraId="7AEC8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55" w:hRule="atLeast"/>
        </w:trPr>
        <w:tc>
          <w:tcPr>
            <w:tcW w:w="9739" w:type="dxa"/>
            <w:gridSpan w:val="3"/>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9D6508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eastAsia" w:ascii="仿宋" w:hAnsi="仿宋" w:eastAsia="仿宋" w:cs="仿宋"/>
                <w:b/>
                <w:bCs/>
                <w:kern w:val="0"/>
                <w:sz w:val="30"/>
                <w:szCs w:val="30"/>
                <w:bdr w:val="none" w:color="auto" w:sz="0" w:space="0"/>
                <w:lang w:val="en-US" w:eastAsia="zh-CN" w:bidi="ar"/>
              </w:rPr>
              <w:t>继续有效的县政府文件</w:t>
            </w:r>
          </w:p>
        </w:tc>
      </w:tr>
      <w:tr w14:paraId="60D01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78C29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eastAsia" w:ascii="仿宋" w:hAnsi="仿宋" w:eastAsia="仿宋" w:cs="仿宋"/>
                <w:b/>
                <w:bCs/>
                <w:kern w:val="0"/>
                <w:sz w:val="24"/>
                <w:szCs w:val="24"/>
                <w:bdr w:val="none" w:color="auto" w:sz="0" w:space="0"/>
                <w:lang w:val="en-US" w:eastAsia="zh-CN" w:bidi="ar"/>
              </w:rPr>
              <w:t>序号</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BE889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eastAsia" w:ascii="仿宋" w:hAnsi="仿宋" w:eastAsia="仿宋" w:cs="仿宋"/>
                <w:b/>
                <w:bCs/>
                <w:kern w:val="0"/>
                <w:sz w:val="24"/>
                <w:szCs w:val="24"/>
                <w:bdr w:val="none" w:color="auto" w:sz="0" w:space="0"/>
                <w:lang w:val="en-US" w:eastAsia="zh-CN" w:bidi="ar"/>
              </w:rPr>
              <w:t>文件标题</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E27C9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eastAsia" w:ascii="仿宋" w:hAnsi="仿宋" w:eastAsia="仿宋" w:cs="仿宋"/>
                <w:b/>
                <w:bCs/>
                <w:kern w:val="0"/>
                <w:sz w:val="24"/>
                <w:szCs w:val="24"/>
                <w:bdr w:val="none" w:color="auto" w:sz="0" w:space="0"/>
                <w:lang w:val="en-US" w:eastAsia="zh-CN" w:bidi="ar"/>
              </w:rPr>
              <w:t>发文文号</w:t>
            </w:r>
          </w:p>
        </w:tc>
      </w:tr>
      <w:tr w14:paraId="54B9D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AC48C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08889B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《新田县人民政府关于取缔马路市场的通告》</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1F9731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新政函〔2019〕102号</w:t>
            </w:r>
          </w:p>
        </w:tc>
      </w:tr>
      <w:tr w14:paraId="54CD4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19"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6ABB1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2</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8177C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《新田县人民政府关于印发&lt;新田县农村住房建设管理办法&gt;的通知》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C7125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新政发〔2020〕5号</w:t>
            </w:r>
          </w:p>
        </w:tc>
      </w:tr>
      <w:tr w14:paraId="54556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14"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59C34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3</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0F504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《新田县人民政府关于加强粮食生产和严禁耕地抛荒的通告》</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4A7C3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新政函〔2020〕13号</w:t>
            </w:r>
          </w:p>
        </w:tc>
      </w:tr>
      <w:tr w14:paraId="0020D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707B83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4</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3FC384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《新田县人民政府关于开展电力线路保护区通道砍青扫障工作的通告》</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733A24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新政函〔2020〕16号</w:t>
            </w:r>
          </w:p>
        </w:tc>
      </w:tr>
      <w:tr w14:paraId="7308C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30C29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5</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5A97E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《新田县人民政府关于对柴油货车实施区域限行的通告》</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3A94A0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新政函〔2020〕22号</w:t>
            </w:r>
          </w:p>
        </w:tc>
      </w:tr>
      <w:tr w14:paraId="2ECAB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9E79F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6</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74889B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《新田县人民政府关于划定县城建成区禁止使用高排放非道路移动机械区域的通告》</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008A785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新政函〔2020〕55号</w:t>
            </w:r>
          </w:p>
        </w:tc>
      </w:tr>
      <w:tr w14:paraId="3A871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476F4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7</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74F783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《新田县人民政府关于坚决遏制农村乱占耕地建房的通告》</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047CDC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新政函〔2020〕93号</w:t>
            </w:r>
          </w:p>
        </w:tc>
      </w:tr>
      <w:tr w14:paraId="7EFA6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25ECF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8</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5C68B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《新田县人民政府关于全面禁止河道采砂的通告》</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1770D2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新政函〔2020〕143号</w:t>
            </w:r>
          </w:p>
        </w:tc>
      </w:tr>
      <w:tr w14:paraId="2B637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033CA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9</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82626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《新田县人民政府关于印发&lt;新田县政府投资项目管理办法&gt;的通知》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0DA32D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新政发〔2021〕11号</w:t>
            </w:r>
          </w:p>
        </w:tc>
      </w:tr>
      <w:tr w14:paraId="476DC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26A3D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10</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99114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《新田县人民政府森林防火禁火令》</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25843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新政函〔2021〕91号</w:t>
            </w:r>
          </w:p>
        </w:tc>
      </w:tr>
      <w:tr w14:paraId="3D5C1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B9B84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11</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8249E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《新田县人民政府关于禁止露天焚烧农作物秸秆的通告》</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403EE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新政函〔2021〕112号</w:t>
            </w:r>
          </w:p>
        </w:tc>
      </w:tr>
      <w:tr w14:paraId="17FDA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7D9BDE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12</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69AA2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《新田县人民政府关于印发&lt;新田县促进市场主体高质量发展行动方案（2022-2025年）&gt;的通知》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1D9A9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新政发〔2022〕1号</w:t>
            </w:r>
          </w:p>
        </w:tc>
      </w:tr>
      <w:tr w14:paraId="242AB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7AEE9A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13</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1487A9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《新田县人民政府关于城区及乡镇政府所在地全面禁止燃放烟花爆竹的通告》</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80A4A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新政函〔2022〕9号</w:t>
            </w:r>
          </w:p>
        </w:tc>
      </w:tr>
      <w:tr w14:paraId="5A77D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2E740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14</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975DB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《新田县人民政府关于清明期间森林防火的通告》</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7E73C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新政函〔2022〕21号</w:t>
            </w:r>
          </w:p>
        </w:tc>
      </w:tr>
      <w:tr w14:paraId="655E5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7E2BFC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15</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0D2FB0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《新田县人民政府关于新田县重点水域实行休渔期禁渔的通告》</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17FF5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新政函〔2022〕49号</w:t>
            </w:r>
          </w:p>
        </w:tc>
      </w:tr>
      <w:tr w14:paraId="352AC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3743E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16</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10904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《新田县人民政府关于印发&lt;新田县县级储备粮管理办法&gt;的通知》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11E250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新政发〔2023〕4号</w:t>
            </w:r>
          </w:p>
        </w:tc>
      </w:tr>
      <w:tr w14:paraId="44CC2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0"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AB625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17</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0070438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《新田县人民政府关于公布&lt;实施新田县集体建设用地基准地价、农用地基准地价和城区标定地价&gt;的通知》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36DA52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新政发〔2023〕7号</w:t>
            </w:r>
          </w:p>
        </w:tc>
      </w:tr>
      <w:tr w14:paraId="06BB5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B1ABF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18</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093272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《新田县人民政府关于清明期间“十不准”的通告》</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7CDBC1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新政函〔2023〕25号</w:t>
            </w:r>
          </w:p>
        </w:tc>
      </w:tr>
      <w:tr w14:paraId="3C6A0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17C77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19</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F4FD5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《新田县人民政府关于加强全县烟叶收购市场管理工作的通告》</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3D984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新政函〔2023〕65号</w:t>
            </w:r>
          </w:p>
        </w:tc>
      </w:tr>
      <w:tr w14:paraId="16BC1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DF8DF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20</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07155F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《新田县人民政府关于加强候鸟等野生动物保护的通告》</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1382AC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新政函〔2023〕89号</w:t>
            </w:r>
          </w:p>
        </w:tc>
      </w:tr>
      <w:tr w14:paraId="4EAB6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D7D91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21</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3CF163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《新田县人民政府关于印发&lt;新田县碳达峰实施方案&gt;的通知》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1EB2FD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新政发〔2024〕1号</w:t>
            </w:r>
          </w:p>
        </w:tc>
      </w:tr>
      <w:tr w14:paraId="16796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286" w:hRule="atLeast"/>
        </w:trPr>
        <w:tc>
          <w:tcPr>
            <w:tcW w:w="795" w:type="dxa"/>
            <w:tcBorders>
              <w:top w:val="nil"/>
              <w:left w:val="nil"/>
              <w:bottom w:val="single" w:color="auto" w:sz="8" w:space="0"/>
              <w:right w:val="nil"/>
            </w:tcBorders>
            <w:shd w:val="clear"/>
            <w:tcMar>
              <w:top w:w="0" w:type="dxa"/>
              <w:left w:w="108" w:type="dxa"/>
              <w:bottom w:w="0" w:type="dxa"/>
              <w:right w:w="108" w:type="dxa"/>
            </w:tcMar>
            <w:vAlign w:val="center"/>
          </w:tcPr>
          <w:p w14:paraId="2A53D6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jc w:val="center"/>
            </w:pPr>
            <w:r>
              <w:rPr>
                <w:rFonts w:hint="default" w:ascii="仿宋_GB2312" w:hAnsi="宋体" w:eastAsia="仿宋_GB2312" w:cs="仿宋_GB2312"/>
                <w:kern w:val="0"/>
                <w:sz w:val="24"/>
                <w:szCs w:val="24"/>
                <w:bdr w:val="none" w:color="auto" w:sz="0" w:space="0"/>
                <w:lang w:val="en-US" w:eastAsia="zh-CN" w:bidi="ar"/>
              </w:rPr>
              <w:t> </w:t>
            </w:r>
          </w:p>
        </w:tc>
        <w:tc>
          <w:tcPr>
            <w:tcW w:w="6219" w:type="dxa"/>
            <w:tcBorders>
              <w:top w:val="nil"/>
              <w:left w:val="nil"/>
              <w:bottom w:val="single" w:color="auto" w:sz="8" w:space="0"/>
              <w:right w:val="nil"/>
            </w:tcBorders>
            <w:shd w:val="clear"/>
            <w:tcMar>
              <w:top w:w="0" w:type="dxa"/>
              <w:left w:w="108" w:type="dxa"/>
              <w:bottom w:w="0" w:type="dxa"/>
              <w:right w:w="108" w:type="dxa"/>
            </w:tcMar>
            <w:vAlign w:val="center"/>
          </w:tcPr>
          <w:p w14:paraId="1B7883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 </w:t>
            </w:r>
          </w:p>
        </w:tc>
        <w:tc>
          <w:tcPr>
            <w:tcW w:w="2725" w:type="dxa"/>
            <w:tcBorders>
              <w:top w:val="nil"/>
              <w:left w:val="nil"/>
              <w:bottom w:val="single" w:color="auto" w:sz="8" w:space="0"/>
              <w:right w:val="nil"/>
            </w:tcBorders>
            <w:shd w:val="clear"/>
            <w:tcMar>
              <w:top w:w="0" w:type="dxa"/>
              <w:left w:w="108" w:type="dxa"/>
              <w:bottom w:w="0" w:type="dxa"/>
              <w:right w:w="108" w:type="dxa"/>
            </w:tcMar>
            <w:vAlign w:val="center"/>
          </w:tcPr>
          <w:p w14:paraId="5CE026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 </w:t>
            </w:r>
          </w:p>
        </w:tc>
      </w:tr>
      <w:tr w14:paraId="32D23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7" w:hRule="atLeast"/>
        </w:trPr>
        <w:tc>
          <w:tcPr>
            <w:tcW w:w="9739" w:type="dxa"/>
            <w:gridSpan w:val="3"/>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3AE23F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b/>
                <w:bCs/>
                <w:kern w:val="0"/>
                <w:sz w:val="30"/>
                <w:szCs w:val="30"/>
                <w:bdr w:val="none" w:color="auto" w:sz="0" w:space="0"/>
                <w:lang w:val="en-US" w:eastAsia="zh-CN" w:bidi="ar"/>
              </w:rPr>
              <w:t>继续有效的县政府办公室文件</w:t>
            </w:r>
          </w:p>
        </w:tc>
      </w:tr>
      <w:tr w14:paraId="13C29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70BB5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b/>
                <w:bCs/>
                <w:kern w:val="0"/>
                <w:sz w:val="24"/>
                <w:szCs w:val="24"/>
                <w:bdr w:val="none" w:color="auto" w:sz="0" w:space="0"/>
                <w:lang w:val="en-US" w:eastAsia="zh-CN" w:bidi="ar"/>
              </w:rPr>
              <w:t>序号</w:t>
            </w:r>
          </w:p>
        </w:tc>
        <w:tc>
          <w:tcPr>
            <w:tcW w:w="6219"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center"/>
          </w:tcPr>
          <w:p w14:paraId="035593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b/>
                <w:bCs/>
                <w:kern w:val="0"/>
                <w:sz w:val="24"/>
                <w:szCs w:val="24"/>
                <w:bdr w:val="none" w:color="auto" w:sz="0" w:space="0"/>
                <w:lang w:val="en-US" w:eastAsia="zh-CN" w:bidi="ar"/>
              </w:rPr>
              <w:t>文件标题</w:t>
            </w:r>
          </w:p>
        </w:tc>
        <w:tc>
          <w:tcPr>
            <w:tcW w:w="2725"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center"/>
          </w:tcPr>
          <w:p w14:paraId="0C4FF4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b/>
                <w:bCs/>
                <w:kern w:val="0"/>
                <w:sz w:val="24"/>
                <w:szCs w:val="24"/>
                <w:bdr w:val="none" w:color="auto" w:sz="0" w:space="0"/>
                <w:lang w:val="en-US" w:eastAsia="zh-CN" w:bidi="ar"/>
              </w:rPr>
              <w:t>发文文号</w:t>
            </w:r>
          </w:p>
        </w:tc>
      </w:tr>
      <w:tr w14:paraId="0B962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09"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E7A46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0DCBFA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《新田县人民政府办公室关于印发&lt;新田县“0-6周岁”残疾儿童康复救助制度操作细则&gt;的通知》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47184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新政办发〔2019〕15号</w:t>
            </w:r>
          </w:p>
        </w:tc>
      </w:tr>
      <w:tr w14:paraId="3B55F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98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906B2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2</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43C7C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《新田县人民政府办公室关于印发&lt;新田县全面推行行政执法公示制度执法全过程记录制度重大执法决定法制审核制度的工作方案&gt;的通知》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039E43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新政办发〔2020〕5号</w:t>
            </w:r>
          </w:p>
        </w:tc>
      </w:tr>
      <w:tr w14:paraId="1489F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09"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C437D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3</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3A534B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《新田县人民政府办公室关于印发&lt;新田县畜禽规模养殖“三区”划定方案&gt;的通知》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193FB1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新政办发〔2020〕6号</w:t>
            </w:r>
          </w:p>
        </w:tc>
      </w:tr>
      <w:tr w14:paraId="432E8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09"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345DE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4</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33E7AF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《新田县人民政府办公室关于印发&lt;新田县商品房预售资金监管办法&gt;的通知》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25A9E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新政办发〔2020〕7号</w:t>
            </w:r>
          </w:p>
        </w:tc>
      </w:tr>
      <w:tr w14:paraId="380CD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09"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B6A4A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5</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27B06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《新田县人民政府办公室关于印发&lt;新田县关于进一步加强县本级政府投资项目概算管理的实施办法&gt;的通知》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C08EC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新政办发〔2020〕14号</w:t>
            </w:r>
          </w:p>
        </w:tc>
      </w:tr>
      <w:tr w14:paraId="42D42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09"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D8FC9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6</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A1FC0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《新田县关于贯彻落实&lt;规范国有资金投资工程招标投标活动规定&gt;的实施意见》</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62060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新政办发〔2020〕16号</w:t>
            </w:r>
          </w:p>
        </w:tc>
      </w:tr>
      <w:tr w14:paraId="59D32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982"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98EB1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7</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86C80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《新田县人民政府办公室关于印发&lt;新田县乡镇权力清单和责任清单&gt;和&lt;新田县乡镇村“一门式”政务服务事项清单&gt;的通知》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0E634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新政办发〔2020〕21号</w:t>
            </w:r>
          </w:p>
        </w:tc>
      </w:tr>
      <w:tr w14:paraId="5DB5A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09"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879BF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8</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788916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《新田县人民政府办公室关于贯彻实施行政复议体制改革有关具体事项的通知》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8BFA7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新政办发〔2021〕7号</w:t>
            </w:r>
          </w:p>
        </w:tc>
      </w:tr>
      <w:tr w14:paraId="31444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09"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5D11C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9</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7F1658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《新田县人民政府办公室关于公布规范性文件清理结果的通知》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1F3427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新政办函〔2021〕10号</w:t>
            </w:r>
          </w:p>
        </w:tc>
      </w:tr>
      <w:tr w14:paraId="755D4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09"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25745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10</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9E870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《新田县人民政府办公室关于印发&lt;健康新田行动实施方案&gt;的通知》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DD181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新政办发〔2021〕17号</w:t>
            </w:r>
          </w:p>
        </w:tc>
      </w:tr>
      <w:tr w14:paraId="072DC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09"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77EAB1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11</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052451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《新田县人民政府办公室关于印发&lt;新田县全民科学素质行动规划纲要实施方案（2021-2025年）&gt;的通知》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049E3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新政办发〔2021〕19号</w:t>
            </w:r>
          </w:p>
        </w:tc>
      </w:tr>
      <w:tr w14:paraId="0FB0B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09"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7C71F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12</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3F118B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《新田县人民政府办公室关于印发&lt;新田县医疗救助实施办法&gt;的通知》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56C81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新政办发〔2022〕4号</w:t>
            </w:r>
          </w:p>
        </w:tc>
      </w:tr>
      <w:tr w14:paraId="6B97B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09"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E714D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13</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0B1E5A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《新田县人民政府办公室关于印发&lt;新田县行政事业性国有资产管理办法（试行）&gt;的通知》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3BC9CC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新政办发〔2022〕8号</w:t>
            </w:r>
          </w:p>
        </w:tc>
      </w:tr>
      <w:tr w14:paraId="406FB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80"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975CC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14</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142B1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left"/>
            </w:pPr>
            <w:r>
              <w:rPr>
                <w:rFonts w:hint="default" w:ascii="仿宋_GB2312" w:hAnsi="宋体" w:eastAsia="仿宋_GB2312" w:cs="仿宋_GB2312"/>
                <w:kern w:val="0"/>
                <w:sz w:val="24"/>
                <w:szCs w:val="24"/>
                <w:bdr w:val="none" w:color="auto" w:sz="0" w:space="0"/>
                <w:lang w:val="en-US" w:eastAsia="zh-CN" w:bidi="ar"/>
              </w:rPr>
              <w:t>《</w:t>
            </w:r>
            <w:r>
              <w:rPr>
                <w:rFonts w:hint="default" w:ascii="仿宋_GB2312" w:hAnsi="宋体" w:eastAsia="仿宋_GB2312" w:cs="仿宋_GB2312"/>
                <w:spacing w:val="-8"/>
                <w:kern w:val="0"/>
                <w:sz w:val="24"/>
                <w:szCs w:val="24"/>
                <w:bdr w:val="none" w:color="auto" w:sz="0" w:space="0"/>
                <w:lang w:val="en-US" w:eastAsia="zh-CN" w:bidi="ar"/>
              </w:rPr>
              <w:t>新田县人民政府办公室关于印发&lt;新田县落实企业上市“金芙蓉”跃升行动计划工作方案（2022-2026年）&gt;的通知》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6F2076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新政办发〔2022〕10号</w:t>
            </w:r>
          </w:p>
        </w:tc>
      </w:tr>
      <w:tr w14:paraId="732A6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80"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18DF0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15</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5994E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《新田县人民政府办公室关于印发&lt;新田县2022-2026年烟花爆竹经营零售网点布点规划&gt;的通知》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500B6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新政办发〔2022〕12号</w:t>
            </w:r>
          </w:p>
        </w:tc>
      </w:tr>
      <w:tr w14:paraId="7B063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80"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7A533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16</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B3031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《新田县人民政府办公室关于印发&lt;进一步规范政府性投资项目决策和立项防范政府债务风险的管理办法&gt;的通知》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14CFC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新政办发〔2022〕13号</w:t>
            </w:r>
          </w:p>
        </w:tc>
      </w:tr>
      <w:tr w14:paraId="75B79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80"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179CF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17</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05202B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《新田县人民政府办公室关于印发&lt;新田县全面加强药品监管能力建设的实施方案&gt;的通知》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752145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新政办发〔2022〕14号</w:t>
            </w:r>
          </w:p>
        </w:tc>
      </w:tr>
      <w:tr w14:paraId="57DEE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80"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F9F86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18</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05108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《新田县人民政府办公室关于印发&lt;新田县全面推进县城区城市更新工作实施办法&gt;的通知》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E2D9E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新政办发〔2022〕15号</w:t>
            </w:r>
          </w:p>
        </w:tc>
      </w:tr>
      <w:tr w14:paraId="03E11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80"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2FBC8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19</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7B72FE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《新田县人民政府办公室关于公布涉及居民自建房内容的规范性文件清理结果的通知》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BA26B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新政办函〔2022〕 23号</w:t>
            </w:r>
          </w:p>
        </w:tc>
      </w:tr>
      <w:tr w14:paraId="17325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80"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8BAE7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20</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0E3AB4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《新田县人民政府办公室关于印发&lt;新田县促进旅游发展十条措施&gt;的通知》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7A8F4F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新政办发〔2023〕1号</w:t>
            </w:r>
          </w:p>
        </w:tc>
      </w:tr>
      <w:tr w14:paraId="3EBE5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80"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7F0B1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21</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85AB9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《新田县人民政府办公室印发&lt;关于巩固拓展国有林场改革成果推进秀美林场建设工作方案&gt;的通知》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8DD52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新政办发〔2023〕3号</w:t>
            </w:r>
          </w:p>
        </w:tc>
      </w:tr>
      <w:tr w14:paraId="23025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80"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761E95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22</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B2E45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《新田县人民政府办公室关于印发&lt;新田县基本建设项目资金管理暂行办法&gt;的通知》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782AB8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新政办发〔2023〕4号</w:t>
            </w:r>
          </w:p>
        </w:tc>
      </w:tr>
      <w:tr w14:paraId="24C42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80"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85731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23</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1101E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《新田县人民政府办公室关于印发&lt;新田县行政许可事项清单（2023年版）&gt;的通知》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1700E2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新政办发〔2023〕9号</w:t>
            </w:r>
          </w:p>
        </w:tc>
      </w:tr>
      <w:tr w14:paraId="27C26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80"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CEFA6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pPr>
            <w:r>
              <w:rPr>
                <w:rFonts w:hint="default" w:ascii="仿宋_GB2312" w:hAnsi="宋体" w:eastAsia="仿宋_GB2312" w:cs="仿宋_GB2312"/>
                <w:kern w:val="0"/>
                <w:sz w:val="24"/>
                <w:szCs w:val="24"/>
                <w:bdr w:val="none" w:color="auto" w:sz="0" w:space="0"/>
                <w:lang w:val="en-US" w:eastAsia="zh-CN" w:bidi="ar"/>
              </w:rPr>
              <w:t>24</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B6234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《新田县人民政府办公室关于印发&lt;新田县耕地地力保护补贴政策实施方案&gt;的通知》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0F0C68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新政办发〔2023〕10号</w:t>
            </w:r>
          </w:p>
        </w:tc>
      </w:tr>
      <w:tr w14:paraId="4729B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80"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1C309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pPr>
            <w:r>
              <w:rPr>
                <w:rFonts w:hint="default" w:ascii="仿宋_GB2312" w:hAnsi="宋体" w:eastAsia="仿宋_GB2312" w:cs="仿宋_GB2312"/>
                <w:kern w:val="0"/>
                <w:sz w:val="24"/>
                <w:szCs w:val="24"/>
                <w:bdr w:val="none" w:color="auto" w:sz="0" w:space="0"/>
                <w:lang w:val="en-US" w:eastAsia="zh-CN" w:bidi="ar"/>
              </w:rPr>
              <w:t>25</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128C8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《新田县人民政府办公室关于印发&lt;新田县促进残疾人就业三年行动实施方案（2023-2025年）&gt;的通知》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F606F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新政办发〔2023〕11号</w:t>
            </w:r>
          </w:p>
        </w:tc>
      </w:tr>
      <w:tr w14:paraId="7D4D3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80"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4881C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pPr>
            <w:r>
              <w:rPr>
                <w:rFonts w:hint="default" w:ascii="仿宋_GB2312" w:hAnsi="宋体" w:eastAsia="仿宋_GB2312" w:cs="仿宋_GB2312"/>
                <w:kern w:val="0"/>
                <w:sz w:val="24"/>
                <w:szCs w:val="24"/>
                <w:bdr w:val="none" w:color="auto" w:sz="0" w:space="0"/>
                <w:lang w:val="en-US" w:eastAsia="zh-CN" w:bidi="ar"/>
              </w:rPr>
              <w:t>26</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7A4811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《新田县人民政府办公室关于印发&lt;新田县政府投资建设项目审计监督办法&gt;的通知》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396D01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新政办发〔2023〕12号</w:t>
            </w:r>
          </w:p>
        </w:tc>
      </w:tr>
      <w:tr w14:paraId="6D19D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940"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F5D9E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pPr>
            <w:r>
              <w:rPr>
                <w:rFonts w:hint="default" w:ascii="仿宋_GB2312" w:hAnsi="宋体" w:eastAsia="仿宋_GB2312" w:cs="仿宋_GB2312"/>
                <w:kern w:val="0"/>
                <w:sz w:val="24"/>
                <w:szCs w:val="24"/>
                <w:bdr w:val="none" w:color="auto" w:sz="0" w:space="0"/>
                <w:lang w:val="en-US" w:eastAsia="zh-CN" w:bidi="ar"/>
              </w:rPr>
              <w:t>27</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1910B8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《新田县人民政府办公室关于印发&lt;新田县14周岁以下儿童凭有效证件和退役军人凭优待证免费乘坐公交车实施方案&gt;的通知》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C8F96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新政办发〔2023〕13号</w:t>
            </w:r>
          </w:p>
        </w:tc>
      </w:tr>
      <w:tr w14:paraId="4066D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80"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52314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pPr>
            <w:r>
              <w:rPr>
                <w:rFonts w:hint="default" w:ascii="仿宋_GB2312" w:hAnsi="宋体" w:eastAsia="仿宋_GB2312" w:cs="仿宋_GB2312"/>
                <w:kern w:val="0"/>
                <w:sz w:val="24"/>
                <w:szCs w:val="24"/>
                <w:bdr w:val="none" w:color="auto" w:sz="0" w:space="0"/>
                <w:lang w:val="en-US" w:eastAsia="zh-CN" w:bidi="ar"/>
              </w:rPr>
              <w:t>28</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EC2C8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《新田县人民政府办公室关于印发&lt;新田县县长质量奖管理办法&gt;的通知》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0758A1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新政办发〔2023〕14号</w:t>
            </w:r>
          </w:p>
        </w:tc>
      </w:tr>
      <w:tr w14:paraId="2AD33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80"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A2750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pPr>
            <w:r>
              <w:rPr>
                <w:rFonts w:hint="default" w:ascii="仿宋_GB2312" w:hAnsi="宋体" w:eastAsia="仿宋_GB2312" w:cs="仿宋_GB2312"/>
                <w:kern w:val="0"/>
                <w:sz w:val="24"/>
                <w:szCs w:val="24"/>
                <w:bdr w:val="none" w:color="auto" w:sz="0" w:space="0"/>
                <w:lang w:val="en-US" w:eastAsia="zh-CN" w:bidi="ar"/>
              </w:rPr>
              <w:t>29</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02FE2E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《新田县人民政府办公室关于印发&lt;新田县粮食应急预案&gt;的通知》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34A41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新政办发〔2023〕17号</w:t>
            </w:r>
          </w:p>
        </w:tc>
      </w:tr>
      <w:tr w14:paraId="42E18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80"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912B8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pPr>
            <w:r>
              <w:rPr>
                <w:rFonts w:hint="default" w:ascii="仿宋_GB2312" w:hAnsi="宋体" w:eastAsia="仿宋_GB2312" w:cs="仿宋_GB2312"/>
                <w:kern w:val="0"/>
                <w:sz w:val="24"/>
                <w:szCs w:val="24"/>
                <w:bdr w:val="none" w:color="auto" w:sz="0" w:space="0"/>
                <w:lang w:val="en-US" w:eastAsia="zh-CN" w:bidi="ar"/>
              </w:rPr>
              <w:t>30</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39C89A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《新田县人民政府办公室关于印发&lt;新田县推进基本养老服务体系建设实施方案&gt;的通知》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313D5C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新政办发〔2023〕18号</w:t>
            </w:r>
          </w:p>
        </w:tc>
      </w:tr>
      <w:tr w14:paraId="11A01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80"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FDA66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pPr>
            <w:r>
              <w:rPr>
                <w:rFonts w:hint="default" w:ascii="仿宋_GB2312" w:hAnsi="宋体" w:eastAsia="仿宋_GB2312" w:cs="仿宋_GB2312"/>
                <w:kern w:val="0"/>
                <w:sz w:val="24"/>
                <w:szCs w:val="24"/>
                <w:bdr w:val="none" w:color="auto" w:sz="0" w:space="0"/>
                <w:lang w:val="en-US" w:eastAsia="zh-CN" w:bidi="ar"/>
              </w:rPr>
              <w:t>31</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738C9E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《新田县落实&lt;湖南省居民自建房安全管理若干规定&gt;的实施意见（暂行）》</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01C463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新政办发〔2023〕19号</w:t>
            </w:r>
          </w:p>
        </w:tc>
      </w:tr>
      <w:tr w14:paraId="49668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80"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C6A85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pPr>
            <w:r>
              <w:rPr>
                <w:rFonts w:hint="default" w:ascii="仿宋_GB2312" w:hAnsi="宋体" w:eastAsia="仿宋_GB2312" w:cs="仿宋_GB2312"/>
                <w:kern w:val="0"/>
                <w:sz w:val="24"/>
                <w:szCs w:val="24"/>
                <w:bdr w:val="none" w:color="auto" w:sz="0" w:space="0"/>
                <w:lang w:val="en-US" w:eastAsia="zh-CN" w:bidi="ar"/>
              </w:rPr>
              <w:t>32</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82A53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《新田县人民政府办公室印发&lt;关于建立健全医疗保障基金使用监督管理长效机制的实施方案&gt;的通知》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334170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新政办发〔2024〕3号</w:t>
            </w:r>
          </w:p>
        </w:tc>
      </w:tr>
      <w:tr w14:paraId="2F60A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25" w:hRule="atLeast"/>
        </w:trPr>
        <w:tc>
          <w:tcPr>
            <w:tcW w:w="9739" w:type="dxa"/>
            <w:gridSpan w:val="3"/>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C7928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b/>
                <w:bCs/>
                <w:kern w:val="0"/>
                <w:sz w:val="30"/>
                <w:szCs w:val="30"/>
                <w:bdr w:val="none" w:color="auto" w:sz="0" w:space="0"/>
                <w:lang w:val="en-US" w:eastAsia="zh-CN" w:bidi="ar"/>
              </w:rPr>
              <w:t>继续有效的部门文件</w:t>
            </w:r>
          </w:p>
        </w:tc>
      </w:tr>
      <w:tr w14:paraId="4A703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09"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F3E80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b/>
                <w:bCs/>
                <w:kern w:val="0"/>
                <w:sz w:val="24"/>
                <w:szCs w:val="24"/>
                <w:bdr w:val="none" w:color="auto" w:sz="0" w:space="0"/>
                <w:lang w:val="en-US" w:eastAsia="zh-CN" w:bidi="ar"/>
              </w:rPr>
              <w:t>序号</w:t>
            </w:r>
          </w:p>
        </w:tc>
        <w:tc>
          <w:tcPr>
            <w:tcW w:w="6219"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center"/>
          </w:tcPr>
          <w:p w14:paraId="1422C2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b/>
                <w:bCs/>
                <w:kern w:val="0"/>
                <w:sz w:val="24"/>
                <w:szCs w:val="24"/>
                <w:bdr w:val="none" w:color="auto" w:sz="0" w:space="0"/>
                <w:lang w:val="en-US" w:eastAsia="zh-CN" w:bidi="ar"/>
              </w:rPr>
              <w:t>文件标题</w:t>
            </w:r>
          </w:p>
        </w:tc>
        <w:tc>
          <w:tcPr>
            <w:tcW w:w="2725"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center"/>
          </w:tcPr>
          <w:p w14:paraId="31B0C2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b/>
                <w:bCs/>
                <w:kern w:val="0"/>
                <w:sz w:val="24"/>
                <w:szCs w:val="24"/>
                <w:bdr w:val="none" w:color="auto" w:sz="0" w:space="0"/>
                <w:lang w:val="en-US" w:eastAsia="zh-CN" w:bidi="ar"/>
              </w:rPr>
              <w:t>发文文号</w:t>
            </w:r>
          </w:p>
        </w:tc>
      </w:tr>
      <w:tr w14:paraId="166B7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031"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9F365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1</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A6A4A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《新田县住房和城乡建设局 新田县财政局 新田县发展和改革局关于开展新田县房屋建筑和市政基础设施工程“多审合一”“多图联审”施工图审查服务的通知》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B0EB5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新住建联发〔2019〕1号</w:t>
            </w:r>
          </w:p>
        </w:tc>
      </w:tr>
      <w:tr w14:paraId="65E29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989"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3D094E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2</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7E501D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《新田县残疾人联合会 新田县医疗保障局 新田县财政局关于印发&lt;新田县残疾儿童康复救助资金结算办法&gt;的通知》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1E03C4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left"/>
            </w:pPr>
            <w:r>
              <w:rPr>
                <w:rFonts w:hint="default" w:ascii="仿宋_GB2312" w:hAnsi="宋体" w:eastAsia="仿宋_GB2312" w:cs="仿宋_GB2312"/>
                <w:kern w:val="0"/>
                <w:sz w:val="24"/>
                <w:szCs w:val="24"/>
                <w:bdr w:val="none" w:color="auto" w:sz="0" w:space="0"/>
                <w:lang w:val="en-US" w:eastAsia="zh-CN" w:bidi="ar"/>
              </w:rPr>
              <w:t>新残联发〔2020〕2号</w:t>
            </w:r>
          </w:p>
        </w:tc>
      </w:tr>
      <w:tr w14:paraId="2D2BF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09"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9640E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3</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3FF4C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《新田县住房和城乡建设局 新田县财政局关于规范前期费用上限控制计价办法的通知》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3A7383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新住建联发〔2021〕01号</w:t>
            </w:r>
          </w:p>
        </w:tc>
      </w:tr>
      <w:tr w14:paraId="7A750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140"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E3DB2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4</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9241A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《新田县住房和城乡建设局 新田县财政局关于新田县政府投资项目执行2020&lt;湖南省建设工程计价办法&gt;有关规定的通知》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9A0A5C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新住建联发〔2021〕02号</w:t>
            </w:r>
          </w:p>
        </w:tc>
      </w:tr>
      <w:tr w14:paraId="07EA8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3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2919F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5</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AA864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《新田县住房和城乡建设局关于印发&lt;新田县商品房预售资金监管实施细则&gt;的通知》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73E78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新住建发〔2023〕1 号</w:t>
            </w:r>
          </w:p>
        </w:tc>
      </w:tr>
      <w:tr w14:paraId="67339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3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A15B8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6</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76C561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《新田县民政局关于印发&lt;新田县特困人员认定实施细则&gt;的通知》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05E9C7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新民发〔2022〕18号</w:t>
            </w:r>
          </w:p>
        </w:tc>
      </w:tr>
      <w:tr w14:paraId="74A01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3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20E05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7</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73544B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《新田县民政局关于印发&lt;新田县最低生活保障审核确认办法&gt;的通知》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B39F3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新民发〔2022〕19号</w:t>
            </w:r>
          </w:p>
        </w:tc>
      </w:tr>
      <w:tr w14:paraId="7036E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37" w:hRule="atLeast"/>
        </w:trPr>
        <w:tc>
          <w:tcPr>
            <w:tcW w:w="795"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11B9B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right="0"/>
              <w:jc w:val="center"/>
            </w:pPr>
            <w:r>
              <w:rPr>
                <w:rFonts w:hint="default" w:ascii="仿宋_GB2312" w:hAnsi="宋体" w:eastAsia="仿宋_GB2312" w:cs="仿宋_GB2312"/>
                <w:kern w:val="0"/>
                <w:sz w:val="24"/>
                <w:szCs w:val="24"/>
                <w:bdr w:val="none" w:color="auto" w:sz="0" w:space="0"/>
                <w:lang w:val="en-US" w:eastAsia="zh-CN" w:bidi="ar"/>
              </w:rPr>
              <w:t>8</w:t>
            </w:r>
          </w:p>
        </w:tc>
        <w:tc>
          <w:tcPr>
            <w:tcW w:w="6219"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86315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《新田县司法局关于印发&lt;新田县司法行政部门不予、减轻、从轻行政处罚事项“三张清单”（第一批）&gt;的通知》</w:t>
            </w:r>
          </w:p>
        </w:tc>
        <w:tc>
          <w:tcPr>
            <w:tcW w:w="2725"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57B68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新司法发〔2024〕1号</w:t>
            </w:r>
          </w:p>
        </w:tc>
      </w:tr>
    </w:tbl>
    <w:p w14:paraId="5F0EBA7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0687C0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773CFB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56EA94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445731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7A292F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665480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2EE1ED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6B6890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Calibri" w:hAnsi="Calibri" w:eastAsia="宋体" w:cs="Calibri"/>
          <w:i w:val="0"/>
          <w:iCs w:val="0"/>
          <w:caps w:val="0"/>
          <w:color w:val="000000"/>
          <w:spacing w:val="0"/>
          <w:sz w:val="21"/>
          <w:szCs w:val="21"/>
          <w:bdr w:val="none" w:color="auto" w:sz="0" w:space="0"/>
        </w:rPr>
        <w:t> </w:t>
      </w:r>
    </w:p>
    <w:p w14:paraId="28A24E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CESI黑体-GB2312" w:hAnsi="CESI黑体-GB2312" w:eastAsia="CESI黑体-GB2312" w:cs="CESI黑体-GB2312"/>
          <w:i w:val="0"/>
          <w:iCs w:val="0"/>
          <w:caps w:val="0"/>
          <w:color w:val="000000"/>
          <w:spacing w:val="0"/>
          <w:kern w:val="0"/>
          <w:sz w:val="32"/>
          <w:szCs w:val="32"/>
          <w:bdr w:val="none" w:color="auto" w:sz="0" w:space="0"/>
          <w:lang w:val="en-US" w:eastAsia="zh-CN" w:bidi="ar"/>
        </w:rPr>
        <w:t>附件2</w:t>
      </w:r>
    </w:p>
    <w:tbl>
      <w:tblPr>
        <w:tblW w:w="930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733"/>
        <w:gridCol w:w="63"/>
        <w:gridCol w:w="5801"/>
        <w:gridCol w:w="2711"/>
      </w:tblGrid>
      <w:tr w14:paraId="4CBB8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459" w:hRule="atLeast"/>
          <w:jc w:val="center"/>
        </w:trPr>
        <w:tc>
          <w:tcPr>
            <w:tcW w:w="9308" w:type="dxa"/>
            <w:gridSpan w:val="4"/>
            <w:tcBorders>
              <w:top w:val="nil"/>
              <w:left w:val="nil"/>
              <w:bottom w:val="single" w:color="auto" w:sz="8" w:space="0"/>
              <w:right w:val="nil"/>
            </w:tcBorders>
            <w:shd w:val="clear"/>
            <w:tcMar>
              <w:top w:w="0" w:type="dxa"/>
              <w:left w:w="108" w:type="dxa"/>
              <w:bottom w:w="0" w:type="dxa"/>
              <w:right w:w="108" w:type="dxa"/>
            </w:tcMar>
            <w:vAlign w:val="center"/>
          </w:tcPr>
          <w:p w14:paraId="0E28CA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方正小标宋简体" w:hAnsi="方正小标宋简体" w:eastAsia="方正小标宋简体" w:cs="方正小标宋简体"/>
                <w:kern w:val="0"/>
                <w:sz w:val="44"/>
                <w:szCs w:val="44"/>
                <w:bdr w:val="none" w:color="auto" w:sz="0" w:space="0"/>
                <w:lang w:val="en-US" w:eastAsia="zh-CN" w:bidi="ar"/>
              </w:rPr>
              <w:t>宣布失效的规范性文件目录</w:t>
            </w:r>
          </w:p>
        </w:tc>
      </w:tr>
      <w:tr w14:paraId="0ADFE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17" w:hRule="atLeast"/>
          <w:jc w:val="center"/>
        </w:trPr>
        <w:tc>
          <w:tcPr>
            <w:tcW w:w="9308" w:type="dxa"/>
            <w:gridSpan w:val="4"/>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6CC4F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b/>
                <w:bCs/>
                <w:kern w:val="0"/>
                <w:sz w:val="28"/>
                <w:szCs w:val="28"/>
                <w:bdr w:val="none" w:color="auto" w:sz="0" w:space="0"/>
                <w:lang w:val="en-US" w:eastAsia="zh-CN" w:bidi="ar"/>
              </w:rPr>
              <w:t>宣布失效的县政府文件</w:t>
            </w:r>
          </w:p>
        </w:tc>
      </w:tr>
      <w:tr w14:paraId="02952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487" w:hRule="atLeast"/>
          <w:jc w:val="center"/>
        </w:trPr>
        <w:tc>
          <w:tcPr>
            <w:tcW w:w="733"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45193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b/>
                <w:bCs/>
                <w:kern w:val="0"/>
                <w:sz w:val="24"/>
                <w:szCs w:val="24"/>
                <w:bdr w:val="none" w:color="auto" w:sz="0" w:space="0"/>
                <w:lang w:val="en-US" w:eastAsia="zh-CN" w:bidi="ar"/>
              </w:rPr>
              <w:t>序号</w:t>
            </w:r>
          </w:p>
        </w:tc>
        <w:tc>
          <w:tcPr>
            <w:tcW w:w="5864"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EE4D2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b/>
                <w:bCs/>
                <w:kern w:val="0"/>
                <w:sz w:val="24"/>
                <w:szCs w:val="24"/>
                <w:bdr w:val="none" w:color="auto" w:sz="0" w:space="0"/>
                <w:lang w:val="en-US" w:eastAsia="zh-CN" w:bidi="ar"/>
              </w:rPr>
              <w:t>文件标题</w:t>
            </w:r>
          </w:p>
        </w:tc>
        <w:tc>
          <w:tcPr>
            <w:tcW w:w="2711"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D9FA3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b/>
                <w:bCs/>
                <w:kern w:val="0"/>
                <w:sz w:val="24"/>
                <w:szCs w:val="24"/>
                <w:bdr w:val="none" w:color="auto" w:sz="0" w:space="0"/>
                <w:lang w:val="en-US" w:eastAsia="zh-CN" w:bidi="ar"/>
              </w:rPr>
              <w:t>发文文号</w:t>
            </w:r>
          </w:p>
        </w:tc>
      </w:tr>
      <w:tr w14:paraId="6C7F1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64" w:hRule="atLeast"/>
          <w:jc w:val="center"/>
        </w:trPr>
        <w:tc>
          <w:tcPr>
            <w:tcW w:w="733"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A40EA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1</w:t>
            </w:r>
          </w:p>
        </w:tc>
        <w:tc>
          <w:tcPr>
            <w:tcW w:w="5864"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105DA6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《新田县人民政府关于调整新田县征地补偿标准及征地补偿片区划分的通知》</w:t>
            </w:r>
          </w:p>
        </w:tc>
        <w:tc>
          <w:tcPr>
            <w:tcW w:w="2711"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3DF761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新政发〔2019〕5号</w:t>
            </w:r>
          </w:p>
        </w:tc>
      </w:tr>
      <w:tr w14:paraId="27027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02" w:hRule="atLeast"/>
          <w:jc w:val="center"/>
        </w:trPr>
        <w:tc>
          <w:tcPr>
            <w:tcW w:w="733"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ED8A0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2</w:t>
            </w:r>
          </w:p>
        </w:tc>
        <w:tc>
          <w:tcPr>
            <w:tcW w:w="5864"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11806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《新田县人民政府关于做好我县春运工作的通告》</w:t>
            </w:r>
          </w:p>
        </w:tc>
        <w:tc>
          <w:tcPr>
            <w:tcW w:w="2711"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4D206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新政函〔2020〕2号</w:t>
            </w:r>
          </w:p>
        </w:tc>
      </w:tr>
      <w:tr w14:paraId="7E056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89" w:hRule="atLeast"/>
          <w:jc w:val="center"/>
        </w:trPr>
        <w:tc>
          <w:tcPr>
            <w:tcW w:w="733"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3612A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3</w:t>
            </w:r>
          </w:p>
        </w:tc>
        <w:tc>
          <w:tcPr>
            <w:tcW w:w="5864"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C61DB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《新田县人民政府关于清明期间“十不准”的通告》</w:t>
            </w:r>
          </w:p>
        </w:tc>
        <w:tc>
          <w:tcPr>
            <w:tcW w:w="2711"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108CB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新政函〔2020〕11号</w:t>
            </w:r>
          </w:p>
        </w:tc>
      </w:tr>
      <w:tr w14:paraId="3A8B5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26" w:hRule="atLeast"/>
          <w:jc w:val="center"/>
        </w:trPr>
        <w:tc>
          <w:tcPr>
            <w:tcW w:w="733"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A16E6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4</w:t>
            </w:r>
          </w:p>
        </w:tc>
        <w:tc>
          <w:tcPr>
            <w:tcW w:w="5864"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094CF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《新田县人民政府森林防火禁火令》</w:t>
            </w:r>
          </w:p>
        </w:tc>
        <w:tc>
          <w:tcPr>
            <w:tcW w:w="2711"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BEF32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新政函〔2020〕100号</w:t>
            </w:r>
          </w:p>
        </w:tc>
      </w:tr>
      <w:tr w14:paraId="63374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64" w:hRule="atLeast"/>
          <w:jc w:val="center"/>
        </w:trPr>
        <w:tc>
          <w:tcPr>
            <w:tcW w:w="733"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AF462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5</w:t>
            </w:r>
          </w:p>
        </w:tc>
        <w:tc>
          <w:tcPr>
            <w:tcW w:w="5864"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974D9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《新田县人民政府关于做好我县2021年春运工作的通告》</w:t>
            </w:r>
          </w:p>
        </w:tc>
        <w:tc>
          <w:tcPr>
            <w:tcW w:w="2711"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5F899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新政函〔2021〕8号</w:t>
            </w:r>
          </w:p>
        </w:tc>
      </w:tr>
      <w:tr w14:paraId="3FEEA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89" w:hRule="atLeast"/>
          <w:jc w:val="center"/>
        </w:trPr>
        <w:tc>
          <w:tcPr>
            <w:tcW w:w="733"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11D0C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6</w:t>
            </w:r>
          </w:p>
        </w:tc>
        <w:tc>
          <w:tcPr>
            <w:tcW w:w="5864"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1C7641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《新田县人民政府关于做好我县2022年春运工作的通告》</w:t>
            </w:r>
          </w:p>
        </w:tc>
        <w:tc>
          <w:tcPr>
            <w:tcW w:w="2711"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3073F9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新政函〔2022〕13号</w:t>
            </w:r>
          </w:p>
        </w:tc>
      </w:tr>
      <w:tr w14:paraId="7E612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14" w:hRule="atLeast"/>
          <w:jc w:val="center"/>
        </w:trPr>
        <w:tc>
          <w:tcPr>
            <w:tcW w:w="733"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E2992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7</w:t>
            </w:r>
          </w:p>
        </w:tc>
        <w:tc>
          <w:tcPr>
            <w:tcW w:w="5864"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5B811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《新田县人民政府关于清明期间“十不准”的通告》</w:t>
            </w:r>
          </w:p>
        </w:tc>
        <w:tc>
          <w:tcPr>
            <w:tcW w:w="2711"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76A1FC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新政函〔2022〕25号</w:t>
            </w:r>
          </w:p>
        </w:tc>
      </w:tr>
      <w:tr w14:paraId="156F6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89" w:hRule="atLeast"/>
          <w:jc w:val="center"/>
        </w:trPr>
        <w:tc>
          <w:tcPr>
            <w:tcW w:w="733"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9CE92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8</w:t>
            </w:r>
          </w:p>
        </w:tc>
        <w:tc>
          <w:tcPr>
            <w:tcW w:w="5864"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CC7FE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《新田县人民政府2022年封山禁火令》</w:t>
            </w:r>
          </w:p>
        </w:tc>
        <w:tc>
          <w:tcPr>
            <w:tcW w:w="2711"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0C105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新政函〔2022〕105号</w:t>
            </w:r>
          </w:p>
        </w:tc>
      </w:tr>
      <w:tr w14:paraId="6A143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27" w:hRule="atLeast"/>
          <w:jc w:val="center"/>
        </w:trPr>
        <w:tc>
          <w:tcPr>
            <w:tcW w:w="733"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6E271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9</w:t>
            </w:r>
          </w:p>
        </w:tc>
        <w:tc>
          <w:tcPr>
            <w:tcW w:w="5864"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7CF1A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《新田县人民政府关于做好2023年我县春运工作的通告》</w:t>
            </w:r>
          </w:p>
        </w:tc>
        <w:tc>
          <w:tcPr>
            <w:tcW w:w="2711"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95CE9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新政函〔2023〕11号</w:t>
            </w:r>
          </w:p>
        </w:tc>
      </w:tr>
      <w:tr w14:paraId="276F4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327" w:hRule="atLeast"/>
          <w:jc w:val="center"/>
        </w:trPr>
        <w:tc>
          <w:tcPr>
            <w:tcW w:w="733" w:type="dxa"/>
            <w:tcBorders>
              <w:top w:val="nil"/>
              <w:left w:val="nil"/>
              <w:bottom w:val="single" w:color="auto" w:sz="8" w:space="0"/>
              <w:right w:val="nil"/>
            </w:tcBorders>
            <w:shd w:val="clear"/>
            <w:tcMar>
              <w:top w:w="0" w:type="dxa"/>
              <w:left w:w="108" w:type="dxa"/>
              <w:bottom w:w="0" w:type="dxa"/>
              <w:right w:w="108" w:type="dxa"/>
            </w:tcMar>
            <w:vAlign w:val="center"/>
          </w:tcPr>
          <w:p w14:paraId="5A55F2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 </w:t>
            </w:r>
          </w:p>
        </w:tc>
        <w:tc>
          <w:tcPr>
            <w:tcW w:w="5864" w:type="dxa"/>
            <w:gridSpan w:val="2"/>
            <w:tcBorders>
              <w:top w:val="nil"/>
              <w:left w:val="nil"/>
              <w:bottom w:val="single" w:color="auto" w:sz="8" w:space="0"/>
              <w:right w:val="nil"/>
            </w:tcBorders>
            <w:shd w:val="clear"/>
            <w:tcMar>
              <w:top w:w="0" w:type="dxa"/>
              <w:left w:w="108" w:type="dxa"/>
              <w:bottom w:w="0" w:type="dxa"/>
              <w:right w:w="108" w:type="dxa"/>
            </w:tcMar>
            <w:vAlign w:val="center"/>
          </w:tcPr>
          <w:p w14:paraId="266619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 </w:t>
            </w:r>
          </w:p>
        </w:tc>
        <w:tc>
          <w:tcPr>
            <w:tcW w:w="2711" w:type="dxa"/>
            <w:tcBorders>
              <w:top w:val="nil"/>
              <w:left w:val="nil"/>
              <w:bottom w:val="single" w:color="auto" w:sz="8" w:space="0"/>
              <w:right w:val="nil"/>
            </w:tcBorders>
            <w:shd w:val="clear"/>
            <w:tcMar>
              <w:top w:w="0" w:type="dxa"/>
              <w:left w:w="108" w:type="dxa"/>
              <w:bottom w:w="0" w:type="dxa"/>
              <w:right w:w="108" w:type="dxa"/>
            </w:tcMar>
            <w:vAlign w:val="center"/>
          </w:tcPr>
          <w:p w14:paraId="2F6A00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 </w:t>
            </w:r>
          </w:p>
        </w:tc>
      </w:tr>
      <w:tr w14:paraId="3D51E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37" w:hRule="atLeast"/>
          <w:jc w:val="center"/>
        </w:trPr>
        <w:tc>
          <w:tcPr>
            <w:tcW w:w="9308" w:type="dxa"/>
            <w:gridSpan w:val="4"/>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73792F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b/>
                <w:bCs/>
                <w:kern w:val="0"/>
                <w:sz w:val="28"/>
                <w:szCs w:val="28"/>
                <w:bdr w:val="none" w:color="auto" w:sz="0" w:space="0"/>
                <w:lang w:val="en-US" w:eastAsia="zh-CN" w:bidi="ar"/>
              </w:rPr>
              <w:t>宣布失效的县政府办公室文件</w:t>
            </w:r>
          </w:p>
        </w:tc>
      </w:tr>
      <w:tr w14:paraId="7396D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64" w:hRule="atLeast"/>
          <w:jc w:val="center"/>
        </w:trPr>
        <w:tc>
          <w:tcPr>
            <w:tcW w:w="733"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CCB75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b/>
                <w:bCs/>
                <w:kern w:val="0"/>
                <w:sz w:val="24"/>
                <w:szCs w:val="24"/>
                <w:bdr w:val="none" w:color="auto" w:sz="0" w:space="0"/>
                <w:lang w:val="en-US" w:eastAsia="zh-CN" w:bidi="ar"/>
              </w:rPr>
              <w:t>序号</w:t>
            </w:r>
          </w:p>
        </w:tc>
        <w:tc>
          <w:tcPr>
            <w:tcW w:w="5864"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14061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b/>
                <w:bCs/>
                <w:kern w:val="0"/>
                <w:sz w:val="24"/>
                <w:szCs w:val="24"/>
                <w:bdr w:val="none" w:color="auto" w:sz="0" w:space="0"/>
                <w:lang w:val="en-US" w:eastAsia="zh-CN" w:bidi="ar"/>
              </w:rPr>
              <w:t>文件标题</w:t>
            </w:r>
          </w:p>
        </w:tc>
        <w:tc>
          <w:tcPr>
            <w:tcW w:w="2711"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3E3133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b/>
                <w:bCs/>
                <w:kern w:val="0"/>
                <w:sz w:val="24"/>
                <w:szCs w:val="24"/>
                <w:bdr w:val="none" w:color="auto" w:sz="0" w:space="0"/>
                <w:lang w:val="en-US" w:eastAsia="zh-CN" w:bidi="ar"/>
              </w:rPr>
              <w:t>发文文号</w:t>
            </w:r>
          </w:p>
        </w:tc>
      </w:tr>
      <w:tr w14:paraId="61E94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055" w:hRule="atLeast"/>
          <w:jc w:val="center"/>
        </w:trPr>
        <w:tc>
          <w:tcPr>
            <w:tcW w:w="733"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3E87F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1</w:t>
            </w:r>
          </w:p>
        </w:tc>
        <w:tc>
          <w:tcPr>
            <w:tcW w:w="5864"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E7929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《新田县人民政府办公室关于印发&lt;新田县行政许可事项清单（2022年版）&gt;的通知》</w:t>
            </w:r>
          </w:p>
        </w:tc>
        <w:tc>
          <w:tcPr>
            <w:tcW w:w="2711"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1C3DE92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新政办发〔2022〕11号</w:t>
            </w:r>
          </w:p>
        </w:tc>
      </w:tr>
      <w:tr w14:paraId="00967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984" w:hRule="atLeast"/>
          <w:jc w:val="center"/>
        </w:trPr>
        <w:tc>
          <w:tcPr>
            <w:tcW w:w="733"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BF0AE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2</w:t>
            </w:r>
          </w:p>
        </w:tc>
        <w:tc>
          <w:tcPr>
            <w:tcW w:w="5864"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3C7739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《新田县人民政府办公室关于印发&lt;2023年度新田县城乡居民医保费征收工作方案&gt;的通知》</w:t>
            </w:r>
          </w:p>
        </w:tc>
        <w:tc>
          <w:tcPr>
            <w:tcW w:w="2711"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4D006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新政办函〔2022〕38号</w:t>
            </w:r>
          </w:p>
        </w:tc>
      </w:tr>
      <w:tr w14:paraId="5DCA2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339" w:hRule="atLeast"/>
          <w:jc w:val="center"/>
        </w:trPr>
        <w:tc>
          <w:tcPr>
            <w:tcW w:w="9308" w:type="dxa"/>
            <w:gridSpan w:val="4"/>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A5210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b/>
                <w:bCs/>
                <w:kern w:val="0"/>
                <w:sz w:val="28"/>
                <w:szCs w:val="28"/>
                <w:bdr w:val="none" w:color="auto" w:sz="0" w:space="0"/>
                <w:lang w:val="en-US" w:eastAsia="zh-CN" w:bidi="ar"/>
              </w:rPr>
              <w:t>宣布失效的部门文件</w:t>
            </w:r>
          </w:p>
        </w:tc>
      </w:tr>
      <w:tr w14:paraId="70FCB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16" w:hRule="atLeast"/>
          <w:jc w:val="center"/>
        </w:trPr>
        <w:tc>
          <w:tcPr>
            <w:tcW w:w="796"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0000D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b/>
                <w:bCs/>
                <w:kern w:val="0"/>
                <w:sz w:val="24"/>
                <w:szCs w:val="24"/>
                <w:bdr w:val="none" w:color="auto" w:sz="0" w:space="0"/>
                <w:lang w:val="en-US" w:eastAsia="zh-CN" w:bidi="ar"/>
              </w:rPr>
              <w:t>序号</w:t>
            </w:r>
          </w:p>
        </w:tc>
        <w:tc>
          <w:tcPr>
            <w:tcW w:w="580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center"/>
          </w:tcPr>
          <w:p w14:paraId="087518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b/>
                <w:bCs/>
                <w:kern w:val="0"/>
                <w:sz w:val="24"/>
                <w:szCs w:val="24"/>
                <w:bdr w:val="none" w:color="auto" w:sz="0" w:space="0"/>
                <w:lang w:val="en-US" w:eastAsia="zh-CN" w:bidi="ar"/>
              </w:rPr>
              <w:t>文件标题</w:t>
            </w:r>
          </w:p>
        </w:tc>
        <w:tc>
          <w:tcPr>
            <w:tcW w:w="271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center"/>
          </w:tcPr>
          <w:p w14:paraId="67FBAB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b/>
                <w:bCs/>
                <w:kern w:val="0"/>
                <w:sz w:val="24"/>
                <w:szCs w:val="24"/>
                <w:bdr w:val="none" w:color="auto" w:sz="0" w:space="0"/>
                <w:lang w:val="en-US" w:eastAsia="zh-CN" w:bidi="ar"/>
              </w:rPr>
              <w:t>发文文号</w:t>
            </w:r>
          </w:p>
        </w:tc>
      </w:tr>
      <w:tr w14:paraId="69F66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99" w:hRule="atLeast"/>
          <w:jc w:val="center"/>
        </w:trPr>
        <w:tc>
          <w:tcPr>
            <w:tcW w:w="796"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B7C18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1</w:t>
            </w:r>
          </w:p>
        </w:tc>
        <w:tc>
          <w:tcPr>
            <w:tcW w:w="5801"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1AA1D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《新田县群众举报毒品违法犯罪奖励办法（试行）》</w:t>
            </w:r>
          </w:p>
        </w:tc>
        <w:tc>
          <w:tcPr>
            <w:tcW w:w="2711"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F9D21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新公发〔2020〕1号</w:t>
            </w:r>
          </w:p>
        </w:tc>
      </w:tr>
      <w:tr w14:paraId="2207E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99" w:hRule="atLeast"/>
          <w:jc w:val="center"/>
        </w:trPr>
        <w:tc>
          <w:tcPr>
            <w:tcW w:w="796"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9CB06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2</w:t>
            </w:r>
          </w:p>
        </w:tc>
        <w:tc>
          <w:tcPr>
            <w:tcW w:w="5801"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3D3CB1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《新田县侦破毒品案件奖励办法（试行）》</w:t>
            </w:r>
          </w:p>
        </w:tc>
        <w:tc>
          <w:tcPr>
            <w:tcW w:w="2711"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45DCC5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新公发〔2020〕2号</w:t>
            </w:r>
          </w:p>
        </w:tc>
      </w:tr>
    </w:tbl>
    <w:p w14:paraId="17E339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3A0A85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747DA74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Calibri" w:hAnsi="Calibri" w:eastAsia="宋体" w:cs="Calibri"/>
          <w:i w:val="0"/>
          <w:iCs w:val="0"/>
          <w:caps w:val="0"/>
          <w:color w:val="000000"/>
          <w:spacing w:val="0"/>
          <w:sz w:val="21"/>
          <w:szCs w:val="21"/>
          <w:bdr w:val="none" w:color="auto" w:sz="0" w:space="0"/>
        </w:rPr>
        <w:t> </w:t>
      </w:r>
    </w:p>
    <w:p w14:paraId="35BB09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22CE7C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Calibri" w:hAnsi="Calibri" w:eastAsia="宋体" w:cs="Calibri"/>
          <w:i w:val="0"/>
          <w:iCs w:val="0"/>
          <w:caps w:val="0"/>
          <w:color w:val="000000"/>
          <w:spacing w:val="0"/>
          <w:sz w:val="21"/>
          <w:szCs w:val="21"/>
          <w:bdr w:val="none" w:color="auto" w:sz="0" w:space="0"/>
        </w:rPr>
        <w:t> </w:t>
      </w:r>
    </w:p>
    <w:p w14:paraId="5C953D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627998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Calibri" w:hAnsi="Calibri" w:eastAsia="宋体" w:cs="Calibri"/>
          <w:i w:val="0"/>
          <w:iCs w:val="0"/>
          <w:caps w:val="0"/>
          <w:color w:val="000000"/>
          <w:spacing w:val="0"/>
          <w:sz w:val="21"/>
          <w:szCs w:val="21"/>
          <w:bdr w:val="none" w:color="auto" w:sz="0" w:space="0"/>
        </w:rPr>
        <w:t> </w:t>
      </w:r>
    </w:p>
    <w:p w14:paraId="45093B5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125C2D0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Calibri" w:hAnsi="Calibri" w:eastAsia="宋体" w:cs="Calibri"/>
          <w:i w:val="0"/>
          <w:iCs w:val="0"/>
          <w:caps w:val="0"/>
          <w:color w:val="000000"/>
          <w:spacing w:val="0"/>
          <w:sz w:val="21"/>
          <w:szCs w:val="21"/>
          <w:bdr w:val="none" w:color="auto" w:sz="0" w:space="0"/>
        </w:rPr>
        <w:t> </w:t>
      </w:r>
    </w:p>
    <w:p w14:paraId="5A1EF9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69A13F7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Calibri" w:hAnsi="Calibri" w:eastAsia="宋体" w:cs="Calibri"/>
          <w:i w:val="0"/>
          <w:iCs w:val="0"/>
          <w:caps w:val="0"/>
          <w:color w:val="000000"/>
          <w:spacing w:val="0"/>
          <w:sz w:val="21"/>
          <w:szCs w:val="21"/>
          <w:bdr w:val="none" w:color="auto" w:sz="0" w:space="0"/>
        </w:rPr>
        <w:t> </w:t>
      </w:r>
    </w:p>
    <w:p w14:paraId="1CDCA6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546DCE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Calibri" w:hAnsi="Calibri" w:eastAsia="宋体" w:cs="Calibri"/>
          <w:i w:val="0"/>
          <w:iCs w:val="0"/>
          <w:caps w:val="0"/>
          <w:color w:val="000000"/>
          <w:spacing w:val="0"/>
          <w:sz w:val="21"/>
          <w:szCs w:val="21"/>
          <w:bdr w:val="none" w:color="auto" w:sz="0" w:space="0"/>
        </w:rPr>
        <w:t> </w:t>
      </w:r>
    </w:p>
    <w:p w14:paraId="59517B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5E8A32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Calibri" w:hAnsi="Calibri" w:eastAsia="宋体" w:cs="Calibri"/>
          <w:i w:val="0"/>
          <w:iCs w:val="0"/>
          <w:caps w:val="0"/>
          <w:color w:val="000000"/>
          <w:spacing w:val="0"/>
          <w:sz w:val="21"/>
          <w:szCs w:val="21"/>
          <w:bdr w:val="none" w:color="auto" w:sz="0" w:space="0"/>
        </w:rPr>
        <w:t> </w:t>
      </w:r>
    </w:p>
    <w:p w14:paraId="6F4116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 </w:t>
      </w:r>
    </w:p>
    <w:p w14:paraId="5EBF33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CESI黑体-GB2312" w:hAnsi="CESI黑体-GB2312" w:eastAsia="CESI黑体-GB2312" w:cs="CESI黑体-GB2312"/>
          <w:i w:val="0"/>
          <w:iCs w:val="0"/>
          <w:caps w:val="0"/>
          <w:color w:val="000000"/>
          <w:spacing w:val="0"/>
          <w:kern w:val="0"/>
          <w:sz w:val="32"/>
          <w:szCs w:val="32"/>
          <w:bdr w:val="none" w:color="auto" w:sz="0" w:space="0"/>
          <w:lang w:val="en-US" w:eastAsia="zh-CN" w:bidi="ar"/>
        </w:rPr>
        <w:t> </w:t>
      </w:r>
    </w:p>
    <w:p w14:paraId="11BC03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CESI黑体-GB2312" w:hAnsi="CESI黑体-GB2312" w:eastAsia="CESI黑体-GB2312" w:cs="CESI黑体-GB2312"/>
          <w:i w:val="0"/>
          <w:iCs w:val="0"/>
          <w:caps w:val="0"/>
          <w:color w:val="000000"/>
          <w:spacing w:val="0"/>
          <w:kern w:val="0"/>
          <w:sz w:val="32"/>
          <w:szCs w:val="32"/>
          <w:bdr w:val="none" w:color="auto" w:sz="0" w:space="0"/>
          <w:lang w:val="en-US" w:eastAsia="zh-CN" w:bidi="ar"/>
        </w:rPr>
        <w:t> </w:t>
      </w:r>
    </w:p>
    <w:p w14:paraId="32BB57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CESI黑体-GB2312" w:hAnsi="CESI黑体-GB2312" w:eastAsia="CESI黑体-GB2312" w:cs="CESI黑体-GB2312"/>
          <w:i w:val="0"/>
          <w:iCs w:val="0"/>
          <w:caps w:val="0"/>
          <w:color w:val="000000"/>
          <w:spacing w:val="0"/>
          <w:kern w:val="0"/>
          <w:sz w:val="32"/>
          <w:szCs w:val="32"/>
          <w:bdr w:val="none" w:color="auto" w:sz="0" w:space="0"/>
          <w:lang w:val="en-US" w:eastAsia="zh-CN" w:bidi="ar"/>
        </w:rPr>
        <w:t> </w:t>
      </w:r>
    </w:p>
    <w:p w14:paraId="3875FE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CESI黑体-GB2312" w:hAnsi="CESI黑体-GB2312" w:eastAsia="CESI黑体-GB2312" w:cs="CESI黑体-GB2312"/>
          <w:i w:val="0"/>
          <w:iCs w:val="0"/>
          <w:caps w:val="0"/>
          <w:color w:val="000000"/>
          <w:spacing w:val="0"/>
          <w:kern w:val="0"/>
          <w:sz w:val="32"/>
          <w:szCs w:val="32"/>
          <w:bdr w:val="none" w:color="auto" w:sz="0" w:space="0"/>
          <w:lang w:val="en-US" w:eastAsia="zh-CN" w:bidi="ar"/>
        </w:rPr>
        <w:t>附件3</w:t>
      </w:r>
    </w:p>
    <w:tbl>
      <w:tblPr>
        <w:tblW w:w="928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814"/>
        <w:gridCol w:w="5753"/>
        <w:gridCol w:w="2716"/>
      </w:tblGrid>
      <w:tr w14:paraId="1C085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420" w:hRule="atLeast"/>
          <w:jc w:val="center"/>
        </w:trPr>
        <w:tc>
          <w:tcPr>
            <w:tcW w:w="9283" w:type="dxa"/>
            <w:gridSpan w:val="3"/>
            <w:tcBorders>
              <w:top w:val="nil"/>
              <w:left w:val="nil"/>
              <w:bottom w:val="single" w:color="auto" w:sz="8" w:space="0"/>
              <w:right w:val="nil"/>
            </w:tcBorders>
            <w:shd w:val="clear"/>
            <w:tcMar>
              <w:top w:w="0" w:type="dxa"/>
              <w:left w:w="108" w:type="dxa"/>
              <w:bottom w:w="0" w:type="dxa"/>
              <w:right w:w="108" w:type="dxa"/>
            </w:tcMar>
            <w:vAlign w:val="center"/>
          </w:tcPr>
          <w:p w14:paraId="214AFA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方正小标宋简体" w:hAnsi="方正小标宋简体" w:eastAsia="方正小标宋简体" w:cs="方正小标宋简体"/>
                <w:kern w:val="0"/>
                <w:sz w:val="44"/>
                <w:szCs w:val="44"/>
                <w:bdr w:val="none" w:color="auto" w:sz="0" w:space="0"/>
                <w:lang w:val="en-US" w:eastAsia="zh-CN" w:bidi="ar"/>
              </w:rPr>
              <w:t>予以废止的规范性文件目录</w:t>
            </w:r>
          </w:p>
        </w:tc>
      </w:tr>
      <w:tr w14:paraId="0D889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381" w:hRule="atLeast"/>
          <w:jc w:val="center"/>
        </w:trPr>
        <w:tc>
          <w:tcPr>
            <w:tcW w:w="9283" w:type="dxa"/>
            <w:gridSpan w:val="3"/>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5390A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b/>
                <w:bCs/>
                <w:kern w:val="0"/>
                <w:sz w:val="28"/>
                <w:szCs w:val="28"/>
                <w:bdr w:val="none" w:color="auto" w:sz="0" w:space="0"/>
                <w:lang w:val="en-US" w:eastAsia="zh-CN" w:bidi="ar"/>
              </w:rPr>
              <w:t>予以废止的县政府文件</w:t>
            </w:r>
          </w:p>
        </w:tc>
      </w:tr>
      <w:tr w14:paraId="1A3C0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477" w:hRule="atLeast"/>
          <w:jc w:val="center"/>
        </w:trPr>
        <w:tc>
          <w:tcPr>
            <w:tcW w:w="81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9F4C1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b/>
                <w:bCs/>
                <w:kern w:val="0"/>
                <w:sz w:val="28"/>
                <w:szCs w:val="28"/>
                <w:bdr w:val="none" w:color="auto" w:sz="0" w:space="0"/>
                <w:lang w:val="en-US" w:eastAsia="zh-CN" w:bidi="ar"/>
              </w:rPr>
              <w:t>序号</w:t>
            </w:r>
          </w:p>
        </w:tc>
        <w:tc>
          <w:tcPr>
            <w:tcW w:w="5753"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16FA80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b/>
                <w:bCs/>
                <w:kern w:val="0"/>
                <w:sz w:val="28"/>
                <w:szCs w:val="28"/>
                <w:bdr w:val="none" w:color="auto" w:sz="0" w:space="0"/>
                <w:lang w:val="en-US" w:eastAsia="zh-CN" w:bidi="ar"/>
              </w:rPr>
              <w:t>文件标题</w:t>
            </w:r>
          </w:p>
        </w:tc>
        <w:tc>
          <w:tcPr>
            <w:tcW w:w="2716"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554A7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b/>
                <w:bCs/>
                <w:kern w:val="0"/>
                <w:sz w:val="28"/>
                <w:szCs w:val="28"/>
                <w:bdr w:val="none" w:color="auto" w:sz="0" w:space="0"/>
                <w:lang w:val="en-US" w:eastAsia="zh-CN" w:bidi="ar"/>
              </w:rPr>
              <w:t>发文文号</w:t>
            </w:r>
          </w:p>
        </w:tc>
      </w:tr>
      <w:tr w14:paraId="75A51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61" w:hRule="atLeast"/>
          <w:jc w:val="center"/>
        </w:trPr>
        <w:tc>
          <w:tcPr>
            <w:tcW w:w="81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7C05E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1</w:t>
            </w:r>
          </w:p>
        </w:tc>
        <w:tc>
          <w:tcPr>
            <w:tcW w:w="5753"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F0703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《新田县人民政府森林防火禁火令》</w:t>
            </w:r>
          </w:p>
        </w:tc>
        <w:tc>
          <w:tcPr>
            <w:tcW w:w="2716"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3773C86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新政函〔2021〕4号</w:t>
            </w:r>
          </w:p>
        </w:tc>
      </w:tr>
      <w:tr w14:paraId="5ACB2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60" w:hRule="atLeast"/>
          <w:jc w:val="center"/>
        </w:trPr>
        <w:tc>
          <w:tcPr>
            <w:tcW w:w="81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79CC9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2</w:t>
            </w:r>
          </w:p>
        </w:tc>
        <w:tc>
          <w:tcPr>
            <w:tcW w:w="5753"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317413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《新田县人民政府关于禁止在河道、河坝、水库、山塘等水域游泳、戏水的通告》</w:t>
            </w:r>
          </w:p>
        </w:tc>
        <w:tc>
          <w:tcPr>
            <w:tcW w:w="2716"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336EC5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新政函〔2021〕64号</w:t>
            </w:r>
          </w:p>
        </w:tc>
      </w:tr>
      <w:tr w14:paraId="630CC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699" w:hRule="atLeast"/>
          <w:jc w:val="center"/>
        </w:trPr>
        <w:tc>
          <w:tcPr>
            <w:tcW w:w="81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9C0F6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3</w:t>
            </w:r>
          </w:p>
        </w:tc>
        <w:tc>
          <w:tcPr>
            <w:tcW w:w="5753"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5D7538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《新田县人民政府关于开展公路治超非现场执法的通告》</w:t>
            </w:r>
          </w:p>
        </w:tc>
        <w:tc>
          <w:tcPr>
            <w:tcW w:w="2716"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A32508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新政函〔2020〕61号</w:t>
            </w:r>
          </w:p>
        </w:tc>
      </w:tr>
      <w:tr w14:paraId="30D2C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87" w:hRule="atLeast"/>
          <w:jc w:val="center"/>
        </w:trPr>
        <w:tc>
          <w:tcPr>
            <w:tcW w:w="81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0082A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4</w:t>
            </w:r>
          </w:p>
        </w:tc>
        <w:tc>
          <w:tcPr>
            <w:tcW w:w="5753"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005B57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《新田县人民政府关于生猪定点屠宰肉产品冷链统一配送的通告》</w:t>
            </w:r>
          </w:p>
        </w:tc>
        <w:tc>
          <w:tcPr>
            <w:tcW w:w="2716"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76BC2C8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新政函〔2024〕38号</w:t>
            </w:r>
          </w:p>
        </w:tc>
      </w:tr>
      <w:tr w14:paraId="462A6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787" w:hRule="atLeast"/>
          <w:jc w:val="center"/>
        </w:trPr>
        <w:tc>
          <w:tcPr>
            <w:tcW w:w="814" w:type="dxa"/>
            <w:tcBorders>
              <w:top w:val="nil"/>
              <w:left w:val="nil"/>
              <w:bottom w:val="single" w:color="auto" w:sz="8" w:space="0"/>
              <w:right w:val="nil"/>
            </w:tcBorders>
            <w:shd w:val="clear"/>
            <w:tcMar>
              <w:top w:w="0" w:type="dxa"/>
              <w:left w:w="108" w:type="dxa"/>
              <w:bottom w:w="0" w:type="dxa"/>
              <w:right w:w="108" w:type="dxa"/>
            </w:tcMar>
            <w:vAlign w:val="center"/>
          </w:tcPr>
          <w:p w14:paraId="644F8F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 </w:t>
            </w:r>
          </w:p>
        </w:tc>
        <w:tc>
          <w:tcPr>
            <w:tcW w:w="5753" w:type="dxa"/>
            <w:tcBorders>
              <w:top w:val="nil"/>
              <w:left w:val="nil"/>
              <w:bottom w:val="single" w:color="auto" w:sz="8" w:space="0"/>
              <w:right w:val="nil"/>
            </w:tcBorders>
            <w:shd w:val="clear"/>
            <w:tcMar>
              <w:top w:w="0" w:type="dxa"/>
              <w:left w:w="108" w:type="dxa"/>
              <w:bottom w:w="0" w:type="dxa"/>
              <w:right w:w="108" w:type="dxa"/>
            </w:tcMar>
            <w:vAlign w:val="center"/>
          </w:tcPr>
          <w:p w14:paraId="0C800B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 </w:t>
            </w:r>
          </w:p>
        </w:tc>
        <w:tc>
          <w:tcPr>
            <w:tcW w:w="2716" w:type="dxa"/>
            <w:tcBorders>
              <w:top w:val="nil"/>
              <w:left w:val="nil"/>
              <w:bottom w:val="single" w:color="auto" w:sz="8" w:space="0"/>
              <w:right w:val="nil"/>
            </w:tcBorders>
            <w:shd w:val="clear"/>
            <w:tcMar>
              <w:top w:w="0" w:type="dxa"/>
              <w:left w:w="108" w:type="dxa"/>
              <w:bottom w:w="0" w:type="dxa"/>
              <w:right w:w="108" w:type="dxa"/>
            </w:tcMar>
            <w:vAlign w:val="center"/>
          </w:tcPr>
          <w:p w14:paraId="6EE6CA6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 </w:t>
            </w:r>
          </w:p>
        </w:tc>
      </w:tr>
      <w:tr w14:paraId="7BE1B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360" w:hRule="atLeast"/>
          <w:jc w:val="center"/>
        </w:trPr>
        <w:tc>
          <w:tcPr>
            <w:tcW w:w="9283" w:type="dxa"/>
            <w:gridSpan w:val="3"/>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C7D87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b/>
                <w:bCs/>
                <w:kern w:val="0"/>
                <w:sz w:val="28"/>
                <w:szCs w:val="28"/>
                <w:bdr w:val="none" w:color="auto" w:sz="0" w:space="0"/>
                <w:lang w:val="en-US" w:eastAsia="zh-CN" w:bidi="ar"/>
              </w:rPr>
              <w:t>予以废止的县政府办公室文件</w:t>
            </w:r>
          </w:p>
        </w:tc>
      </w:tr>
      <w:tr w14:paraId="4FFDA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66" w:hRule="atLeast"/>
          <w:jc w:val="center"/>
        </w:trPr>
        <w:tc>
          <w:tcPr>
            <w:tcW w:w="81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96EB8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b/>
                <w:bCs/>
                <w:kern w:val="0"/>
                <w:sz w:val="28"/>
                <w:szCs w:val="28"/>
                <w:bdr w:val="none" w:color="auto" w:sz="0" w:space="0"/>
                <w:lang w:val="en-US" w:eastAsia="zh-CN" w:bidi="ar"/>
              </w:rPr>
              <w:t>序号</w:t>
            </w:r>
          </w:p>
        </w:tc>
        <w:tc>
          <w:tcPr>
            <w:tcW w:w="5753"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center"/>
          </w:tcPr>
          <w:p w14:paraId="5518B1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b/>
                <w:bCs/>
                <w:kern w:val="0"/>
                <w:sz w:val="28"/>
                <w:szCs w:val="28"/>
                <w:bdr w:val="none" w:color="auto" w:sz="0" w:space="0"/>
                <w:lang w:val="en-US" w:eastAsia="zh-CN" w:bidi="ar"/>
              </w:rPr>
              <w:t>文件标题</w:t>
            </w:r>
          </w:p>
        </w:tc>
        <w:tc>
          <w:tcPr>
            <w:tcW w:w="2716"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center"/>
          </w:tcPr>
          <w:p w14:paraId="307C0B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b/>
                <w:bCs/>
                <w:kern w:val="0"/>
                <w:sz w:val="28"/>
                <w:szCs w:val="28"/>
                <w:bdr w:val="none" w:color="auto" w:sz="0" w:space="0"/>
                <w:lang w:val="en-US" w:eastAsia="zh-CN" w:bidi="ar"/>
              </w:rPr>
              <w:t>发文文号</w:t>
            </w:r>
          </w:p>
        </w:tc>
      </w:tr>
      <w:tr w14:paraId="3333B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218" w:hRule="atLeast"/>
          <w:jc w:val="center"/>
        </w:trPr>
        <w:tc>
          <w:tcPr>
            <w:tcW w:w="81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7DBE8D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hAnsi="宋体" w:eastAsia="仿宋_GB2312" w:cs="仿宋_GB2312"/>
                <w:kern w:val="0"/>
                <w:sz w:val="24"/>
                <w:szCs w:val="24"/>
                <w:bdr w:val="none" w:color="auto" w:sz="0" w:space="0"/>
                <w:lang w:val="en-US" w:eastAsia="zh-CN" w:bidi="ar"/>
              </w:rPr>
              <w:t>1</w:t>
            </w:r>
          </w:p>
        </w:tc>
        <w:tc>
          <w:tcPr>
            <w:tcW w:w="5753"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6A945E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《新田县人民政府办公室关于印发&lt;新田县国家规模标准限额以下使用国有资金投资工程发包管理办法&gt;的通知》</w:t>
            </w:r>
          </w:p>
        </w:tc>
        <w:tc>
          <w:tcPr>
            <w:tcW w:w="2716"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2652C0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hAnsi="宋体" w:eastAsia="仿宋_GB2312" w:cs="仿宋_GB2312"/>
                <w:kern w:val="0"/>
                <w:sz w:val="24"/>
                <w:szCs w:val="24"/>
                <w:bdr w:val="none" w:color="auto" w:sz="0" w:space="0"/>
                <w:lang w:val="en-US" w:eastAsia="zh-CN" w:bidi="ar"/>
              </w:rPr>
              <w:t>新政办发〔2020〕15号</w:t>
            </w:r>
          </w:p>
        </w:tc>
      </w:tr>
    </w:tbl>
    <w:p w14:paraId="6C0C52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Calibri" w:hAnsi="Calibri" w:eastAsia="宋体" w:cs="Calibri"/>
          <w:i w:val="0"/>
          <w:iCs w:val="0"/>
          <w:caps w:val="0"/>
          <w:color w:val="000000"/>
          <w:spacing w:val="0"/>
          <w:kern w:val="0"/>
          <w:sz w:val="21"/>
          <w:szCs w:val="21"/>
          <w:bdr w:val="none" w:color="auto" w:sz="0" w:space="0"/>
          <w:lang w:val="en-US" w:eastAsia="zh-CN" w:bidi="ar"/>
        </w:rPr>
        <w:t> </w:t>
      </w:r>
    </w:p>
    <w:p w14:paraId="4903EC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pPr>
      <w:r>
        <w:rPr>
          <w:rFonts w:hint="default" w:ascii="Calibri" w:hAnsi="Calibri" w:eastAsia="宋体" w:cs="Calibri"/>
          <w:i w:val="0"/>
          <w:iCs w:val="0"/>
          <w:caps w:val="0"/>
          <w:color w:val="000000"/>
          <w:spacing w:val="0"/>
          <w:kern w:val="0"/>
          <w:sz w:val="21"/>
          <w:szCs w:val="21"/>
          <w:bdr w:val="none" w:color="auto" w:sz="0" w:space="0"/>
          <w:lang w:val="en-US" w:eastAsia="zh-CN" w:bidi="ar"/>
        </w:rPr>
        <w:t> </w:t>
      </w:r>
    </w:p>
    <w:p w14:paraId="00D2EF97">
      <w:pPr>
        <w:keepNext w:val="0"/>
        <w:keepLines w:val="0"/>
        <w:widowControl/>
        <w:suppressLineNumbers w:val="0"/>
        <w:jc w:val="left"/>
      </w:pPr>
    </w:p>
    <w:p w14:paraId="3E809B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210" w:right="0" w:firstLine="0"/>
        <w:jc w:val="center"/>
        <w:rPr>
          <w:rFonts w:hint="eastAsia" w:ascii="宋体" w:hAnsi="宋体" w:eastAsia="宋体" w:cs="宋体"/>
          <w:i w:val="0"/>
          <w:iCs w:val="0"/>
          <w:caps w:val="0"/>
          <w:color w:val="000000"/>
          <w:spacing w:val="0"/>
          <w:sz w:val="14"/>
          <w:szCs w:val="14"/>
        </w:rPr>
      </w:pPr>
      <w:r>
        <w:rPr>
          <w:rFonts w:hint="eastAsia" w:ascii="宋体" w:hAnsi="宋体" w:eastAsia="宋体" w:cs="宋体"/>
          <w:i w:val="0"/>
          <w:iCs w:val="0"/>
          <w:caps w:val="0"/>
          <w:color w:val="000000"/>
          <w:spacing w:val="0"/>
          <w:kern w:val="0"/>
          <w:sz w:val="14"/>
          <w:szCs w:val="14"/>
          <w:bdr w:val="none" w:color="auto" w:sz="0" w:space="0"/>
          <w:lang w:val="en-US" w:eastAsia="zh-CN" w:bidi="ar"/>
        </w:rPr>
        <w:drawing>
          <wp:inline distT="0" distB="0" distL="114300" distR="114300">
            <wp:extent cx="5271135" cy="7455535"/>
            <wp:effectExtent l="0" t="0" r="1905" b="12065"/>
            <wp:docPr id="3"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IMG_261"/>
                    <pic:cNvPicPr>
                      <a:picLocks noChangeAspect="1"/>
                    </pic:cNvPicPr>
                  </pic:nvPicPr>
                  <pic:blipFill>
                    <a:blip r:embed="rId9"/>
                    <a:stretch>
                      <a:fillRect/>
                    </a:stretch>
                  </pic:blipFill>
                  <pic:spPr>
                    <a:xfrm>
                      <a:off x="0" y="0"/>
                      <a:ext cx="5271135" cy="7455535"/>
                    </a:xfrm>
                    <a:prstGeom prst="rect">
                      <a:avLst/>
                    </a:prstGeom>
                    <a:noFill/>
                    <a:ln w="9525">
                      <a:noFill/>
                    </a:ln>
                  </pic:spPr>
                </pic:pic>
              </a:graphicData>
            </a:graphic>
          </wp:inline>
        </w:drawing>
      </w:r>
      <w:r>
        <w:rPr>
          <w:rFonts w:hint="default" w:ascii="Calibri" w:hAnsi="Calibri" w:eastAsia="宋体" w:cs="Calibri"/>
          <w:i w:val="0"/>
          <w:iCs w:val="0"/>
          <w:caps w:val="0"/>
          <w:color w:val="000000"/>
          <w:spacing w:val="0"/>
          <w:kern w:val="0"/>
          <w:sz w:val="21"/>
          <w:szCs w:val="21"/>
          <w:bdr w:val="none" w:color="auto" w:sz="0" w:space="0"/>
          <w:lang w:val="en-US" w:eastAsia="zh-CN" w:bidi="ar"/>
        </w:rPr>
        <w:t> </w:t>
      </w:r>
      <w:bookmarkStart w:id="0" w:name="_GoBack"/>
      <w:bookmarkEnd w:id="0"/>
    </w:p>
    <w:p w14:paraId="1CEECCD8">
      <w:pPr>
        <w:keepNext w:val="0"/>
        <w:keepLines w:val="0"/>
        <w:widowControl/>
        <w:suppressLineNumbers w:val="0"/>
        <w:jc w:val="left"/>
      </w:pPr>
    </w:p>
    <w:p w14:paraId="007950A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0000000000000000000"/>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CESI黑体-GB2312">
    <w:altName w:val="黑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6B51D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41</Pages>
  <Words>0</Words>
  <Characters>0</Characters>
  <Lines>0</Lines>
  <Paragraphs>0</Paragraphs>
  <TotalTime>0</TotalTime>
  <ScaleCrop>false</ScaleCrop>
  <LinksUpToDate>false</LinksUpToDate>
  <CharactersWithSpaces>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2025-08-01T07:40:32Z</dcterms:created>
  <dc:creator>鲨鱼擦屁股</dc:creator>
  <cp:lastModifiedBy>WPS_1674013446</cp:lastModifiedBy>
  <dcterms:modified xsi:type="dcterms:W3CDTF">2025-08-01T07:40:52Z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KSOTemplateDocerSaveRecord">
    <vt:lpwstr>eyJoZGlkIjoiYjJjOTQxYzhjODMyMDAzZmE0MDJkMWFkNmJlNDkwYTUiLCJ1c2VySWQiOiIxNDY3OTM0Njg4In0=</vt:lpwstr>
  </property>
  <property fmtid="{D5CDD505-2E9C-101B-9397-08002B2CF9AE}" pid="4" name="ICV">
    <vt:lpwstr>1647D3FEC3F74FAC89B1B97D6D5BF783_12</vt:lpwstr>
  </property>
</Properties>
</file>