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新田县迎宾路片区（二期）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老人社局、老交警大队区域城镇棚户区改造项目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国有土地上房屋征收安置与补偿方案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迎宾路片</w:t>
      </w:r>
      <w:r>
        <w:rPr>
          <w:rFonts w:hint="eastAsia" w:ascii="仿宋_GB2312" w:hAnsi="仿宋_GB2312" w:eastAsia="仿宋_GB2312" w:cs="仿宋_GB2312"/>
          <w:sz w:val="32"/>
          <w:szCs w:val="32"/>
          <w:highlight w:val="none"/>
        </w:rPr>
        <w:t>区（二期）老人社局、老交警大队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新田县迎宾路片区（二期）老人社局、老交警大队区域城镇棚户区改造项目。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lang w:eastAsia="zh-CN"/>
        </w:rPr>
        <w:t>新田县</w:t>
      </w:r>
      <w:r>
        <w:rPr>
          <w:rFonts w:hint="eastAsia" w:ascii="仿宋_GB2312" w:hAnsi="仿宋_GB2312" w:eastAsia="仿宋_GB2312" w:cs="仿宋_GB2312"/>
          <w:sz w:val="32"/>
          <w:szCs w:val="32"/>
          <w:highlight w:val="none"/>
        </w:rPr>
        <w:t>迎宾路片区（二期）老人社局、老交警大队区域，详见征收范围红线图。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3、选择简易征收程序协议征收的被征收房屋的价格，按照征收补偿方案（征求意见稿）公示之日为评估时点进行评估。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（2）选择户型面积。被征收人原则上根据产权补偿置换总面积（产权补偿置换总面积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以县政府公布征收决定之日为估价时点，由被征收人协商选定或投票或抽签决定评估机构，按</w:t>
      </w:r>
      <w:r>
        <w:rPr>
          <w:rFonts w:hint="eastAsia" w:ascii="仿宋_GB2312" w:hAnsi="仿宋_GB2312" w:eastAsia="仿宋_GB2312" w:cs="仿宋_GB2312"/>
          <w:bCs/>
          <w:sz w:val="32"/>
          <w:szCs w:val="32"/>
          <w:highlight w:val="none"/>
        </w:rPr>
        <w:t>市场评估价</w:t>
      </w:r>
      <w:r>
        <w:rPr>
          <w:rFonts w:hint="eastAsia" w:ascii="仿宋_GB2312" w:hAnsi="仿宋_GB2312" w:eastAsia="仿宋_GB2312" w:cs="仿宋_GB2312"/>
          <w:sz w:val="32"/>
          <w:szCs w:val="32"/>
          <w:highlight w:val="none"/>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1、房屋装饰装修补偿：</w:t>
      </w:r>
      <w:r>
        <w:rPr>
          <w:rFonts w:hint="eastAsia" w:ascii="仿宋_GB2312" w:hAnsi="仿宋_GB2312" w:eastAsia="仿宋_GB2312" w:cs="仿宋_GB2312"/>
          <w:sz w:val="32"/>
          <w:szCs w:val="32"/>
          <w:highlight w:val="none"/>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rPr>
      </w:pPr>
      <w:r>
        <w:rPr>
          <w:rFonts w:hint="eastAsia" w:ascii="楷体_GB2312" w:hAnsi="楷体_GB2312" w:eastAsia="楷体_GB2312" w:cs="楷体_GB2312"/>
          <w:b/>
          <w:sz w:val="32"/>
          <w:szCs w:val="32"/>
          <w:highlight w:val="none"/>
        </w:rPr>
        <w:t>2、搬迁补偿：</w:t>
      </w:r>
      <w:r>
        <w:rPr>
          <w:rFonts w:hint="eastAsia" w:ascii="仿宋_GB2312" w:hAnsi="仿宋_GB2312" w:eastAsia="仿宋_GB2312" w:cs="仿宋_GB2312"/>
          <w:sz w:val="32"/>
          <w:szCs w:val="32"/>
          <w:highlight w:val="none"/>
        </w:rPr>
        <w:t>按两次计算，每户按1500元/次予以补偿，有大型物件设备的另增补搬迁费2000元</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3、过渡房安置补偿：</w:t>
      </w:r>
      <w:r>
        <w:rPr>
          <w:rFonts w:hint="eastAsia" w:ascii="仿宋_GB2312" w:hAnsi="仿宋_GB2312" w:eastAsia="仿宋_GB2312" w:cs="仿宋_GB2312"/>
          <w:sz w:val="32"/>
          <w:szCs w:val="32"/>
          <w:highlight w:val="none"/>
        </w:rPr>
        <w:t>选择产权调换的，每户按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（1）红砖围墙补偿标准（包括地下基础部分）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24眠墙110元／m，24空斗墙90元／m，18墙100元／m。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w:t>
      </w:r>
      <w:bookmarkStart w:id="0" w:name="OLE_LINK1"/>
      <w:bookmarkStart w:id="1" w:name="OLE_LINK15"/>
      <w:bookmarkStart w:id="2" w:name="OLE_LINK2"/>
      <w:bookmarkStart w:id="3" w:name="OLE_LINK14"/>
      <w:r>
        <w:rPr>
          <w:rFonts w:hint="eastAsia" w:ascii="仿宋_GB2312" w:hAnsi="仿宋_GB2312" w:eastAsia="仿宋_GB2312" w:cs="仿宋_GB2312"/>
          <w:bCs/>
          <w:sz w:val="32"/>
          <w:szCs w:val="32"/>
          <w:highlight w:val="none"/>
        </w:rPr>
        <w:t>，每增加10</w:t>
      </w:r>
      <w:r>
        <w:rPr>
          <w:rFonts w:hint="eastAsia" w:ascii="仿宋_GB2312" w:hAnsi="仿宋_GB2312" w:eastAsia="仿宋_GB2312" w:cs="仿宋_GB2312"/>
          <w:bCs/>
          <w:iCs/>
          <w:sz w:val="32"/>
          <w:szCs w:val="32"/>
          <w:highlight w:val="none"/>
        </w:rPr>
        <w:t>cm补偿标准相应增加10元／m。低于1m的补偿标准按1m执行。</w:t>
      </w:r>
      <w:bookmarkEnd w:id="0"/>
      <w:bookmarkEnd w:id="1"/>
      <w:bookmarkEnd w:id="2"/>
      <w:bookmarkEnd w:id="3"/>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right="-315" w:rightChars="-150"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片石围墙、护坡补偿标准（包括地下基础部分）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浆砌未粉刷的补偿70元／m，浆砌粉刷的补偿90元／m。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以地面以上1.0m高为计算基数。每增加10</w:t>
      </w:r>
      <w:r>
        <w:rPr>
          <w:rFonts w:hint="eastAsia" w:ascii="仿宋_GB2312" w:hAnsi="仿宋_GB2312" w:eastAsia="仿宋_GB2312" w:cs="仿宋_GB2312"/>
          <w:bCs/>
          <w:iCs/>
          <w:sz w:val="32"/>
          <w:szCs w:val="32"/>
          <w:highlight w:val="none"/>
        </w:rPr>
        <w:t>cm补偿标准相应增加10元／m。低于1m的补偿标准按1m执行。挡土墙按此标准增加30％予以补偿。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（3）室外水泥坪补偿标准：按56元／㎡补偿。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（4）室外砖砌蓄水池补偿标准：按400元／m³补偿。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（5）水井补偿标准：压水井补偿2000元／口 ，吊水井5000元／口。 深≥8.0m的, 增加300元／m补偿。已废弃不用的不予补偿。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（6）室外大门补偿标准：不锈钢门180元／㎡，木制门120元／㎡ ，简易铁门80元／㎡。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（7）室外简易棚（包括铁皮、彩瓦、石棉瓦等材料盖顶）补偿标准：一等补偿180元／㎡，二等补偿160元／㎡，三等补偿100元／㎡。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（8）矮木绿</w:t>
      </w:r>
      <w:r>
        <w:rPr>
          <w:rFonts w:hint="eastAsia" w:ascii="仿宋_GB2312" w:hAnsi="仿宋_GB2312" w:eastAsia="仿宋_GB2312" w:cs="仿宋_GB2312"/>
          <w:bCs/>
          <w:sz w:val="32"/>
          <w:szCs w:val="32"/>
          <w:highlight w:val="none"/>
          <w:lang w:eastAsia="zh-CN"/>
        </w:rPr>
        <w:t>篱</w:t>
      </w:r>
      <w:r>
        <w:rPr>
          <w:rFonts w:hint="eastAsia" w:ascii="仿宋_GB2312" w:hAnsi="仿宋_GB2312" w:eastAsia="仿宋_GB2312" w:cs="仿宋_GB2312"/>
          <w:bCs/>
          <w:sz w:val="32"/>
          <w:szCs w:val="32"/>
          <w:highlight w:val="none"/>
        </w:rPr>
        <w:t>补偿标准：按100／m补偿。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（9）树木、林木补偿标准（指附着于地面或大型难以搬运的盆栽树木）</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名贵树种：胸径≤5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补偿80元／棵 ,5－10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补偿280元／棵，胸径11－15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补偿480元／棵,＞15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补偿880元／棵</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果木树：苗木期10元／株,生长期50元／株,初果期100元／株，盛果期200元／株</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衰老期80元／株</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一般树木：胸径≤10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补偿50元／棵，胸径10－20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补偿150元／棵，胸径＞20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的补偿280元／棵。</w:t>
      </w:r>
      <w:bookmarkStart w:id="4" w:name="_GoBack"/>
      <w:bookmarkEnd w:id="4"/>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（10）未列举的附属物根据调查登记情况按重置价进行补偿。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十一、补助类别标准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Cs/>
          <w:sz w:val="32"/>
          <w:szCs w:val="32"/>
          <w:highlight w:val="none"/>
        </w:rPr>
        <w:t>水和电户头补助</w:t>
      </w:r>
      <w:r>
        <w:rPr>
          <w:rFonts w:hint="eastAsia" w:ascii="仿宋_GB2312" w:hAnsi="仿宋_GB2312" w:eastAsia="仿宋_GB2312" w:cs="仿宋_GB2312"/>
          <w:sz w:val="32"/>
          <w:szCs w:val="32"/>
          <w:highlight w:val="none"/>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6、最低补助。选择产权调换的，同一项目同一被征收人其被征收房屋建筑面积和签约腾房奖励面积的累计之和少于50㎡的，按50㎡补足；选择货币补偿的，同一项目同一被征收人其被征收房屋补偿和腾房奖励面积折成货币金额累计之和低于10万元的，按10万元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highlight w:val="none"/>
        </w:rPr>
        <w:t>商品房网签登记均价</w:t>
      </w:r>
      <w:r>
        <w:rPr>
          <w:rFonts w:hint="eastAsia" w:ascii="仿宋_GB2312" w:hAnsi="仿宋_GB2312" w:eastAsia="仿宋_GB2312" w:cs="仿宋_GB2312"/>
          <w:sz w:val="32"/>
          <w:szCs w:val="32"/>
          <w:highlight w:val="none"/>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5、征收连带奖。为鼓励列入同一个征收项目的同单位、同一栋、同一小区或区域的被征收人自发积极</w:t>
      </w:r>
      <w:r>
        <w:rPr>
          <w:rFonts w:hint="eastAsia" w:ascii="仿宋_GB2312" w:hAnsi="仿宋_GB2312" w:eastAsia="仿宋_GB2312" w:cs="仿宋_GB2312"/>
          <w:bCs/>
          <w:sz w:val="32"/>
          <w:szCs w:val="32"/>
          <w:highlight w:val="none"/>
        </w:rPr>
        <w:t>联动</w:t>
      </w:r>
      <w:r>
        <w:rPr>
          <w:rFonts w:hint="eastAsia" w:ascii="仿宋_GB2312" w:hAnsi="仿宋_GB2312" w:eastAsia="仿宋_GB2312" w:cs="仿宋_GB2312"/>
          <w:sz w:val="32"/>
          <w:szCs w:val="32"/>
          <w:highlight w:val="none"/>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highlight w:val="none"/>
        </w:rPr>
        <w:t>县</w:t>
      </w:r>
      <w:r>
        <w:rPr>
          <w:rFonts w:hint="eastAsia" w:ascii="仿宋_GB2312" w:hAnsi="仿宋_GB2312" w:eastAsia="仿宋_GB2312" w:cs="仿宋_GB2312"/>
          <w:sz w:val="32"/>
          <w:szCs w:val="32"/>
          <w:highlight w:val="none"/>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十三、以息代租房、直（自）管公房补助的相关规定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1、以息代租房、直（自）管公房的房屋价值不对承租人进行补偿，个人缴纳的押金或</w:t>
      </w:r>
      <w:r>
        <w:rPr>
          <w:rFonts w:hint="eastAsia" w:ascii="仿宋_GB2312" w:hAnsi="仿宋_GB2312" w:eastAsia="仿宋_GB2312" w:cs="仿宋_GB2312"/>
          <w:bCs/>
          <w:sz w:val="32"/>
          <w:szCs w:val="32"/>
          <w:highlight w:val="none"/>
        </w:rPr>
        <w:t>以息代租</w:t>
      </w:r>
      <w:r>
        <w:rPr>
          <w:rFonts w:hint="eastAsia" w:ascii="仿宋_GB2312" w:hAnsi="仿宋_GB2312" w:eastAsia="仿宋_GB2312" w:cs="仿宋_GB2312"/>
          <w:sz w:val="32"/>
          <w:szCs w:val="32"/>
          <w:highlight w:val="none"/>
        </w:rPr>
        <w:t>本金从原渠道无息退还；经单位同意，由承租人自行装饰装修的，按征收决定公告之日的市场评估价补偿；经单位同意，由承租人新建、扩建、改建的建（构）筑物，经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2、以息代租房、直（自）管公房享受的补助、奖励项目及标准：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（1）以息代租、直（自）管公房承租户在县城范围内本人或其子女无自有住房的（含</w:t>
      </w:r>
      <w:r>
        <w:rPr>
          <w:rFonts w:hint="eastAsia" w:ascii="仿宋_GB2312" w:hAnsi="仿宋_GB2312" w:eastAsia="仿宋_GB2312" w:cs="仿宋_GB2312"/>
          <w:bCs/>
          <w:sz w:val="32"/>
          <w:szCs w:val="32"/>
          <w:highlight w:val="none"/>
        </w:rPr>
        <w:t>子女有住房但不具备共同居住条件的），</w:t>
      </w:r>
      <w:r>
        <w:rPr>
          <w:rFonts w:hint="eastAsia" w:ascii="仿宋_GB2312" w:hAnsi="仿宋_GB2312" w:eastAsia="仿宋_GB2312" w:cs="仿宋_GB2312"/>
          <w:sz w:val="32"/>
          <w:szCs w:val="32"/>
          <w:highlight w:val="none"/>
        </w:rPr>
        <w:t>由住户申请，经审查符合保障条件，住房保障办安排廉（公）租房的，只享受搬迁费、网络通讯补助（由承租人出资安装）、水电补助（由承租人出资安装），并按照相关规定缴纳租金。</w:t>
      </w:r>
      <w:r>
        <w:rPr>
          <w:rFonts w:hint="eastAsia" w:ascii="仿宋_GB2312" w:hAnsi="仿宋_GB2312" w:eastAsia="仿宋_GB2312" w:cs="仿宋_GB2312"/>
          <w:bCs/>
          <w:sz w:val="32"/>
          <w:szCs w:val="32"/>
          <w:highlight w:val="none"/>
        </w:rPr>
        <w:t>不符合申请条件，未安排保障性住房的</w:t>
      </w:r>
      <w:r>
        <w:rPr>
          <w:rFonts w:hint="eastAsia" w:ascii="仿宋_GB2312" w:hAnsi="仿宋_GB2312" w:eastAsia="仿宋_GB2312" w:cs="仿宋_GB2312"/>
          <w:sz w:val="32"/>
          <w:szCs w:val="32"/>
          <w:highlight w:val="none"/>
        </w:rPr>
        <w:t>，根据各户的调查情况按以下项目进行补助和奖励。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（2）搬迁费按两次计算，每户按1500元／次予以补助。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（3）过渡房安置费。每户按650元／月予以补助，过渡期限为18个月。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（4）网络通讯补助。固定电话、宽带、网络有线电视每项按200元／户予以补助。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（5）水、电补助。由房屋承租人落户登记的，水、电补助按3000元／户补助，安装三相电的，另补2000元／户。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（6）按期签约奖。在征收公告规定的签约期限内签订腾房搬迁协议的，每户给予3000元的按期签约奖。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（7）按期搬迁奖。在征收公告规定的签约期限内签订腾房搬迁协议并完成搬迁的，每户给予5000元的按期搬迁奖。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十四、有限产权房屋征收与补偿的规定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70%有限产权房屋可以由被征收人申请，经原单位同意，按原房改政策计算方式补缴房改购房款</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Cs/>
          <w:sz w:val="32"/>
          <w:szCs w:val="32"/>
          <w:highlight w:val="none"/>
        </w:rPr>
        <w:t>补缴房改购房款为增加面积补缴金额与30%产权补缴金额之和。增加面积补缴金额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（70%产权房改所缴金额+30%产权补缴额）÷原房屋产权面积×增加面积， 30%产权补缴金额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70%产权房改所缴金额÷7×3</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及办证费用后，衔接为100％产权房进行补偿。被征收人需积极配合棚改工作并在规定期限内签订协议并搬迁腾房，否则其100%产权认定无效。补偿到位后原有限产权证书及相关资料予以收回注销，不再核发原被征收房屋的权属证书。房改衔接工作由不动产登记中心负责，由各单位统一收缴房改税费后上交县财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十五、未办理房屋权属登记手续的全额集资建设房屋征收与补偿的规定。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原单位已经制定集资建房方案，经县委、县政府审定同意办理相关建设手续，但未办理房屋权属登记手续的全额集资建设房屋，所有参加集资建房人员积极配合棚改工作，并在征收公告规定的签约期限内签订征收补偿协议并搬迁腾房的，由被征收人全体书面申请，经原单位同意，补齐按原集资建房协议约定的建设资金及缴纳由税务和不动产登记部门核定的相关税收和办证费用后，按合法建筑予以补偿，不再对被征收房屋核发不动产权证。</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十六、“住改非”房屋的营业补偿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被征收人将合法的住宅房屋部分改为营业性用房的“住改非”房屋，被征收人提供了合法的营业执照、税务登记证等相关证照，且连续经营并纳税超过五年以上（含五年）的相关材料，按实际营业净面积给予</w:t>
      </w:r>
      <w:r>
        <w:rPr>
          <w:rFonts w:hint="eastAsia" w:ascii="仿宋_GB2312" w:hAnsi="仿宋_GB2312" w:eastAsia="仿宋_GB2312" w:cs="仿宋_GB2312"/>
          <w:bCs/>
          <w:sz w:val="32"/>
          <w:szCs w:val="32"/>
          <w:highlight w:val="none"/>
        </w:rPr>
        <w:t>350元／㎡</w:t>
      </w:r>
      <w:r>
        <w:rPr>
          <w:rFonts w:hint="eastAsia" w:ascii="仿宋_GB2312" w:hAnsi="仿宋_GB2312" w:eastAsia="仿宋_GB2312" w:cs="仿宋_GB2312"/>
          <w:sz w:val="32"/>
          <w:szCs w:val="32"/>
          <w:highlight w:val="none"/>
        </w:rPr>
        <w:t>的营业补偿，但实际补偿净面积最高不超过</w:t>
      </w:r>
      <w:r>
        <w:rPr>
          <w:rFonts w:hint="eastAsia" w:ascii="仿宋_GB2312" w:hAnsi="仿宋_GB2312" w:eastAsia="仿宋_GB2312" w:cs="仿宋_GB2312"/>
          <w:bCs/>
          <w:sz w:val="32"/>
          <w:szCs w:val="32"/>
          <w:highlight w:val="none"/>
        </w:rPr>
        <w:t>120</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十七、车库、杂房、煤棚、加层、增加面积等的补偿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登记薄或权属证书上载明的车库、杂房、煤棚、加层、增加面积等按合法建筑予以补偿；未载明的由有关职能部门调查认定后，按征收决定公告之日的房屋重置价补偿。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十八、社会保障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highlight w:val="none"/>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十九、政策优惠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1、被征收房屋贷款抵押的，由被征收人与债权人自行解除抵押合同后，对被征收人予以补偿</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highlight w:val="none"/>
        </w:rPr>
        <w:t>“打非办”</w:t>
      </w:r>
      <w:r>
        <w:rPr>
          <w:rFonts w:hint="eastAsia" w:ascii="仿宋_GB2312" w:hAnsi="仿宋_GB2312" w:eastAsia="仿宋_GB2312" w:cs="仿宋_GB2312"/>
          <w:sz w:val="32"/>
          <w:szCs w:val="32"/>
          <w:highlight w:val="none"/>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7、选择货币补偿在本县县城规划区域范围内购买具有预售许可证商品房或国有出让</w:t>
      </w:r>
      <w:r>
        <w:rPr>
          <w:rFonts w:hint="eastAsia" w:ascii="仿宋_GB2312" w:hAnsi="仿宋_GB2312" w:eastAsia="仿宋_GB2312" w:cs="仿宋_GB2312"/>
          <w:bCs/>
          <w:sz w:val="32"/>
          <w:szCs w:val="32"/>
          <w:highlight w:val="none"/>
        </w:rPr>
        <w:t>土地</w:t>
      </w:r>
      <w:r>
        <w:rPr>
          <w:rFonts w:hint="eastAsia" w:ascii="仿宋_GB2312" w:hAnsi="仿宋_GB2312" w:eastAsia="仿宋_GB2312" w:cs="仿宋_GB2312"/>
          <w:sz w:val="32"/>
          <w:szCs w:val="32"/>
          <w:highlight w:val="none"/>
        </w:rPr>
        <w:t>上具有合法手续房屋的（非“三非”房屋），</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被征收人书面申请</w:t>
      </w:r>
      <w:r>
        <w:rPr>
          <w:rFonts w:hint="eastAsia" w:ascii="仿宋_GB2312" w:hAnsi="仿宋_GB2312" w:eastAsia="仿宋_GB2312" w:cs="仿宋_GB2312"/>
          <w:sz w:val="32"/>
          <w:szCs w:val="32"/>
          <w:highlight w:val="none"/>
          <w:lang w:eastAsia="zh-CN"/>
        </w:rPr>
        <w:t>并经县棚改办</w:t>
      </w:r>
      <w:r>
        <w:rPr>
          <w:rFonts w:hint="eastAsia" w:ascii="仿宋_GB2312" w:hAnsi="仿宋_GB2312" w:eastAsia="仿宋_GB2312" w:cs="仿宋_GB2312"/>
          <w:sz w:val="32"/>
          <w:szCs w:val="32"/>
          <w:highlight w:val="none"/>
        </w:rPr>
        <w:t>同意</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rPr>
        <w:t>，购房奖励</w:t>
      </w:r>
      <w:r>
        <w:rPr>
          <w:rFonts w:hint="eastAsia" w:ascii="仿宋_GB2312" w:hAnsi="仿宋_GB2312" w:eastAsia="仿宋_GB2312" w:cs="仿宋_GB2312"/>
          <w:bCs/>
          <w:sz w:val="32"/>
          <w:szCs w:val="32"/>
          <w:highlight w:val="none"/>
        </w:rPr>
        <w:t>（本方案第十</w:t>
      </w:r>
      <w:r>
        <w:rPr>
          <w:rFonts w:hint="eastAsia" w:ascii="仿宋_GB2312" w:hAnsi="仿宋_GB2312" w:eastAsia="仿宋_GB2312" w:cs="仿宋_GB2312"/>
          <w:bCs/>
          <w:sz w:val="32"/>
          <w:szCs w:val="32"/>
          <w:highlight w:val="none"/>
          <w:lang w:eastAsia="zh-CN"/>
        </w:rPr>
        <w:t>二</w:t>
      </w:r>
      <w:r>
        <w:rPr>
          <w:rFonts w:hint="eastAsia" w:ascii="仿宋_GB2312" w:hAnsi="仿宋_GB2312" w:eastAsia="仿宋_GB2312" w:cs="仿宋_GB2312"/>
          <w:bCs/>
          <w:sz w:val="32"/>
          <w:szCs w:val="32"/>
          <w:highlight w:val="none"/>
        </w:rPr>
        <w:t>项第6条第二个300元/㎡的购房奖励）</w:t>
      </w:r>
      <w:r>
        <w:rPr>
          <w:rFonts w:hint="eastAsia" w:ascii="仿宋_GB2312" w:hAnsi="仿宋_GB2312" w:eastAsia="仿宋_GB2312" w:cs="仿宋_GB2312"/>
          <w:sz w:val="32"/>
          <w:szCs w:val="32"/>
          <w:highlight w:val="none"/>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9、房屋及土地的性质、权属、面积等以登记部门的登记簿为准，存在争议的</w:t>
      </w:r>
      <w:r>
        <w:rPr>
          <w:rFonts w:hint="eastAsia" w:ascii="仿宋_GB2312" w:hAnsi="仿宋_GB2312" w:eastAsia="仿宋_GB2312" w:cs="仿宋_GB2312"/>
          <w:bCs/>
          <w:sz w:val="32"/>
          <w:szCs w:val="32"/>
          <w:highlight w:val="none"/>
        </w:rPr>
        <w:t>由住建、国土、房产、城管等职能部门及龙泉镇政府</w:t>
      </w:r>
      <w:r>
        <w:rPr>
          <w:rFonts w:hint="eastAsia" w:ascii="仿宋_GB2312" w:hAnsi="仿宋_GB2312" w:eastAsia="仿宋_GB2312" w:cs="仿宋_GB2312"/>
          <w:sz w:val="32"/>
          <w:szCs w:val="32"/>
          <w:highlight w:val="none"/>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（3）每套居住房屋的面积不少于50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（含50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shd w:val="clear" w:color="auto" w:fill="FFFFFF"/>
        </w:rPr>
      </w:pPr>
      <w:r>
        <w:rPr>
          <w:rFonts w:hint="eastAsia" w:ascii="仿宋_GB2312" w:hAnsi="仿宋_GB2312" w:eastAsia="仿宋_GB2312" w:cs="仿宋_GB2312"/>
          <w:sz w:val="32"/>
          <w:szCs w:val="32"/>
          <w:highlight w:val="none"/>
        </w:rPr>
        <w:t>同栋建筑内同一权利人有多套房屋的，视为一户多套；</w:t>
      </w:r>
      <w:r>
        <w:rPr>
          <w:rFonts w:hint="eastAsia" w:ascii="仿宋_GB2312" w:hAnsi="仿宋_GB2312" w:eastAsia="仿宋_GB2312" w:cs="仿宋_GB2312"/>
          <w:bCs/>
          <w:sz w:val="32"/>
          <w:szCs w:val="32"/>
          <w:highlight w:val="none"/>
        </w:rPr>
        <w:t>一套房屋有多个权利人共有的，</w:t>
      </w:r>
      <w:r>
        <w:rPr>
          <w:rFonts w:hint="eastAsia" w:ascii="仿宋_GB2312" w:hAnsi="仿宋_GB2312" w:eastAsia="仿宋_GB2312" w:cs="仿宋_GB2312"/>
          <w:sz w:val="32"/>
          <w:szCs w:val="32"/>
          <w:highlight w:val="none"/>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二十一、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highlight w:val="none"/>
        </w:rPr>
      </w:pPr>
    </w:p>
    <w:sectPr>
      <w:footerReference r:id="rId3" w:type="default"/>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D661D"/>
    <w:multiLevelType w:val="singleLevel"/>
    <w:tmpl w:val="115D661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E0C593C"/>
    <w:rsid w:val="0E805A2B"/>
    <w:rsid w:val="108E5496"/>
    <w:rsid w:val="11415640"/>
    <w:rsid w:val="13ED1F24"/>
    <w:rsid w:val="14BD7740"/>
    <w:rsid w:val="156A18FA"/>
    <w:rsid w:val="15EC5DC8"/>
    <w:rsid w:val="161E41A7"/>
    <w:rsid w:val="16E54AAB"/>
    <w:rsid w:val="17D61D67"/>
    <w:rsid w:val="1A6C15FC"/>
    <w:rsid w:val="1DB772EE"/>
    <w:rsid w:val="1E331E23"/>
    <w:rsid w:val="20F31FFB"/>
    <w:rsid w:val="27492C37"/>
    <w:rsid w:val="2A551D51"/>
    <w:rsid w:val="2A8F730D"/>
    <w:rsid w:val="2C8F6EDC"/>
    <w:rsid w:val="2D971A2C"/>
    <w:rsid w:val="2FAE50C2"/>
    <w:rsid w:val="30572BDF"/>
    <w:rsid w:val="30BA64D3"/>
    <w:rsid w:val="32186B0E"/>
    <w:rsid w:val="37370500"/>
    <w:rsid w:val="37927458"/>
    <w:rsid w:val="38491A5C"/>
    <w:rsid w:val="3EC83EB3"/>
    <w:rsid w:val="3F650AF9"/>
    <w:rsid w:val="3F9652E1"/>
    <w:rsid w:val="41B3181B"/>
    <w:rsid w:val="42F625D2"/>
    <w:rsid w:val="46685424"/>
    <w:rsid w:val="478A75DE"/>
    <w:rsid w:val="4C575C20"/>
    <w:rsid w:val="4CC978E0"/>
    <w:rsid w:val="4D417F4C"/>
    <w:rsid w:val="4FAD146F"/>
    <w:rsid w:val="51ED6292"/>
    <w:rsid w:val="5338620C"/>
    <w:rsid w:val="5346136D"/>
    <w:rsid w:val="551622E9"/>
    <w:rsid w:val="56246657"/>
    <w:rsid w:val="56BD4FF7"/>
    <w:rsid w:val="59A63290"/>
    <w:rsid w:val="5FA729F5"/>
    <w:rsid w:val="61E56464"/>
    <w:rsid w:val="6A244895"/>
    <w:rsid w:val="6B207CBB"/>
    <w:rsid w:val="70E67C38"/>
    <w:rsid w:val="74072C41"/>
    <w:rsid w:val="785E035E"/>
    <w:rsid w:val="7A7E4DB9"/>
    <w:rsid w:val="7AD7143F"/>
    <w:rsid w:val="7CC80EAD"/>
    <w:rsid w:val="7EA7287F"/>
    <w:rsid w:val="7EC2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iCs/>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0</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2019-08-08T14:44:00Z</cp:lastPrinted>
  <dcterms:modified xsi:type="dcterms:W3CDTF">2019-08-09T08:09:52Z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