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511A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新田县2024年度政府决算公开说明</w:t>
      </w:r>
    </w:p>
    <w:p w14:paraId="6F5D301D">
      <w:pPr>
        <w:pStyle w:val="4"/>
        <w:rPr>
          <w:rFonts w:hint="default"/>
          <w:lang w:val="en-US" w:eastAsia="zh-CN"/>
        </w:rPr>
      </w:pPr>
    </w:p>
    <w:p w14:paraId="29B5E6EB">
      <w:pPr>
        <w:widowControl/>
        <w:spacing w:line="600" w:lineRule="exact"/>
        <w:ind w:firstLine="627" w:firstLineChars="196"/>
        <w:jc w:val="left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eastAsia="黑体"/>
          <w:bCs/>
          <w:kern w:val="0"/>
          <w:sz w:val="32"/>
          <w:szCs w:val="32"/>
        </w:rPr>
        <w:t>一、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关于</w:t>
      </w:r>
      <w:r>
        <w:rPr>
          <w:rFonts w:eastAsia="黑体"/>
          <w:bCs/>
          <w:kern w:val="0"/>
          <w:sz w:val="32"/>
          <w:szCs w:val="32"/>
        </w:rPr>
        <w:t>税收返还和转移支付情况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的说明</w:t>
      </w:r>
    </w:p>
    <w:p w14:paraId="2F9DAA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，税收返还和转移支付预算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231447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25444万元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9.9%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主要是因为2023年提前下达水利特别国债资金32259万元。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</w:t>
      </w:r>
    </w:p>
    <w:p w14:paraId="7541BCD5"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  <w:lang w:val="en-US" w:eastAsia="zh-CN"/>
        </w:rPr>
      </w:pPr>
      <w:r>
        <w:rPr>
          <w:rFonts w:eastAsia="楷体_GB2312"/>
          <w:b/>
          <w:color w:val="000000"/>
          <w:sz w:val="32"/>
          <w:szCs w:val="32"/>
        </w:rPr>
        <w:t>（一）税收返还</w:t>
      </w:r>
    </w:p>
    <w:p w14:paraId="6F014FB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税收返还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4363万元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与上年持平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。其中：</w:t>
      </w:r>
    </w:p>
    <w:p w14:paraId="1EAAB4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所得税基数返还收入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455万元；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4610AF2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成品油税费改革税收返还收入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1021万元；</w:t>
      </w:r>
    </w:p>
    <w:p w14:paraId="36FA676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增值税税收返还收入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733万元；</w:t>
      </w:r>
    </w:p>
    <w:p w14:paraId="0741863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消费税税收返还收入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1万元；</w:t>
      </w:r>
    </w:p>
    <w:p w14:paraId="353770B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增值税“五五分享”税收返还收入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1865万元；</w:t>
      </w:r>
    </w:p>
    <w:p w14:paraId="67367F7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其他返还性收入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288万元。</w:t>
      </w:r>
    </w:p>
    <w:p w14:paraId="7913BF5F">
      <w:pPr>
        <w:spacing w:line="60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（二）一般性转移支付</w:t>
      </w:r>
    </w:p>
    <w:p w14:paraId="5EDEBAD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一般性转移支付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223268万元，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11529万元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4.91%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。其中：</w:t>
      </w:r>
    </w:p>
    <w:p w14:paraId="764B9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体制补助收入0万元，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与上年持平；</w:t>
      </w:r>
    </w:p>
    <w:p w14:paraId="64F611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均衡性转移支付收入66271万元，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增加2092万元，增长3.26%；</w:t>
      </w:r>
    </w:p>
    <w:p w14:paraId="3A76D6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县级基本财力保障机制奖补资金收入22363万元，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97万元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0.43%；</w:t>
      </w:r>
    </w:p>
    <w:p w14:paraId="0A5793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4.结算补助收入5463万元，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2211万元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28.81%，</w:t>
      </w:r>
    </w:p>
    <w:p w14:paraId="1C5635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主要是按2023年执行数进行测算后进行预算安排；</w:t>
      </w:r>
    </w:p>
    <w:p w14:paraId="0A6C3F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企业事业单位划转补助收入-209万元，与上年持平；</w:t>
      </w:r>
    </w:p>
    <w:p w14:paraId="1582A8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6.产粮（油）大县奖励资金收入209万元，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49.15%，主要是因为上级专项资金减少；</w:t>
      </w:r>
    </w:p>
    <w:p w14:paraId="21629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重点生态功能区转移支付收入9053万元，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增加525万元，增长6.16%；</w:t>
      </w:r>
    </w:p>
    <w:p w14:paraId="49BF0A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8.固定数额补助收入8434万元，与上年持平。</w:t>
      </w:r>
    </w:p>
    <w:p w14:paraId="78FE88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革命老区转移支付收入160万元，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年持平。</w:t>
      </w:r>
    </w:p>
    <w:p w14:paraId="26B57C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巩固脱贫攻坚成果衔接乡村振兴转移支付收入11892万元，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7.83%；</w:t>
      </w:r>
    </w:p>
    <w:p w14:paraId="5DB60F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11.其他一般性转移支付收入998万元，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1028万元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50.74%，主要是因为2023年将生猪调出大县、种粮农民一次性补贴、农村客运补贴资金等资金1412万元放其他一般性转移支付收入；</w:t>
      </w:r>
    </w:p>
    <w:p w14:paraId="3962AD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12.共同财政事权转移支付收入74048万元，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32482万元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30.49%，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主要原因是2023年提前下达水利特别国债资金32259万元。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其中：一般公共服务共同财政事权转移支付收入30万元；公共安全共同财政事权转移支付收入1219万元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共同财政事权转移支付收入21462万元；科学技术共同财政事权转移支付收入102万元；文化旅游体育与传媒共同财政事权转移支付收入511万元；社会保障和就业共同财政事权转移支付收入24208万元；医疗卫生共同财政事权转移支付收入6554万元；节能环保共同财政事权转移支付收入667万元；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水共同财政事权转移支付收入15239万元；交通运输共同财政事权转移支付收入1987万元；住房保障共同财政事权转移支付收入1633万元；粮油物资储备共同财政事权转移支付收入194万元；灾害防治及应急管理共同财政事权转移支付收入242万元。</w:t>
      </w:r>
    </w:p>
    <w:p w14:paraId="15618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（三）专项转移支付</w:t>
      </w:r>
    </w:p>
    <w:p w14:paraId="55C8B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专项转移支付收入28402万元，比上年增加10671万元，增长60.18%，主要是2024年下达超长期特别国债6084万元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。其中：</w:t>
      </w:r>
    </w:p>
    <w:p w14:paraId="43A7CD9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1.一般公共预算专项转移支付20223万元。</w:t>
      </w:r>
    </w:p>
    <w:p w14:paraId="2DAFC3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（1）一般公共服务1253万元；</w:t>
      </w:r>
    </w:p>
    <w:p w14:paraId="77671E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公共安全34万元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41260E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教育306万元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56250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科学技术71万元；</w:t>
      </w:r>
    </w:p>
    <w:p w14:paraId="7E52CA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（5）文化旅游体育与传媒187万元；</w:t>
      </w:r>
    </w:p>
    <w:p w14:paraId="483939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（6）社会保障和就业856万元；</w:t>
      </w:r>
    </w:p>
    <w:p w14:paraId="43090F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（7）卫生健康337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491442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（8）节能环保4262万元；</w:t>
      </w:r>
    </w:p>
    <w:p w14:paraId="00900D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（9）城乡社区114万元；</w:t>
      </w:r>
    </w:p>
    <w:p w14:paraId="472157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（10）农林水8342万元；</w:t>
      </w:r>
    </w:p>
    <w:p w14:paraId="0BE19F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（11）交通运输912万元；</w:t>
      </w:r>
    </w:p>
    <w:p w14:paraId="2A14E0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（12）资源勘探信息700万元；</w:t>
      </w:r>
    </w:p>
    <w:p w14:paraId="59416F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（13）商业服务业等支出231万元；</w:t>
      </w:r>
    </w:p>
    <w:p w14:paraId="4229D8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（14）自然资源海洋气象支出504万元；</w:t>
      </w:r>
    </w:p>
    <w:p w14:paraId="5BFA26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（15）粮油物资储备支出5万元；</w:t>
      </w:r>
    </w:p>
    <w:p w14:paraId="7D7C7B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（16）灾害防治及应急管理支出2111万元；</w:t>
      </w:r>
    </w:p>
    <w:p w14:paraId="3A8A3B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（17）其他收入-2万元。</w:t>
      </w:r>
    </w:p>
    <w:p w14:paraId="11996C3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2.政府性基金预算专项转移支付8172万元</w:t>
      </w:r>
    </w:p>
    <w:p w14:paraId="27164A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（1）大中型水库移民后期扶持基金收入1357万元；</w:t>
      </w:r>
    </w:p>
    <w:p w14:paraId="2DAF08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彩票公益金收入731万元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195C4D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超长期特别国债相关收入6084万元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 w14:paraId="6E68404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3.国有资本经营预算专项转移支付7万元</w:t>
      </w:r>
    </w:p>
    <w:p w14:paraId="47467B0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国有企业退休人员社会化管理补助支出7万元</w:t>
      </w:r>
    </w:p>
    <w:p w14:paraId="312C8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关于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举借政府债务情况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的说明</w:t>
      </w:r>
    </w:p>
    <w:p w14:paraId="6A763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（一）地方政府债务限额余额情况</w:t>
      </w:r>
    </w:p>
    <w:p w14:paraId="06428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，政府债务总限额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611231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一般债务限额3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29210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282021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底，地方政府债务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607284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一般债务余额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325264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282020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控制在省核定的债务限额以内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2FDD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（二）地方政府债券发行情况</w:t>
      </w:r>
    </w:p>
    <w:p w14:paraId="7925E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2024年</w:t>
      </w:r>
      <w:r>
        <w:rPr>
          <w:rFonts w:eastAsia="仿宋_GB2312"/>
          <w:sz w:val="32"/>
          <w:szCs w:val="32"/>
          <w:highlight w:val="none"/>
        </w:rPr>
        <w:t>，省转贷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发行债券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新增一般债券资金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万元，再融资一般债券资金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35442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万元，新增专项债券资金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35700万元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6141D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新增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一般债券项目共计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5600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万元，主要用于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国省干线、农村公路200万元，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G234竹林坪到县城公路建设项目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1000万元，民兵训练基地二期工程600万元，市政维护工程</w:t>
      </w:r>
      <w:r>
        <w:rPr>
          <w:rFonts w:hint="eastAsia" w:ascii="仿宋_GB2312" w:hAnsi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0万元，毛俊水库新田灌区工程建设项目1000万元，平安城市建设项目982万元，公路养护项目250万元，LED道路照明节能治理建设469万元，怡华路市政道路改造工程219万元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专项债券项目共计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33500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万元，主要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新田县中医医院门诊、医技、内科住院综合楼项目5000万元，新田县智能制造产业园项目22500万元，补充政府性基金6000万元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FE57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三</w:t>
      </w:r>
      <w:r>
        <w:rPr>
          <w:rFonts w:eastAsia="楷体_GB2312"/>
          <w:b/>
          <w:color w:val="000000"/>
          <w:sz w:val="32"/>
          <w:szCs w:val="32"/>
        </w:rPr>
        <w:t>）地方政府债务还本付息情况</w:t>
      </w:r>
    </w:p>
    <w:p w14:paraId="24533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偿还地方政府债券本金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75080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一般债务还本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39380万元，专项债务还本35700万元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。当年支付债务利息1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6554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一般债务利息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9344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万元，专项债务利息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7210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</w:t>
      </w:r>
    </w:p>
    <w:p w14:paraId="671439CB">
      <w:pPr>
        <w:spacing w:line="580" w:lineRule="exact"/>
        <w:ind w:firstLine="640" w:firstLineChars="20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三、</w:t>
      </w:r>
      <w:r>
        <w:rPr>
          <w:rFonts w:hint="eastAsia" w:eastAsia="黑体"/>
          <w:color w:val="000000"/>
          <w:sz w:val="32"/>
          <w:szCs w:val="32"/>
          <w:lang w:eastAsia="zh-CN"/>
        </w:rPr>
        <w:t>关于</w:t>
      </w:r>
      <w:r>
        <w:rPr>
          <w:rFonts w:eastAsia="黑体"/>
          <w:color w:val="000000"/>
          <w:sz w:val="32"/>
          <w:szCs w:val="32"/>
        </w:rPr>
        <w:t>预算绩效管理工作情况</w:t>
      </w:r>
      <w:r>
        <w:rPr>
          <w:rFonts w:hint="eastAsia" w:eastAsia="黑体"/>
          <w:color w:val="000000"/>
          <w:sz w:val="32"/>
          <w:szCs w:val="32"/>
          <w:lang w:eastAsia="zh-CN"/>
        </w:rPr>
        <w:t>的说明</w:t>
      </w:r>
    </w:p>
    <w:p w14:paraId="680BD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1.预算绩效管理基础进一步夯实。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在预算绩效管理实现“两个全覆盖”（“四本”预算绩效管理全覆盖和预算单位绩效管理全覆盖）的基础上，通过信息化平台赋能，打通数据壁垒，形成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绩效目标编制、绩效运行监控、绩效评价及结果应用的全链条绩效管理，构建事前事中事后的全流程财政资金管理体系，充分发挥绩效管理“利刃”作用，助力财政管理迈上新台阶。</w:t>
      </w:r>
    </w:p>
    <w:p w14:paraId="476AA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一是在预算编制初期，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部门依据县委县政府战略规划和部门年度工作重点，设定具体的绩效目标。通过层层分解，将宏观目标细化到具体项目和资金使用环节，确保每个资金使用方向都有明确的绩效导向。建立“三方会审”的目标审核机制，邀请财务和评审专家参与，抽取了24个预算单位的整体目标、项目目标开展会审，整理存在的问题，以点带面，推动全县单位规范、完整、准确申报绩效目标，确保目标的科学性和合理性。2024年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调整专项支出6项，取消专项支出3项，节约财政资金1649万元。</w:t>
      </w:r>
    </w:p>
    <w:p w14:paraId="33D7ED2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在预算执行中，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运用预算绩效管理系统，对年初预算安排的439个项目预算执行进度和目标完成程度实施“双监控”，对发现的项目进度滞后、项目效果不及预期的问题，督促主管部门制定有效措施，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及时纠偏，确保目标达成，资金充分发挥效益。</w:t>
      </w:r>
    </w:p>
    <w:p w14:paraId="0F15AC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三是在决算过程中，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利用决算数据，组织全县预算单位对预算执行情况和绩效情况进行分析和评价，形成自评报告。并对35个预算单位自评结果实施抽查，建立问题台账，为下一年度的预算编制和管理提供参考。</w:t>
      </w:r>
    </w:p>
    <w:bookmarkEnd w:id="0"/>
    <w:p w14:paraId="4A78A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2.财政重点绩效评价进一步优化。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将重点绩效评价前移，覆盖事前评估和事中监控，优化重点绩效评价结构，提升评价结构的科学性、合理性和结果应用的有效性。</w:t>
      </w:r>
    </w:p>
    <w:p w14:paraId="49F1A02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一是在事前绩效评估方面。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2024年拟申报专项债券资金的4个项目开展事前绩效评估，综合评分分别为92分、91分、88.5分、86分，在立项必要性、绩效目标合理性、投入经济性、实施方案可行性和筹资合规性总体评估中结果较为理想，但在成本控制、过程监管、资料管理等方面存在不足。主管部门根据评估报告的意见立即作出反馈，严密核算相关成本、完善过程监管制度、健全资料管理制度，确保项目申报成功、落地实施、目标实现。</w:t>
      </w:r>
    </w:p>
    <w:p w14:paraId="1725EFD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二是在绩效运行监控方面。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部门自行监控的基础上，综合资金来源因素，我县选择了2个县本级资金的政府采购项目、2个特别国债资金项目开展重点运行监控。综合评分分别为91分、90.25分、89分、86分，项目整体运行平稳、目标达成率较高，但仍然存在项目进度滞后、流程管理欠规范、项目监管不足等问题。我局迅速将绩效监控中发现的问题反馈给主管部门，督促其采取有效措施，规范管理、加强监督、保障进度。主管部门作出了积极有效的回应，及时纠偏，确保项目按时保质保效完成。</w:t>
      </w:r>
    </w:p>
    <w:p w14:paraId="067D55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三是在事后绩效评价方面。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确保“四本”预算全覆盖的前提下，对部门整体支出、专项债券项目、政府采购、政府购买服务、政府投资基金等重大项目开展重点绩效评价，同时，还对乡镇财政综合运行情况、县本级行政事业性收费收入开展重点绩效评价，了解乡镇财政运行的基本情况、投入产出、存在的问题困难以及县财政行政事业性收费收入的综合绩效情况，规范财政管理，提升预算绩效管理水平。</w:t>
      </w:r>
    </w:p>
    <w:p w14:paraId="4F5B2F7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3.部门联动成效进一步凸显。</w:t>
      </w:r>
    </w:p>
    <w:p w14:paraId="73C423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发挥财会监督、审计监督各自优势，建立健全财审联席制度，强化财审联动制度，将事后监督延伸到事前、事中，进一步有效防范经济腐败。</w:t>
      </w:r>
    </w:p>
    <w:p w14:paraId="6F325F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一是在预算绩效管理方面。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将财审联动贯穿绩效管理全过程，实现“信息共享、工作共推、整改共促、结果共用”四位一体财审联动机制。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176个预算单位绩效目标申报、绩效自评报告和439个项目绩效运行监控，以及财政重点绩效评价报告（包含事前评估4个、绩效监控4个、绩效评价12个）同步报送审计部门，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充分发挥审计监督、财会监督的合力，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共同推进问题整改，确保项目落地见效、资金安全有效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A5DE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二是在零基预算改革方面。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邀请人大财经委、审计部门参与指导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零基预算改革，强化部门联动，增强权威性、全面性。组建4个改革指导工作小组，分别对党政机关、事业单位、乡镇街道和群团组织共计33个单位2025年预算申报工作开展业务指导，宣传深化零基预算改革政策和要求，提高预算编制的科学性、合理性和精准性。</w:t>
      </w:r>
    </w:p>
    <w:p w14:paraId="1FAB97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三是在项目评审方面。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构建“评审+审计”模式，探索工程项目联合评审，防范群腐土壤滋生。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全年完成评审项目810个，送审金额11.36亿元，共计审减2.21亿元，审减率19.45%，极大地减少了财政资金浪费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让财政资金花在“刀刃”上、紧要处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1185C0">
      <w:pPr>
        <w:spacing w:line="58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四、</w:t>
      </w: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关于“三公”经费支出情况的说明</w:t>
      </w:r>
    </w:p>
    <w:p w14:paraId="277A98B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根据县委、县政府安排部署，经新田县财政局汇总，新田县所有部门，包括县级行政、事业单位及13个乡镇（街道），使用当年财政拨款安排的2024年度“三公”经费决算汇总数为</w:t>
      </w:r>
    </w:p>
    <w:p w14:paraId="0C75C922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1214万元，同比减少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223万元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,下降15.52%。其中，公务接待费453万元，同比减少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76万元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,下降14.37%，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主要是因为贯彻中央精神，严格把控接待费，无函不接待同城不接待，因而接待费大幅减少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；公务用车购置及运行费760万元（公务用车购置155万元、运行维护费605万元），同比减少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148万元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,下降16.3%，主要是从严控制公务用车购置，购置经费同比下降125万元；因公出国（境）费0万元，与上年持平。</w:t>
      </w:r>
    </w:p>
    <w:p w14:paraId="50886C35">
      <w:pPr>
        <w:spacing w:line="580" w:lineRule="exact"/>
        <w:ind w:firstLine="640" w:firstLineChars="200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五、名词解释</w:t>
      </w:r>
      <w:bookmarkStart w:id="1" w:name="_GoBack"/>
      <w:bookmarkEnd w:id="1"/>
    </w:p>
    <w:p w14:paraId="7066E84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一般公共预算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一般公共预算是对以税收为主体的财政收入，安排用于保障和改善民生、推动经济社会发展、维护国家安全、维持国家机构正常运转等方面的收支预算。</w:t>
      </w:r>
    </w:p>
    <w:p w14:paraId="66C9187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（2）政府性基金预算: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07B5E64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（3）国有资本经营预算: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是对国有资本收益作出支出安排的收支预算。应当按照收支平衡的原则编制，不列赤字，并安排资金调入一般公共预算。</w:t>
      </w:r>
    </w:p>
    <w:p w14:paraId="5B4C36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51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（4）社会保险基金预算: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313F41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510"/>
        <w:jc w:val="both"/>
        <w:rPr>
          <w:rFonts w:hint="eastAsi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（5）“三公”经费：是指商品和服务支出中的因公出国（境）费用、公务用车购置及运行维护费和公务接待费。</w:t>
      </w:r>
    </w:p>
    <w:p w14:paraId="17864F2D"/>
    <w:sectPr>
      <w:headerReference r:id="rId3" w:type="default"/>
      <w:footerReference r:id="rId4" w:type="default"/>
      <w:footerReference r:id="rId5" w:type="even"/>
      <w:pgSz w:w="11906" w:h="16838" w:orient="landscape"/>
      <w:pgMar w:top="1417" w:right="1701" w:bottom="1417" w:left="1418" w:header="720" w:footer="1701" w:gutter="0"/>
      <w:pgNumType w:start="1"/>
      <w:cols w:space="720" w:num="1"/>
      <w:titlePg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F230">
    <w:pPr>
      <w:pStyle w:val="6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55C53">
    <w:pPr>
      <w:pStyle w:val="6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A5CE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0F97"/>
    <w:rsid w:val="1FB0296F"/>
    <w:rsid w:val="2661214E"/>
    <w:rsid w:val="3B1B7D30"/>
    <w:rsid w:val="527542B6"/>
    <w:rsid w:val="5D9C0F97"/>
    <w:rsid w:val="5E3E7C0F"/>
    <w:rsid w:val="6A4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3834</Words>
  <Characters>4366</Characters>
  <Lines>0</Lines>
  <Paragraphs>0</Paragraphs>
  <TotalTime>6</TotalTime>
  <ScaleCrop>false</ScaleCrop>
  <LinksUpToDate>false</LinksUpToDate>
  <CharactersWithSpaces>4374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2024-11-26T03:06:00Z</dcterms:created>
  <dc:creator>Administrator</dc:creator>
  <cp:lastModifiedBy>The    One</cp:lastModifiedBy>
  <dcterms:modified xsi:type="dcterms:W3CDTF">2025-07-29T07:34:11Z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eyJoZGlkIjoiYjYxOTJmNjk4MmU1MTcxMDc4OTY5OTYzMjExMjdiMmMiLCJ1c2VySWQiOiIzMTE0NjQzMzMifQ==</vt:lpwstr>
  </property>
  <property fmtid="{D5CDD505-2E9C-101B-9397-08002B2CF9AE}" pid="4" name="ICV">
    <vt:lpwstr>85C02537C22247008BA36E177173E898_12</vt:lpwstr>
  </property>
</Properties>
</file>