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80" w:lineRule="auto"/>
        <w:ind w:left="0" w:right="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</w:rPr>
        <w:t>政府性债务余额情况说明</w:t>
      </w:r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643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全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政府性债务情况。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截至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，全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政府性债务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限额及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余额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均为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28.85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亿元。其中：政府负有偿还责任的债务余额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28.85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亿元，占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643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2018年地方政府债券还本付息为1.51亿元。其中：本金0.66亿元，利息0.85亿元。债券还本通过发行再融资债券0.66亿元。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643"/>
        <w:jc w:val="left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2019年度发行的政府债券为5.12亿元，其中：新增政府债券2.71亿元，再融资债券（老债券到期还本）为2.41亿元。全年付息资金为0.89亿元。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643"/>
        <w:jc w:val="left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2019年我县新增债券资金为2.71亿元，其中：新增一般债券1.29亿元，专项债券1.42亿元。一般债券资金安排情况为美丽乡村建设人居环境整治3200万元，新田县工业集中区综合路网建设项目1500万元，贫困村光伏发电站建设1500万元，农村综合服务平台建设5500万元，新建芙蓉学校1200万元；专项债券资金安排情况为新田县新圩镇污水处理设施项目1000万元，新田县南部新城工业园污水处理厂建设（一期）1200万元，新华南路城镇棚户区改造（二期）6000万元，前进路片区城镇棚户区改造项目（二期）6000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55CC1"/>
    <w:rsid w:val="29D0613A"/>
    <w:rsid w:val="37383EEC"/>
    <w:rsid w:val="40A313DC"/>
    <w:rsid w:val="69955CC1"/>
    <w:rsid w:val="7975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666666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disabled"/>
    <w:basedOn w:val="4"/>
    <w:qFormat/>
    <w:uiPriority w:val="0"/>
    <w:rPr>
      <w:color w:val="999999"/>
      <w:bdr w:val="single" w:color="C5C5C5" w:sz="6" w:space="0"/>
    </w:rPr>
  </w:style>
  <w:style w:type="character" w:customStyle="1" w:styleId="14">
    <w:name w:val="current"/>
    <w:basedOn w:val="4"/>
    <w:qFormat/>
    <w:uiPriority w:val="0"/>
    <w:rPr>
      <w:b/>
      <w:color w:val="FFFFFF"/>
      <w:bdr w:val="single" w:color="0371B9" w:sz="6" w:space="0"/>
      <w:shd w:val="clear" w:fill="0371B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2018-12-20T06:59:00Z</dcterms:created>
  <dc:creator>Administrator</dc:creator>
  <cp:lastModifiedBy>Sweet</cp:lastModifiedBy>
  <dcterms:modified xsi:type="dcterms:W3CDTF">2021-05-11T01:23:18Z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