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附件</w:t>
      </w:r>
    </w:p>
    <w:p>
      <w:pPr>
        <w:jc w:val="center"/>
        <w:rPr>
          <w:rFonts w:hint="eastAsia"/>
          <w:lang w:eastAsia="zh-CN"/>
        </w:rPr>
      </w:pPr>
      <w:r>
        <w:rPr>
          <w:rFonts w:hint="eastAsia" w:ascii="宋体" w:hAnsi="宋体" w:eastAsia="宋体" w:cs="Times New Roman"/>
          <w:b/>
          <w:bCs/>
          <w:color w:val="000000"/>
          <w:kern w:val="0"/>
          <w:sz w:val="40"/>
          <w:szCs w:val="40"/>
          <w:lang w:eastAsia="zh-CN"/>
        </w:rPr>
        <w:t>湖南省第二批“一件事一次办”事项</w:t>
      </w:r>
      <w:bookmarkStart w:id="0" w:name="_GoBack"/>
      <w:bookmarkEnd w:id="0"/>
      <w:r>
        <w:rPr>
          <w:rFonts w:hint="eastAsia" w:ascii="宋体" w:hAnsi="宋体" w:eastAsia="宋体" w:cs="Times New Roman"/>
          <w:b/>
          <w:bCs/>
          <w:color w:val="000000"/>
          <w:kern w:val="0"/>
          <w:sz w:val="40"/>
          <w:szCs w:val="40"/>
          <w:lang w:eastAsia="zh-CN"/>
        </w:rPr>
        <w:t>目录（</w:t>
      </w:r>
      <w:r>
        <w:rPr>
          <w:rFonts w:hint="eastAsia" w:ascii="宋体" w:hAnsi="宋体" w:eastAsia="宋体" w:cs="Times New Roman"/>
          <w:b/>
          <w:bCs/>
          <w:color w:val="000000"/>
          <w:kern w:val="0"/>
          <w:sz w:val="40"/>
          <w:szCs w:val="40"/>
          <w:lang w:val="en-US" w:eastAsia="zh-CN"/>
        </w:rPr>
        <w:t>110项</w:t>
      </w:r>
      <w:r>
        <w:rPr>
          <w:rFonts w:hint="eastAsia" w:ascii="宋体" w:hAnsi="宋体" w:eastAsia="宋体" w:cs="Times New Roman"/>
          <w:b/>
          <w:bCs/>
          <w:color w:val="000000"/>
          <w:kern w:val="0"/>
          <w:sz w:val="40"/>
          <w:szCs w:val="40"/>
          <w:lang w:eastAsia="zh-CN"/>
        </w:rPr>
        <w:t>）</w:t>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szCs w:val="21"/>
              </w:rPr>
            </w:pPr>
            <w:r>
              <w:rPr>
                <w:rFonts w:hint="eastAsia" w:ascii="Times New Roman" w:hAnsi="宋体" w:eastAsia="宋体" w:cs="Times New Roman"/>
                <w:szCs w:val="21"/>
                <w:lang w:val="en-US" w:eastAsia="zh-CN"/>
              </w:rPr>
              <w:t>我要开花店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szCs w:val="21"/>
              </w:rPr>
            </w:pPr>
            <w:r>
              <w:rPr>
                <w:rFonts w:hint="eastAsia" w:ascii="Times New Roman" w:hAnsi="宋体" w:eastAsia="宋体" w:cs="Times New Roman"/>
                <w:szCs w:val="21"/>
                <w:lang w:val="en-US" w:eastAsia="zh-CN"/>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szCs w:val="21"/>
              </w:rPr>
            </w:pPr>
            <w:r>
              <w:rPr>
                <w:rFonts w:hint="eastAsia" w:ascii="Times New Roman" w:hAnsi="宋体" w:eastAsia="宋体" w:cs="Times New Roman"/>
                <w:szCs w:val="21"/>
                <w:lang w:val="en-US" w:eastAsia="zh-CN"/>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szCs w:val="21"/>
              </w:rPr>
            </w:pPr>
            <w:r>
              <w:rPr>
                <w:rFonts w:hint="eastAsia" w:ascii="Times New Roman" w:hAnsi="宋体" w:eastAsia="宋体" w:cs="Times New Roman"/>
                <w:szCs w:val="21"/>
                <w:lang w:val="en-US" w:eastAsia="zh-CN"/>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szCs w:val="21"/>
              </w:rPr>
            </w:pPr>
            <w:r>
              <w:rPr>
                <w:rFonts w:hint="eastAsia" w:ascii="Times New Roman" w:hAnsi="宋体" w:eastAsia="宋体" w:cs="Times New Roman"/>
                <w:szCs w:val="21"/>
                <w:lang w:val="en-US" w:eastAsia="zh-CN"/>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szCs w:val="21"/>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我要开书店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395"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spacing w:val="-11"/>
                <w:kern w:val="2"/>
                <w:sz w:val="21"/>
                <w:szCs w:val="21"/>
                <w:lang w:val="en-US" w:eastAsia="zh-CN" w:bidi="ar-SA"/>
              </w:rPr>
              <w:t>出版物零售单位和个体工商户设立、变更审批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新闻出版部门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出版物零售许可证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648"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spacing w:val="-11"/>
                <w:kern w:val="2"/>
                <w:sz w:val="21"/>
                <w:szCs w:val="21"/>
                <w:lang w:val="en-US" w:eastAsia="zh-CN" w:bidi="ar-SA"/>
              </w:rPr>
              <w:t>公共场所（除公园、体育场馆、公共交通工具、饭馆、咖啡店、酒吧、茶座外）卫生许可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卫生健康部门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公共场所卫生许可证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427"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食品（含保健食品）经营许可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兼营食品的情况下办理。</w:t>
            </w: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我要开服装店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我要开眼镜店（经营隐形眼镜）</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第三类医疗器械经营许可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医疗器械经营许可证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我要开日用化妆品店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我要开建材五金销售店（不含危险化学品）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我要开营利性民办幼儿园</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108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实施中等及中等以下学历教育、学前教育、自学考试助学及其他文化教育培训的学校设立、变更和终止审批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教育部门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民办学校办学许可证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权限内建设项目环境影响报告表审批（或建设项目环境影响登记表备案）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涉及环境敏感区的进行报告表审批，其他进行登记表备案（建筑面积5000平方米以下的除外）。</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托幼机构卫生评价</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卫生健康部门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由县级以上地方人民政府卫生健康部门指定的医疗卫生机构出具。</w:t>
            </w: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食品（含保健食品）经营许可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有食堂的情况下办理。</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我要开母婴护理中心</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建设项目环境影响登记表备案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我要开家政公司</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我要开婚庆礼仪服务中心</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我要开照相馆</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我要开打字复印店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我要开印章刻制店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公章刻制业特种许可证核发</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特种行业许可证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我要办会计代理记账机构</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会计代理记账机构执业资格审批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财政部门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代理记账许可证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我要开快递公司</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快递业务经营许可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邮政部门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快递业务经营许可证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我要开广告公司</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广告发布登记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我要开驾校</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机动车驾驶员培训许可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道路运输经营许可证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权限内建设项目环境影响报告表审批（或建设项目环境影响登记表备案）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涉及环境敏感区的进行报告表审批，其他进行登记表备案。</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我要开手机维修店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我要开电脑维修店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我要开机动车维修店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机动车维修经营备案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权限内建设项目环境影响报告表审批（或建设项目环境影响登记表备案）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涉及环境敏感区的或有喷漆工艺的进行报告表审批，其他进行登记表备案。</w:t>
            </w: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我要开二手车行</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权限内建设项目环境影响报告表审批（或建设项目环境影响登记表备案）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只进行交易无维修的无需进行报告表审批或登记备案。</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我要从事网络销售食品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162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电信业务经营许可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通信管理部门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电信业务经营许可证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如企业自建网站、APP销售本企业生产、代理销售食品，或者企业入驻其他电商平台销售食品，则无需办理电信业务经营许可证；如企业是专业电商平台，为其他入驻商家销售食品的，需要办理增值电信业务经营许可证。</w:t>
            </w: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食品（含保健食品）经营许可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我要开粮食收购站</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粮食收购资格认定</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粮食部门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我要办饮用水供水企业</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饮用水供水单位卫生许可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卫生健康部门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取水许可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水利部门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取水许可证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如果涉及取矿泉水的，还应该办理采矿许可。</w:t>
            </w: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权限内建设项目环境影响报告表审批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我要开生鲜乳收购站</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生鲜乳收购站许可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生鲜乳收购站许可</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我要开民宿</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食品（含保健食品）经营许可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在有餐饮、食品经营的情况下办理。</w:t>
            </w:r>
          </w:p>
        </w:tc>
      </w:tr>
      <w:tr>
        <w:tblPrEx>
          <w:tblCellMar>
            <w:top w:w="0" w:type="dxa"/>
            <w:left w:w="0" w:type="dxa"/>
            <w:bottom w:w="0" w:type="dxa"/>
            <w:right w:w="0" w:type="dxa"/>
          </w:tblCellMar>
        </w:tblPrEx>
        <w:trPr>
          <w:trHeight w:val="108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公共场所（除公园、体育场馆、公共交通工具、饭馆、咖啡店、酒吧、茶座外）卫生许可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卫生健康部门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公共场所卫生许可证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公众聚集场所投入使用、营业前消防安全检查</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消防救援机构</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50㎡以下不需要办理。</w:t>
            </w: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权限内建设项目环境影响报告表审批（或建设项目环境影响登记表备案）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涉及环境敏感区的或需自建配套污水处理设施的进行报告表审批，其他进行登记表备案。</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我要开房产中介机构</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我要开房地产开发公司</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房地产开发企业资质核定（二级及以下）</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房地产开发企业资质证书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我要开物业公司</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我要办建筑业资质企业（三级）</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建筑业企业资质核准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建筑业企业资质证书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我要开兽药店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兽药经营许可证核发</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兽药经营许可证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我要开农资经营店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农药经营许可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农作物种子生产经营许可证核发</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农作物种子生产经营许可证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转基因农作物种子生产经营许可证核发的办理层级为国家级。</w:t>
            </w: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page"/>
            </w:r>
            <w:r>
              <w:rPr>
                <w:rFonts w:hint="eastAsia" w:ascii="宋体" w:hAnsi="宋体" w:eastAsia="宋体" w:cs="宋体"/>
                <w:i w:val="0"/>
                <w:color w:val="000000"/>
                <w:kern w:val="0"/>
                <w:sz w:val="22"/>
                <w:szCs w:val="22"/>
                <w:u w:val="none"/>
                <w:lang w:val="en-US" w:eastAsia="zh-CN" w:bidi="ar"/>
              </w:rPr>
              <w:br w:type="page"/>
            </w: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我要生产经营食用菌菌种</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食用菌菌种生产经营许可证核发（母种、原种）</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食用菌菌种生产经营许可证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我要办种猪场</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种畜禽生产经营许可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种畜禽生产经营许可证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技术人员证明（职称证书）</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108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权限内建设项目环境影响报告书审批（或建设项目环境影响登记表备案）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年出栏生猪5000头及以上或涉及自然保护区、风景名胜区等环境敏感区的进行报告书审批，其他进行登记表备案。</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page"/>
            </w:r>
            <w:r>
              <w:rPr>
                <w:rFonts w:hint="eastAsia" w:ascii="宋体" w:hAnsi="宋体" w:eastAsia="宋体" w:cs="宋体"/>
                <w:i w:val="0"/>
                <w:color w:val="000000"/>
                <w:kern w:val="0"/>
                <w:sz w:val="22"/>
                <w:szCs w:val="22"/>
                <w:u w:val="none"/>
                <w:lang w:val="en-US" w:eastAsia="zh-CN" w:bidi="ar"/>
              </w:rPr>
              <w:br w:type="page"/>
            </w: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我要开畜禽养殖场（不含野生动物）</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动物防疫条件合格证核发</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动物防疫条件合格证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135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权限内建设项目环境影响报告书审批（或建设项目环境影响登记表备案）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年出栏生猪5000头（其他畜禽种类折合猪的养殖规模）及以上或涉及自然保护区、风景名胜区等环境敏感区的进行报告书审批，其他进行登记表备案。</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项目备案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发展改革部门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畜禽养殖场、养殖小区备案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我要开木材加工厂</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135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权限内建设项目环境影响报告书（表）审批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锯材、木片加工、木制品制造有电镀或喷漆工艺且年用油漆量（含稀释剂）10吨以上的或人造板制造年产20立方米及以上的进行报告书审批，其他进行报告表审批。</w:t>
            </w: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我要开废品回收店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建设项目环境影响报告书或报告表审批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如不开展废旧物资加工、再生利用则不需要办理。</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再生资源回收经营者备案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商务部门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再生资源回收管理备案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我要办农民专业合作社</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我要开社区卫生服务站</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（1）医疗机构设置审批（含港澳台）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卫生健康部门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医疗机构执业许可证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（2）医疗机构执业登记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卫生健康部门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医疗机构执业许可证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民办非企业单位成立、变更、注销登记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民政部门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民办非企业单位登记证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（1）环境影响登记表备案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20张床位以下进行备案；20张床位以上、500张床位以下报告表审批；500张床位以上报告书审批。</w:t>
            </w:r>
          </w:p>
        </w:tc>
      </w:tr>
      <w:tr>
        <w:tblPrEx>
          <w:tblCellMar>
            <w:top w:w="0" w:type="dxa"/>
            <w:left w:w="0" w:type="dxa"/>
            <w:bottom w:w="0" w:type="dxa"/>
            <w:right w:w="0" w:type="dxa"/>
          </w:tblCellMar>
        </w:tblPrEx>
        <w:trPr>
          <w:trHeight w:val="354"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（2）权限内建设项目环境影响报告表审批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436"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（3）权限内建设项目环境影响报告书审批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生态环境部门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建设工程竣工验收消防备案登记表</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我要办保安服务公司</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保安服务公司设立许可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保安服务许可证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我要办新生儿出生事项</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出生医学证明</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医疗机构</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出生医学证明</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135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户口登记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户口簿</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新生儿父母双方均为现役军人或系在校高校学生或长期定居国外等原因，需落户在其祖父母或外祖父母处时，需要县级公安机关进行调查核实后再做出审批决定。</w:t>
            </w: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城乡居民基本医疗保险参保登记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医保部门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我要收养孩子</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居住在中国内地的中国公民在内地收养登记、解除收养关系登记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民政部门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108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（1）户口登记、注销、迁移</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办理层级：收养对象16周岁以下，县级；收养对象16周岁以上（含），市级。收养对象若未上户则办理户口登记，若已上户则办理户口迁移。</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（2）无户口人员补登、恢复</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城乡居民基本医疗保险参保登记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医保部门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我要办理新生入学（进城务工经商人员随迁子女）</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租房许可登记备案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房产部门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房屋租赁许可证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所在社区登记备案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社区</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公安人口“一标三实”登记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暂居住证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在居住地居住并办理居住登记满半年。</w:t>
            </w: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审核通过并统筹安排入学</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教育部门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我要办理就业登记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档案的接收和转递</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省、市、县、村级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职工基本医疗保险参保登记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人力资源社会保障/医保部门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（1）住房公积金缴存业务-单位缴存登记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（2）住房公积金缴存业务-个人账户封存、启封</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（3）住房公积金缴存业务-个人账户转移</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户口迁移审批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我要办理不动产登记（购买商品房、夫妻离婚、互换、注销）</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不动产登记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自然资源部门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不动产登记证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购买商品房网签备案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仅购买商品房办理。</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核税缴税</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我要申请公共租赁住房（低收入、中等偏下收入住房困难家庭）</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公共租赁住房（含廉租住房）保障资格登记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房屋登记信息查询</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自然资源部门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居民家庭经济状况信息查询</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民政部门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4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我要办理残疾人证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受理申请、确认和录入资料、发放证件、档案管理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残联部门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中华人民共和国残疾人证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残疾评定</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卫生健康部门（指定医院或机构）</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新办、调级和2018年前未经医院评残的持证人换（补）证的，需要到指定医院评残。</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评残结论公示</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申请人所在村（社区）</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村级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我要办理新车上牌</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车辆购置税</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我要办理企业用电报装</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电力新装/增容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供电公司</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（1）占用、挖掘公路、公路用地或者使公路改线审批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根据所申请的具体情况确定需审批的事项。</w:t>
            </w:r>
          </w:p>
        </w:tc>
      </w:tr>
      <w:tr>
        <w:tblPrEx>
          <w:tblCellMar>
            <w:top w:w="0" w:type="dxa"/>
            <w:left w:w="0" w:type="dxa"/>
            <w:bottom w:w="0" w:type="dxa"/>
            <w:right w:w="0" w:type="dxa"/>
          </w:tblCellMar>
        </w:tblPrEx>
        <w:trPr>
          <w:trHeight w:val="932"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（2）跨越、穿越公路及在公路用地范围内架设、埋设管线、电缆等设施，或者利用公路桥梁、公路隧道、涵洞铺设电缆等设施许可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（3）公路建筑控制区内埋设管线、电缆等设施许可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（1）市政设施建设类审批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住建/城管部门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根据所申请的具体情况确定需审批的事项。</w:t>
            </w: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（2）临时占用城市绿化用地审批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住建/城管部门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（3）改变绿化规划、绿化用地的使用性质审批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住建/城管部门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（4）砍伐城市树木审批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住建/城管部门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（5）迁移古树名木审批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住建/城管部门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4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我要办理企业用水报装</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企业申请生产、生活供水报装</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供水公司</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（1）占用、挖掘公路、公路用地或者使公路改线审批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根据所申请的具体情况确定需审批的事项。</w:t>
            </w:r>
          </w:p>
        </w:tc>
      </w:tr>
      <w:tr>
        <w:tblPrEx>
          <w:tblCellMar>
            <w:top w:w="0" w:type="dxa"/>
            <w:left w:w="0" w:type="dxa"/>
            <w:bottom w:w="0" w:type="dxa"/>
            <w:right w:w="0" w:type="dxa"/>
          </w:tblCellMar>
        </w:tblPrEx>
        <w:trPr>
          <w:trHeight w:val="135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（2）跨越、穿越公路及在公路用地范围内架设、埋设管线、电缆等设施，或者利用公路桥梁、公路隧道、涵洞铺设电缆等设施许可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（3）公路建筑控制区内埋设管线、电缆等设施许可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（1）市政设施建设类审批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根据所申请的具体情况确定需审批的事项。</w:t>
            </w: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（2）临时占用城市绿化用地审批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（3）改变绿化规划、绿化用地的使用性质审批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（4）砍伐城市树木审批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（5）迁移古树名木审批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4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我要办理企业用气报装</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非居民用户管道燃气的供应接入</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燃气公司</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（1）占用、挖掘公路、公路用地或者使公路改线审批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根据所申请的具体情况确定需审批的事项。</w:t>
            </w:r>
          </w:p>
        </w:tc>
      </w:tr>
      <w:tr>
        <w:tblPrEx>
          <w:tblCellMar>
            <w:top w:w="0" w:type="dxa"/>
            <w:left w:w="0" w:type="dxa"/>
            <w:bottom w:w="0" w:type="dxa"/>
            <w:right w:w="0" w:type="dxa"/>
          </w:tblCellMar>
        </w:tblPrEx>
        <w:trPr>
          <w:trHeight w:val="135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（2）跨越、穿越公路及在公路用地范围内架设、埋设管线、电缆等设施，或者利用公路桥梁、公路隧道、涵洞铺设电缆等设施许可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（3）公路建筑控制区内埋设管线、电缆等设施许可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（1）市政设施建设类审批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根据所申请的具体情况确定需审批的事项。</w:t>
            </w: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（2）临时占用城市绿化用地审批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（3）改变绿化规划、绿化用地的使用性质审批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（4）砍伐城市树木审批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（5）迁移古树名木审批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我要办理企业网络报装</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企业申请网络报装</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通信管理部门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（1）占用、挖掘公路、公路用地或者使公路改线审批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根据所申请的具体情况确定需审批的事项。</w:t>
            </w:r>
          </w:p>
        </w:tc>
      </w:tr>
      <w:tr>
        <w:tblPrEx>
          <w:tblCellMar>
            <w:top w:w="0" w:type="dxa"/>
            <w:left w:w="0" w:type="dxa"/>
            <w:bottom w:w="0" w:type="dxa"/>
            <w:right w:w="0" w:type="dxa"/>
          </w:tblCellMar>
        </w:tblPrEx>
        <w:trPr>
          <w:trHeight w:val="100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（2）跨越、穿越公路及在公路用地范围内架设、埋设管线、电缆等设施，或者利用公路桥梁、公路隧道、涵洞铺设电缆等设施许可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（3）公路建筑控制区内埋设管线、电缆等设施许可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交通运输部门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交通行政许可决定书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（1）市政设施建设类审批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住建/城管部门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根据所申请的具体情况确定需审批的事项。</w:t>
            </w: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（2）临时占用城市绿化用地审批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住建/城管部门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（3）改变绿化规划、绿化用地的使用性质审批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住建/城管部门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（4）砍伐城市树木审批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住建/城管部门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（5）迁移古树名木审批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住建/城管部门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我要换领机动车驾驶证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（1）驾驶证损毁换证</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机动车驾驶证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（2）到达规定年龄换证</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机动车驾驶证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（3）驾驶证转入换证</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机动车驾驶证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（4）驾驶证期满换证</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机动车驾驶证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326"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（5）驾驶证信息发生变化换证</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机动车驾驶证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（6）自愿降低准驾车型换证</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机动车驾驶证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（7）驾驶证遗失补证</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机动车驾驶证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08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我要办理申报缴税</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（1）建筑安装业一般纳税人申报</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（1）土地增值税清算申报除外；（2）申报缴税资料完整、无前置未办结事项且符合法定受理条件方可办理。</w:t>
            </w: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（2）建筑安装业小规模纳税人申报</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（3）房地产业一般纳税人申报</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（4）房地产业小规模纳税人申报</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（5）银行业一般纳税人申报</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（6）保险业一般纳税人申报</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（7）广告业、娱乐业一般纳税人申报</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（8）广告业、娱乐业小规模纳税人申报</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我要办理失业登记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失业登记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省、市、县、乡、村级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我要办理养老保险关系转移接续</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（1）城镇职工基本养老保险关系转移接续申请</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（2）机关事业单位养老保险关系转移接续申请</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（3）城乡居民基本养老保险关系转移接续申请</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（4）军地养老保险关系转移接续申请</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我要进行退休人员生存认证（含异地）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湖南省社会化管理退休人员身份认定</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我要办档案托管</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（1）流动人员人事档案管理服务</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（2）档案的整理和保管</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（3）大中专毕业生信息咨询与档案、户籍和党员组织关系托管服务</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（4）普通高等学校毕业生档案、户籍托管</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我要领取养老保险</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城乡居民养老保险待遇申领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我要办应届毕业生求职创业补贴审核</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办理应届毕业生求职创业补贴审核</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我要领取困难残疾人生活补贴</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困难残疾人生活补贴和重度残疾人护理补贴</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民政部门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我要领取殡葬费用</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城乡居民基本殡葬费用政府补助资金给付</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民政部门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我要设立慈善组织</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（1）慈善组织设立、变更、注销登记及慈善组织公开募捐资格审批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民政部门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（2）慈善组织设立</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民政部门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我要开展公开募捐</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公开募捐资格审核</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民政部门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慈善组织公开募捐资格证书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慈善组织满二年。</w:t>
            </w: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我要了解助学贷款政策</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生源地助学贷款政策发布服务</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教育部门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我要办保安培训单位</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设立保安培训单位审批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我要办理中等职业学校招生简章、广告备案</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中等职业学校招生简章、广告备案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教育部门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我要办理校车标牌</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校车使用许可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教育部门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校车标牌</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我要办理公司简易注销登记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企业设立、变更、注销登记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我要补领营业执照</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营业执照遗失补领、换发申请</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我要办食品添加剂生产许可证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食品添加剂生产许可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食品添加剂生产许可证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我要办理个体工商户转型升级</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（1）个体工商户注销</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（2）企业设立登记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我要办理特种设备使用登记证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特种设备使用登记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特种设备使用登记证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我要办拖拉机、收割机驾驶证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（1）拖拉机和联合收割机驾驶证核发</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拖拉机和联合收割机驾驶证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（2）拖拉机和联合收割机登记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拖拉机和联合收割机驾驶证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我要办理执业兽医注册</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执业兽医注册</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兽医师执业证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我要办理乡村兽医登记证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乡村兽医登记许可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农业农村部门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乡村兽医登记证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我要办建筑工程施工许可</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建筑工程施工许可证核发</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建筑工程施工许可证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我要办排水许可证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城镇污水排入排水管网许可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城镇污水排入排水管网许可证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我要申请白蚁防治</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城市房屋白蚁预防、灭治的监督管理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162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我要办理医师执业注册</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（1）医师执业注册（含外国医师来华短期行医许可，台湾地区医师在大陆短期行医许可，香港、澳门特别行政区医师在内地短期行医许可）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卫生健康部门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医生执业证书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left"/>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（2）医师变更注册（含执业变更地点和执业范围）</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卫生健康部门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医生执业证书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我要办理护士执业注册</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护士执业注册</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卫生健康部门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护士执业证书</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我要办港澳同胞短期来内地暂住登记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对港澳居民的暂住登记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港澳居民来往大陆通行证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我要办户外宣传</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临时占用街道两侧和公共场地的许可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临时占用街道两侧和公共场地许可证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我要处置城市建筑垃圾</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城市建筑垃圾处置核准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城市建筑垃圾处置核准证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我要办理木材运输证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木材运输证核发</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林业部门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木材运输证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我要办货物自动进口许可</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货物自动进口许可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商务部门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自动进口许可证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我要开展零售促销活动</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零售商促销活动备案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商务部门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我要申请机动车临时号牌</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机动车临时通行牌证核发</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我要办摩托车上牌</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摩托车上牌和摩托车驾驶证报考发证</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机动车牌照、行驶证、驾驶证</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我要办理城镇职工医疗保险异动</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城镇职工医疗保险参保单位人员异动办理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人力资源社会保障/医保部门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81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我要开发票</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（1）代开增值税专用发票</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其中，按规定需提供相应资料的代开发票情形，资料完整且符合法定受理条件方可办理。</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（2）代开增值税普通发票</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我要回国定居</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华侨回国定居审批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侨务办公室</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省、市级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我要提取住房公积金</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（1）住房公积金提取业务-购买自住房</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（2）住房公积金提取业务-建造、翻建、大修自住房</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（3）住房公积金提取业务-无房户支付房租</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（4）住房公积金提取业务-与单位终止或解除劳动关系</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（5）住房公积金提取业务-退休</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（6）住房公积金提取业务-出境定居</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（7）住房公积金提取业务-遭受重大疾病或重大灾害</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（8）住房公积金提取业务-偿还自住房按揭贷款本息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（9）住房公积金提取业务-享受最低生活保障</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（10）既有多层住宅增设电梯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（11）住房公积金提取业务-死亡继承</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公积金管理部门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我要开铝合金门窗店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我要开卫浴店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我要开床上用品店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6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624"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我要开摩托车行店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我要开窗帘店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我要开家具店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665"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我要开体育用品店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我要开琴行</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81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我要音响店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市场主体设立登记</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97"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设置大型户外广告及在城市建筑物、设施上悬挂、张贴宣传品审批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2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我要开饲料店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办理营业执照</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设置门头招牌户外广告审批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我要开开钢材店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办理营业执照</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设置门头招牌户外广告审批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righ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我要开酒行</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办理营业执照</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设置门头招牌户外广告审批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办理食品（含保健食品）经营许可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食品经营许可证</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50㎡以上办理食品经营许可</w:t>
            </w: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办理烟草专卖零售许可证</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烟草专卖零售许可证</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烟草部门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兼营卷烟零售的情况下办理。</w:t>
            </w: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我要开裁纫店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办理营业执照</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设置门头招牌户外广告审批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我要开办公用品店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办理营业执照</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设置门头招牌户外广告审批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办理食品经营许可</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食品经营许可证</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兼营食品的情况下办理。</w:t>
            </w: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我要开汽车配件店</w:t>
            </w:r>
          </w:p>
        </w:tc>
        <w:tc>
          <w:tcPr>
            <w:tcW w:w="14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办理营业执照</w:t>
            </w:r>
          </w:p>
        </w:tc>
        <w:tc>
          <w:tcPr>
            <w:tcW w:w="72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left"/>
              <w:rPr>
                <w:rFonts w:hint="eastAsia" w:ascii="Times New Roman" w:hAnsi="宋体" w:eastAsia="宋体" w:cs="Times New Roman"/>
                <w:kern w:val="2"/>
                <w:sz w:val="21"/>
                <w:szCs w:val="21"/>
                <w:lang w:val="en-US" w:eastAsia="zh-CN" w:bidi="ar-SA"/>
              </w:rPr>
            </w:pPr>
          </w:p>
        </w:tc>
        <w:tc>
          <w:tcPr>
            <w:tcW w:w="72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设置门头招牌户外广告审批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r>
        <w:br w:type="page"/>
      </w:r>
    </w:p>
    <w:tbl>
      <w:tblPr>
        <w:tblStyle w:val="4"/>
        <w:tblW w:w="4997" w:type="pct"/>
        <w:tblInd w:w="0" w:type="dxa"/>
        <w:shd w:val="clear" w:color="auto" w:fill="FFFFFF" w:themeFill="background1"/>
        <w:tblLayout w:type="autofit"/>
        <w:tblCellMar>
          <w:top w:w="0" w:type="dxa"/>
          <w:left w:w="0" w:type="dxa"/>
          <w:bottom w:w="0" w:type="dxa"/>
          <w:right w:w="0" w:type="dxa"/>
        </w:tblCellMar>
      </w:tblPr>
      <w:tblGrid>
        <w:gridCol w:w="481"/>
        <w:gridCol w:w="1650"/>
        <w:gridCol w:w="4109"/>
        <w:gridCol w:w="2017"/>
        <w:gridCol w:w="1964"/>
        <w:gridCol w:w="1007"/>
        <w:gridCol w:w="2752"/>
      </w:tblGrid>
      <w:tr>
        <w:tblPrEx>
          <w:shd w:val="clear" w:color="auto" w:fill="FFFFFF" w:themeFill="background1"/>
          <w:tblCellMar>
            <w:top w:w="0" w:type="dxa"/>
            <w:left w:w="0" w:type="dxa"/>
            <w:bottom w:w="0" w:type="dxa"/>
            <w:right w:w="0" w:type="dxa"/>
          </w:tblCellMar>
        </w:tblPrEx>
        <w:trPr>
          <w:trHeight w:val="522" w:hRule="atLeast"/>
        </w:trPr>
        <w:tc>
          <w:tcPr>
            <w:tcW w:w="17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事项名称</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涉及事项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涉及部门</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证照名称</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办理层级</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我要开电脑销售店</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办理营业执照</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设置门头招牌户外广告审批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我要开油漆店（不含危险化学品）</w:t>
            </w: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办理营业执照</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营业执照</w:t>
            </w: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jc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市场监管部门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adjustRightInd w:val="0"/>
              <w:snapToGrid w:val="0"/>
              <w:spacing w:line="400" w:lineRule="exact"/>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设置门头招牌户外广告审批</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城管部门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54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建设工程竣工验收消防备案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住房城乡建设部门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涉税事项办理</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市、县级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税务部门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r>
      <w:tr>
        <w:tblPrEx>
          <w:tblCellMar>
            <w:top w:w="0" w:type="dxa"/>
            <w:left w:w="0" w:type="dxa"/>
            <w:bottom w:w="0" w:type="dxa"/>
            <w:right w:w="0" w:type="dxa"/>
          </w:tblCellMar>
        </w:tblPrEx>
        <w:trPr>
          <w:trHeight w:val="270" w:hRule="atLeast"/>
        </w:trPr>
        <w:tc>
          <w:tcPr>
            <w:tcW w:w="17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146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left"/>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公章刻制备案</w:t>
            </w:r>
          </w:p>
        </w:tc>
        <w:tc>
          <w:tcPr>
            <w:tcW w:w="721"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Times New Roman" w:hAnsi="宋体" w:eastAsia="宋体" w:cs="Times New Roman"/>
                <w:kern w:val="2"/>
                <w:sz w:val="21"/>
                <w:szCs w:val="21"/>
                <w:lang w:val="en-US" w:eastAsia="zh-CN" w:bidi="ar-SA"/>
              </w:rPr>
            </w:pPr>
          </w:p>
        </w:tc>
        <w:tc>
          <w:tcPr>
            <w:tcW w:w="702"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县级</w:t>
            </w:r>
          </w:p>
        </w:tc>
        <w:tc>
          <w:tcPr>
            <w:tcW w:w="360"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imes New Roman" w:hAnsi="宋体" w:eastAsia="宋体" w:cs="Times New Roman"/>
                <w:kern w:val="2"/>
                <w:sz w:val="21"/>
                <w:szCs w:val="21"/>
                <w:lang w:val="en-US" w:eastAsia="zh-CN" w:bidi="ar-SA"/>
              </w:rPr>
            </w:pPr>
            <w:r>
              <w:rPr>
                <w:rFonts w:hint="eastAsia" w:ascii="Times New Roman" w:hAnsi="宋体" w:eastAsia="宋体" w:cs="Times New Roman"/>
                <w:kern w:val="2"/>
                <w:sz w:val="21"/>
                <w:szCs w:val="21"/>
                <w:lang w:val="en-US" w:eastAsia="zh-CN" w:bidi="ar-SA"/>
              </w:rPr>
              <w:t>公安部门</w:t>
            </w:r>
          </w:p>
        </w:tc>
        <w:tc>
          <w:tcPr>
            <w:tcW w:w="98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rPr>
                <w:rFonts w:hint="eastAsia" w:ascii="Times New Roman" w:hAnsi="宋体" w:eastAsia="宋体" w:cs="Times New Roman"/>
                <w:kern w:val="2"/>
                <w:sz w:val="21"/>
                <w:szCs w:val="21"/>
                <w:lang w:val="en-US" w:eastAsia="zh-CN" w:bidi="ar-SA"/>
              </w:rPr>
            </w:pPr>
          </w:p>
        </w:tc>
      </w:tr>
    </w:tbl>
    <w:p>
      <w:pPr>
        <w:jc w:val="center"/>
        <w:rPr>
          <w:rFonts w:hint="eastAsia"/>
          <w:lang w:eastAsia="zh-CN"/>
        </w:rPr>
      </w:pPr>
    </w:p>
    <w:sectPr>
      <w:footerReference r:id="rId3" w:type="default"/>
      <w:pgSz w:w="16838" w:h="11906" w:orient="landscape"/>
      <w:pgMar w:top="1417" w:right="1440" w:bottom="1134"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566E9"/>
    <w:rsid w:val="4AB91C8F"/>
    <w:rsid w:val="5FBC6F5C"/>
    <w:rsid w:val="64C56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2019-12-24T06:12:00Z</dcterms:created>
  <dc:creator>新田杨亚琼</dc:creator>
  <cp:lastModifiedBy>新田杨亚琼</cp:lastModifiedBy>
  <dcterms:modified xsi:type="dcterms:W3CDTF">2020-01-07T01:57:26Z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