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BEE329">
      <w:pPr>
        <w:rPr>
          <w:rFonts w:ascii="仿宋" w:hAnsi="仿宋" w:eastAsia="仿宋"/>
          <w:sz w:val="32"/>
          <w:szCs w:val="32"/>
        </w:rPr>
      </w:pPr>
      <w:r>
        <w:rPr>
          <w:rFonts w:ascii="仿宋" w:hAnsi="仿宋" w:eastAsia="仿宋"/>
          <w:sz w:val="32"/>
          <w:szCs w:val="32"/>
        </w:rPr>
        <w:t>附件1</w:t>
      </w:r>
    </w:p>
    <w:p w14:paraId="7B135CE1">
      <w:pPr>
        <w:spacing w:line="600" w:lineRule="exact"/>
        <w:rPr>
          <w:rFonts w:ascii="仿宋" w:hAnsi="仿宋" w:eastAsia="仿宋"/>
          <w:sz w:val="32"/>
          <w:szCs w:val="32"/>
        </w:rPr>
      </w:pPr>
    </w:p>
    <w:p w14:paraId="34B2C51B">
      <w:pPr>
        <w:spacing w:line="600" w:lineRule="exact"/>
        <w:rPr>
          <w:rFonts w:ascii="仿宋" w:hAnsi="仿宋" w:eastAsia="仿宋"/>
          <w:sz w:val="32"/>
          <w:szCs w:val="32"/>
        </w:rPr>
      </w:pPr>
    </w:p>
    <w:p w14:paraId="30976729">
      <w:pPr>
        <w:spacing w:line="600" w:lineRule="exact"/>
        <w:rPr>
          <w:rFonts w:ascii="仿宋" w:hAnsi="仿宋" w:eastAsia="仿宋"/>
          <w:sz w:val="32"/>
          <w:szCs w:val="32"/>
        </w:rPr>
      </w:pPr>
    </w:p>
    <w:p w14:paraId="5BAB96B3">
      <w:pPr>
        <w:jc w:val="center"/>
        <w:rPr>
          <w:rFonts w:hint="eastAsia" w:ascii="黑体" w:hAnsi="黑体" w:eastAsia="黑体"/>
          <w:sz w:val="52"/>
          <w:szCs w:val="52"/>
        </w:rPr>
      </w:pPr>
      <w:r>
        <w:rPr>
          <w:rFonts w:hint="eastAsia" w:ascii="黑体" w:hAnsi="黑体" w:eastAsia="黑体"/>
          <w:sz w:val="52"/>
          <w:szCs w:val="52"/>
          <w:lang w:eastAsia="zh-CN"/>
        </w:rPr>
        <w:t>2024</w:t>
      </w:r>
      <w:r>
        <w:rPr>
          <w:rFonts w:hint="eastAsia" w:ascii="黑体" w:hAnsi="黑体" w:eastAsia="黑体"/>
          <w:sz w:val="52"/>
          <w:szCs w:val="52"/>
        </w:rPr>
        <w:t>年度新田县劳动人事争议仲裁院部门（单位）整体支出绩效自评报告</w:t>
      </w:r>
    </w:p>
    <w:p w14:paraId="25AF7B85">
      <w:pPr>
        <w:jc w:val="center"/>
        <w:rPr>
          <w:rFonts w:ascii="仿宋" w:hAnsi="仿宋" w:eastAsia="仿宋"/>
          <w:b/>
          <w:sz w:val="52"/>
          <w:szCs w:val="52"/>
        </w:rPr>
      </w:pPr>
    </w:p>
    <w:p w14:paraId="34262F8B">
      <w:pPr>
        <w:jc w:val="center"/>
        <w:rPr>
          <w:rFonts w:ascii="仿宋" w:hAnsi="仿宋" w:eastAsia="仿宋"/>
          <w:b/>
          <w:sz w:val="32"/>
          <w:szCs w:val="32"/>
        </w:rPr>
      </w:pPr>
    </w:p>
    <w:p w14:paraId="58D2CD48">
      <w:pPr>
        <w:jc w:val="center"/>
        <w:rPr>
          <w:rFonts w:ascii="仿宋" w:hAnsi="仿宋" w:eastAsia="仿宋"/>
          <w:b/>
          <w:sz w:val="32"/>
          <w:szCs w:val="32"/>
        </w:rPr>
      </w:pPr>
    </w:p>
    <w:p w14:paraId="0542C9B8">
      <w:pPr>
        <w:jc w:val="center"/>
        <w:rPr>
          <w:rFonts w:ascii="仿宋" w:hAnsi="仿宋" w:eastAsia="仿宋"/>
          <w:b/>
          <w:sz w:val="32"/>
          <w:szCs w:val="32"/>
        </w:rPr>
      </w:pPr>
    </w:p>
    <w:p w14:paraId="7216863C">
      <w:pPr>
        <w:jc w:val="center"/>
        <w:rPr>
          <w:rFonts w:ascii="仿宋" w:hAnsi="仿宋" w:eastAsia="仿宋"/>
          <w:b/>
          <w:sz w:val="32"/>
          <w:szCs w:val="32"/>
        </w:rPr>
      </w:pPr>
    </w:p>
    <w:p w14:paraId="1580283F">
      <w:pPr>
        <w:jc w:val="center"/>
        <w:rPr>
          <w:rFonts w:ascii="仿宋" w:hAnsi="仿宋" w:eastAsia="仿宋"/>
          <w:b/>
          <w:sz w:val="32"/>
          <w:szCs w:val="32"/>
        </w:rPr>
      </w:pPr>
    </w:p>
    <w:p w14:paraId="20F1EAE7">
      <w:pPr>
        <w:jc w:val="center"/>
        <w:rPr>
          <w:rFonts w:ascii="仿宋" w:hAnsi="仿宋" w:eastAsia="仿宋"/>
          <w:b/>
          <w:sz w:val="32"/>
          <w:szCs w:val="32"/>
        </w:rPr>
      </w:pPr>
    </w:p>
    <w:p w14:paraId="777C1886">
      <w:pPr>
        <w:jc w:val="center"/>
        <w:rPr>
          <w:rFonts w:ascii="仿宋" w:hAnsi="仿宋" w:eastAsia="仿宋"/>
          <w:sz w:val="32"/>
          <w:szCs w:val="32"/>
        </w:rPr>
      </w:pPr>
    </w:p>
    <w:p w14:paraId="14064FDA">
      <w:pPr>
        <w:jc w:val="center"/>
        <w:rPr>
          <w:rFonts w:ascii="仿宋" w:hAnsi="仿宋" w:eastAsia="仿宋"/>
          <w:sz w:val="32"/>
          <w:szCs w:val="32"/>
        </w:rPr>
      </w:pPr>
    </w:p>
    <w:p w14:paraId="69407377">
      <w:pPr>
        <w:spacing w:line="600" w:lineRule="exact"/>
        <w:jc w:val="center"/>
        <w:rPr>
          <w:rFonts w:ascii="仿宋" w:hAnsi="仿宋" w:eastAsia="仿宋"/>
          <w:sz w:val="32"/>
          <w:szCs w:val="32"/>
          <w:u w:val="single"/>
        </w:rPr>
      </w:pPr>
      <w:r>
        <w:rPr>
          <w:rFonts w:ascii="仿宋" w:hAnsi="仿宋" w:eastAsia="仿宋"/>
          <w:sz w:val="32"/>
          <w:szCs w:val="32"/>
        </w:rPr>
        <w:t>单位名称：</w:t>
      </w:r>
      <w:r>
        <w:rPr>
          <w:rFonts w:hint="eastAsia" w:ascii="仿宋" w:hAnsi="仿宋" w:eastAsia="仿宋"/>
          <w:sz w:val="32"/>
          <w:szCs w:val="32"/>
          <w:lang w:val="en-US" w:eastAsia="zh-CN"/>
        </w:rPr>
        <w:t>新田县劳动人事争议仲裁院</w:t>
      </w:r>
      <w:bookmarkStart w:id="0" w:name="_GoBack"/>
      <w:bookmarkEnd w:id="0"/>
      <w:r>
        <w:rPr>
          <w:rFonts w:ascii="仿宋" w:hAnsi="仿宋" w:eastAsia="仿宋"/>
          <w:sz w:val="32"/>
          <w:szCs w:val="32"/>
          <w:u w:val="single"/>
        </w:rPr>
        <w:t>（盖章）</w:t>
      </w:r>
    </w:p>
    <w:p w14:paraId="024CD606">
      <w:pPr>
        <w:spacing w:line="600" w:lineRule="exact"/>
        <w:ind w:firstLine="3200" w:firstLineChars="100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5</w:t>
      </w:r>
      <w:r>
        <w:rPr>
          <w:rFonts w:ascii="仿宋" w:hAnsi="仿宋" w:eastAsia="仿宋"/>
          <w:sz w:val="32"/>
          <w:szCs w:val="32"/>
        </w:rPr>
        <w:t>年</w:t>
      </w:r>
      <w:r>
        <w:rPr>
          <w:rFonts w:hint="eastAsia" w:ascii="仿宋" w:hAnsi="仿宋" w:eastAsia="仿宋"/>
          <w:sz w:val="32"/>
          <w:szCs w:val="32"/>
          <w:lang w:val="en-US" w:eastAsia="zh-CN"/>
        </w:rPr>
        <w:t>6</w:t>
      </w:r>
      <w:r>
        <w:rPr>
          <w:rFonts w:ascii="仿宋" w:hAnsi="仿宋" w:eastAsia="仿宋"/>
          <w:sz w:val="32"/>
          <w:szCs w:val="32"/>
        </w:rPr>
        <w:t>月</w:t>
      </w:r>
      <w:r>
        <w:rPr>
          <w:rFonts w:hint="eastAsia" w:ascii="仿宋" w:hAnsi="仿宋" w:eastAsia="仿宋"/>
          <w:sz w:val="32"/>
          <w:szCs w:val="32"/>
          <w:lang w:val="en-US" w:eastAsia="zh-CN"/>
        </w:rPr>
        <w:t>13</w:t>
      </w:r>
      <w:r>
        <w:rPr>
          <w:rFonts w:ascii="仿宋" w:hAnsi="仿宋" w:eastAsia="仿宋"/>
          <w:sz w:val="32"/>
          <w:szCs w:val="32"/>
        </w:rPr>
        <w:t>日</w:t>
      </w:r>
    </w:p>
    <w:p w14:paraId="1E530D7B">
      <w:pPr>
        <w:jc w:val="center"/>
        <w:rPr>
          <w:rFonts w:ascii="仿宋" w:hAnsi="仿宋" w:eastAsia="仿宋"/>
          <w:sz w:val="32"/>
          <w:szCs w:val="32"/>
        </w:rPr>
      </w:pPr>
    </w:p>
    <w:p w14:paraId="4ED220A9">
      <w:pPr>
        <w:jc w:val="center"/>
        <w:rPr>
          <w:rFonts w:ascii="仿宋" w:hAnsi="仿宋" w:eastAsia="仿宋"/>
          <w:sz w:val="32"/>
          <w:szCs w:val="32"/>
        </w:rPr>
      </w:pPr>
      <w:r>
        <w:rPr>
          <w:rFonts w:ascii="仿宋" w:hAnsi="仿宋" w:eastAsia="仿宋"/>
          <w:sz w:val="32"/>
          <w:szCs w:val="32"/>
        </w:rPr>
        <w:t>（此页为封面）</w:t>
      </w:r>
    </w:p>
    <w:p w14:paraId="00140A4B">
      <w:pPr>
        <w:spacing w:line="460" w:lineRule="exact"/>
        <w:ind w:firstLine="640" w:firstLineChars="200"/>
        <w:rPr>
          <w:rFonts w:hint="eastAsia" w:ascii="黑体" w:hAnsi="黑体" w:eastAsia="黑体" w:cs="黑体"/>
          <w:sz w:val="32"/>
          <w:szCs w:val="32"/>
        </w:rPr>
      </w:pPr>
      <w:r>
        <w:rPr>
          <w:rFonts w:ascii="仿宋" w:hAnsi="仿宋" w:eastAsia="仿宋"/>
          <w:sz w:val="32"/>
          <w:szCs w:val="32"/>
        </w:rPr>
        <w:br w:type="page"/>
      </w:r>
      <w:r>
        <w:rPr>
          <w:rFonts w:hint="eastAsia" w:ascii="黑体" w:hAnsi="黑体" w:eastAsia="黑体" w:cs="黑体"/>
          <w:sz w:val="32"/>
          <w:szCs w:val="32"/>
        </w:rPr>
        <w:t>一、部门（单位）基本情况</w:t>
      </w:r>
    </w:p>
    <w:p w14:paraId="4150C06C">
      <w:pPr>
        <w:widowControl/>
        <w:wordWrap w:val="0"/>
        <w:spacing w:line="520" w:lineRule="exact"/>
        <w:ind w:firstLine="320" w:firstLineChars="100"/>
        <w:jc w:val="left"/>
        <w:rPr>
          <w:rFonts w:ascii="仿宋" w:hAnsi="仿宋" w:eastAsia="仿宋" w:cs="宋体"/>
          <w:kern w:val="0"/>
          <w:sz w:val="32"/>
          <w:szCs w:val="32"/>
        </w:rPr>
      </w:pPr>
      <w:r>
        <w:rPr>
          <w:rFonts w:hint="eastAsia" w:ascii="仿宋" w:hAnsi="仿宋" w:eastAsia="仿宋" w:cs="宋体"/>
          <w:kern w:val="0"/>
          <w:sz w:val="32"/>
          <w:szCs w:val="32"/>
        </w:rPr>
        <w:t>（一）单位职责</w:t>
      </w:r>
    </w:p>
    <w:p w14:paraId="4169C2A9">
      <w:pPr>
        <w:widowControl/>
        <w:wordWrap w:val="0"/>
        <w:spacing w:line="52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1、传达、贯彻人事、劳动保障和人事劳动争议仲裁等法律法规；</w:t>
      </w:r>
    </w:p>
    <w:p w14:paraId="5EAF241D">
      <w:pPr>
        <w:widowControl/>
        <w:wordWrap w:val="0"/>
        <w:spacing w:line="52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2、负责处理注册登记的用人单位的人事劳动争议案件；</w:t>
      </w:r>
    </w:p>
    <w:p w14:paraId="5AB4382B">
      <w:pPr>
        <w:widowControl/>
        <w:wordWrap w:val="0"/>
        <w:spacing w:line="52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3、拟定各项规章制度并监督检查执行情况；</w:t>
      </w:r>
    </w:p>
    <w:p w14:paraId="65F9DBAC">
      <w:pPr>
        <w:widowControl/>
        <w:wordWrap w:val="0"/>
        <w:spacing w:line="52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4、提供人事劳动保障法律法规和人事劳动争议调解仲裁咨询；</w:t>
      </w:r>
    </w:p>
    <w:p w14:paraId="5ABEC7F1">
      <w:pPr>
        <w:widowControl/>
        <w:wordWrap w:val="0"/>
        <w:spacing w:line="52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5、负责专兼职仲裁员的培训、考核、聘用和管理工作；</w:t>
      </w:r>
    </w:p>
    <w:p w14:paraId="311FDF0B">
      <w:pPr>
        <w:ind w:firstLine="640" w:firstLineChars="200"/>
        <w:rPr>
          <w:rFonts w:ascii="仿宋" w:hAnsi="仿宋" w:eastAsia="仿宋" w:cs="宋体"/>
          <w:kern w:val="0"/>
          <w:sz w:val="32"/>
          <w:szCs w:val="32"/>
        </w:rPr>
      </w:pPr>
      <w:r>
        <w:rPr>
          <w:rFonts w:hint="eastAsia" w:ascii="仿宋" w:hAnsi="仿宋" w:eastAsia="仿宋" w:cs="宋体"/>
          <w:kern w:val="0"/>
          <w:sz w:val="32"/>
          <w:szCs w:val="32"/>
        </w:rPr>
        <w:t>6、负责办理人事劳动争议仲裁委员会的日常工作。</w:t>
      </w:r>
    </w:p>
    <w:p w14:paraId="1C778440">
      <w:pPr>
        <w:ind w:firstLine="640" w:firstLineChars="200"/>
        <w:rPr>
          <w:rFonts w:ascii="仿宋" w:hAnsi="仿宋" w:eastAsia="仿宋" w:cs="仿宋"/>
          <w:sz w:val="32"/>
          <w:szCs w:val="32"/>
        </w:rPr>
      </w:pPr>
      <w:r>
        <w:rPr>
          <w:rFonts w:hint="eastAsia" w:ascii="仿宋" w:hAnsi="仿宋" w:eastAsia="仿宋" w:cs="仿宋"/>
          <w:sz w:val="32"/>
          <w:szCs w:val="32"/>
        </w:rPr>
        <w:t>新田县劳动人事争议仲裁院是县人力资源和社会保障局的下属事业单位。</w:t>
      </w:r>
      <w:r>
        <w:rPr>
          <w:rFonts w:hint="eastAsia" w:ascii="仿宋" w:hAnsi="仿宋" w:eastAsia="仿宋" w:cs="仿宋"/>
          <w:sz w:val="32"/>
          <w:szCs w:val="32"/>
          <w:lang w:eastAsia="zh-CN"/>
        </w:rPr>
        <w:t>2024</w:t>
      </w:r>
      <w:r>
        <w:rPr>
          <w:rFonts w:hint="eastAsia" w:ascii="仿宋" w:hAnsi="仿宋" w:eastAsia="仿宋" w:cs="仿宋"/>
          <w:sz w:val="32"/>
          <w:szCs w:val="32"/>
        </w:rPr>
        <w:t>年底单位事业编制人数11人，年末在职人数5人。单位内设机构2个：办公室、仲裁庭</w:t>
      </w:r>
    </w:p>
    <w:p w14:paraId="43B49C51">
      <w:pPr>
        <w:shd w:val="clear" w:color="auto" w:fill="FFFFFF"/>
        <w:spacing w:line="460" w:lineRule="exact"/>
        <w:ind w:firstLine="640" w:firstLineChars="200"/>
        <w:rPr>
          <w:rFonts w:hint="eastAsia" w:ascii="仿宋" w:hAnsi="仿宋" w:eastAsia="仿宋"/>
          <w:sz w:val="32"/>
          <w:szCs w:val="32"/>
        </w:rPr>
      </w:pPr>
    </w:p>
    <w:p w14:paraId="7B9ADDD9">
      <w:pPr>
        <w:pStyle w:val="7"/>
        <w:ind w:left="0" w:firstLine="640" w:firstLineChars="200"/>
        <w:jc w:val="both"/>
        <w:rPr>
          <w:rFonts w:hint="eastAsia" w:ascii="仿宋" w:hAnsi="仿宋" w:eastAsia="仿宋"/>
          <w:color w:val="000000"/>
          <w:sz w:val="32"/>
          <w:szCs w:val="32"/>
        </w:rPr>
      </w:pPr>
      <w:r>
        <w:rPr>
          <w:rFonts w:hint="eastAsia" w:ascii="仿宋" w:hAnsi="仿宋" w:eastAsia="仿宋"/>
          <w:sz w:val="32"/>
          <w:szCs w:val="32"/>
        </w:rPr>
        <w:t>（二）部门（单位）整体支出规模</w:t>
      </w:r>
      <w:r>
        <w:rPr>
          <w:rFonts w:hint="eastAsia" w:ascii="仿宋" w:hAnsi="仿宋" w:eastAsia="仿宋" w:cs="仿宋_GB2312"/>
          <w:sz w:val="32"/>
          <w:szCs w:val="32"/>
        </w:rPr>
        <w:t>，</w:t>
      </w:r>
      <w:r>
        <w:rPr>
          <w:rFonts w:hint="eastAsia" w:ascii="仿宋" w:hAnsi="仿宋" w:eastAsia="仿宋"/>
          <w:color w:val="000000"/>
          <w:sz w:val="32"/>
          <w:szCs w:val="32"/>
        </w:rPr>
        <w:t>包括但不限于部门整体支出情况、部门预算收支决算情况及“三公经费”支出使用和管理情况。</w:t>
      </w:r>
    </w:p>
    <w:p w14:paraId="5383F976">
      <w:pPr>
        <w:pStyle w:val="7"/>
        <w:ind w:left="0" w:firstLine="600" w:firstLineChars="200"/>
        <w:jc w:val="both"/>
        <w:rPr>
          <w:rFonts w:ascii="仿宋" w:hAnsi="仿宋" w:eastAsia="仿宋" w:cs="仿宋"/>
          <w:sz w:val="30"/>
          <w:szCs w:val="30"/>
        </w:rPr>
      </w:pPr>
      <w:r>
        <w:rPr>
          <w:rFonts w:hint="eastAsia" w:ascii="仿宋" w:hAnsi="仿宋" w:eastAsia="仿宋" w:cs="仿宋"/>
          <w:sz w:val="30"/>
          <w:szCs w:val="30"/>
        </w:rPr>
        <w:t>1、部门整体支出情况：</w:t>
      </w:r>
    </w:p>
    <w:p w14:paraId="7BA8DA40">
      <w:pPr>
        <w:pStyle w:val="7"/>
        <w:ind w:left="0" w:firstLine="600" w:firstLineChars="200"/>
        <w:jc w:val="both"/>
        <w:rPr>
          <w:rFonts w:ascii="仿宋" w:hAnsi="仿宋" w:eastAsia="仿宋" w:cs="仿宋"/>
          <w:sz w:val="30"/>
          <w:szCs w:val="30"/>
        </w:rPr>
      </w:pPr>
      <w:r>
        <w:rPr>
          <w:rFonts w:hint="eastAsia" w:ascii="仿宋" w:hAnsi="仿宋" w:eastAsia="仿宋" w:cs="仿宋"/>
          <w:sz w:val="30"/>
          <w:szCs w:val="30"/>
          <w:lang w:eastAsia="zh-CN"/>
        </w:rPr>
        <w:t>2024</w:t>
      </w:r>
      <w:r>
        <w:rPr>
          <w:rFonts w:hint="eastAsia" w:ascii="仿宋" w:hAnsi="仿宋" w:eastAsia="仿宋" w:cs="仿宋"/>
          <w:sz w:val="30"/>
          <w:szCs w:val="30"/>
        </w:rPr>
        <w:t>年部门整体支出规模</w:t>
      </w:r>
      <w:r>
        <w:rPr>
          <w:rFonts w:hint="eastAsia" w:ascii="仿宋" w:hAnsi="仿宋" w:eastAsia="仿宋" w:cs="仿宋"/>
          <w:sz w:val="30"/>
          <w:szCs w:val="30"/>
          <w:lang w:val="en-US" w:eastAsia="zh-CN"/>
        </w:rPr>
        <w:t>56.39</w:t>
      </w:r>
      <w:r>
        <w:rPr>
          <w:rFonts w:hint="eastAsia" w:ascii="仿宋" w:hAnsi="仿宋" w:eastAsia="仿宋" w:cs="仿宋"/>
          <w:sz w:val="30"/>
          <w:szCs w:val="30"/>
        </w:rPr>
        <w:t>万元，其中：工资福利支出</w:t>
      </w:r>
      <w:r>
        <w:rPr>
          <w:rFonts w:hint="eastAsia" w:ascii="仿宋" w:hAnsi="仿宋" w:eastAsia="仿宋" w:cs="仿宋"/>
          <w:sz w:val="30"/>
          <w:szCs w:val="30"/>
          <w:lang w:val="en-US" w:eastAsia="zh-CN"/>
        </w:rPr>
        <w:t>37.42</w:t>
      </w:r>
      <w:r>
        <w:rPr>
          <w:rFonts w:hint="eastAsia" w:ascii="仿宋" w:hAnsi="仿宋" w:eastAsia="仿宋" w:cs="仿宋"/>
          <w:sz w:val="30"/>
          <w:szCs w:val="30"/>
        </w:rPr>
        <w:t>万元、商品和服务支出</w:t>
      </w:r>
      <w:r>
        <w:rPr>
          <w:rFonts w:hint="eastAsia" w:ascii="仿宋" w:hAnsi="仿宋" w:eastAsia="仿宋" w:cs="仿宋"/>
          <w:sz w:val="30"/>
          <w:szCs w:val="30"/>
          <w:lang w:val="en-US" w:eastAsia="zh-CN"/>
        </w:rPr>
        <w:t>18.3</w:t>
      </w:r>
      <w:r>
        <w:rPr>
          <w:rFonts w:hint="eastAsia" w:ascii="仿宋" w:hAnsi="仿宋" w:eastAsia="仿宋" w:cs="仿宋"/>
          <w:sz w:val="30"/>
          <w:szCs w:val="30"/>
        </w:rPr>
        <w:t>万元、对个人和家庭的补助0.</w:t>
      </w:r>
      <w:r>
        <w:rPr>
          <w:rFonts w:hint="eastAsia" w:ascii="仿宋" w:hAnsi="仿宋" w:eastAsia="仿宋" w:cs="仿宋"/>
          <w:sz w:val="30"/>
          <w:szCs w:val="30"/>
          <w:lang w:val="en-US" w:eastAsia="zh-CN"/>
        </w:rPr>
        <w:t>67</w:t>
      </w:r>
      <w:r>
        <w:rPr>
          <w:rFonts w:hint="eastAsia" w:ascii="仿宋" w:hAnsi="仿宋" w:eastAsia="仿宋" w:cs="仿宋"/>
          <w:sz w:val="30"/>
          <w:szCs w:val="30"/>
        </w:rPr>
        <w:t>万元。</w:t>
      </w:r>
    </w:p>
    <w:p w14:paraId="2AF0A9B9">
      <w:pPr>
        <w:pStyle w:val="8"/>
        <w:ind w:firstLine="640" w:firstLineChars="200"/>
        <w:jc w:val="both"/>
        <w:rPr>
          <w:rFonts w:ascii="仿宋" w:hAnsi="仿宋" w:eastAsia="仿宋" w:cs="仿宋_GB2312"/>
          <w:sz w:val="32"/>
          <w:szCs w:val="32"/>
        </w:rPr>
      </w:pPr>
      <w:r>
        <w:rPr>
          <w:rFonts w:hint="eastAsia" w:ascii="仿宋" w:hAnsi="仿宋" w:eastAsia="仿宋" w:cs="仿宋_GB2312"/>
          <w:sz w:val="32"/>
          <w:szCs w:val="32"/>
        </w:rPr>
        <w:t>2、部门预算收支决算情况：</w:t>
      </w:r>
    </w:p>
    <w:p w14:paraId="7CAAFB51">
      <w:pPr>
        <w:pStyle w:val="8"/>
        <w:ind w:firstLine="640" w:firstLineChars="200"/>
        <w:jc w:val="both"/>
        <w:rPr>
          <w:rFonts w:ascii="仿宋" w:hAnsi="仿宋" w:eastAsia="仿宋" w:cs="仿宋_GB2312"/>
          <w:sz w:val="32"/>
          <w:szCs w:val="32"/>
        </w:rPr>
      </w:pPr>
      <w:r>
        <w:rPr>
          <w:rFonts w:hint="eastAsia" w:ascii="仿宋" w:hAnsi="仿宋" w:eastAsia="仿宋" w:cs="仿宋_GB2312"/>
          <w:sz w:val="32"/>
          <w:szCs w:val="32"/>
          <w:lang w:eastAsia="zh-CN"/>
        </w:rPr>
        <w:t>2024</w:t>
      </w:r>
      <w:r>
        <w:rPr>
          <w:rFonts w:hint="eastAsia" w:ascii="仿宋" w:hAnsi="仿宋" w:eastAsia="仿宋" w:cs="仿宋_GB2312"/>
          <w:sz w:val="32"/>
          <w:szCs w:val="32"/>
        </w:rPr>
        <w:t>年度收入总计</w:t>
      </w:r>
      <w:r>
        <w:rPr>
          <w:rFonts w:hint="eastAsia" w:ascii="仿宋" w:hAnsi="仿宋" w:eastAsia="仿宋" w:cs="仿宋_GB2312"/>
          <w:sz w:val="32"/>
          <w:szCs w:val="32"/>
          <w:lang w:val="en-US" w:eastAsia="zh-CN"/>
        </w:rPr>
        <w:t>56.39</w:t>
      </w:r>
      <w:r>
        <w:rPr>
          <w:rFonts w:hint="eastAsia" w:ascii="仿宋" w:hAnsi="仿宋" w:eastAsia="仿宋" w:cs="仿宋_GB2312"/>
          <w:sz w:val="32"/>
          <w:szCs w:val="32"/>
        </w:rPr>
        <w:t>万元。</w:t>
      </w:r>
      <w:r>
        <w:rPr>
          <w:rFonts w:hint="eastAsia" w:ascii="仿宋" w:hAnsi="仿宋" w:eastAsia="仿宋" w:cs="仿宋_GB2312"/>
          <w:sz w:val="32"/>
          <w:szCs w:val="32"/>
          <w:lang w:eastAsia="zh-CN"/>
        </w:rPr>
        <w:t>2024</w:t>
      </w:r>
      <w:r>
        <w:rPr>
          <w:rFonts w:hint="eastAsia" w:ascii="仿宋" w:hAnsi="仿宋" w:eastAsia="仿宋" w:cs="仿宋_GB2312"/>
          <w:sz w:val="32"/>
          <w:szCs w:val="32"/>
        </w:rPr>
        <w:t>年度支出总计</w:t>
      </w:r>
      <w:r>
        <w:rPr>
          <w:rFonts w:hint="eastAsia" w:ascii="仿宋" w:hAnsi="仿宋" w:eastAsia="仿宋" w:cs="仿宋_GB2312"/>
          <w:sz w:val="32"/>
          <w:szCs w:val="32"/>
          <w:lang w:val="en-US" w:eastAsia="zh-CN"/>
        </w:rPr>
        <w:t>56.39</w:t>
      </w:r>
      <w:r>
        <w:rPr>
          <w:rFonts w:hint="eastAsia" w:ascii="仿宋" w:hAnsi="仿宋" w:eastAsia="仿宋" w:cs="仿宋_GB2312"/>
          <w:sz w:val="32"/>
          <w:szCs w:val="32"/>
        </w:rPr>
        <w:t>万元。</w:t>
      </w:r>
    </w:p>
    <w:p w14:paraId="6178078F">
      <w:pPr>
        <w:pStyle w:val="8"/>
        <w:ind w:firstLine="640" w:firstLineChars="200"/>
        <w:jc w:val="both"/>
        <w:rPr>
          <w:rFonts w:ascii="仿宋" w:hAnsi="仿宋" w:eastAsia="仿宋" w:cs="仿宋_GB2312"/>
          <w:sz w:val="32"/>
          <w:szCs w:val="32"/>
        </w:rPr>
      </w:pPr>
      <w:r>
        <w:rPr>
          <w:rFonts w:hint="eastAsia" w:ascii="仿宋" w:hAnsi="仿宋" w:eastAsia="仿宋" w:cs="仿宋_GB2312"/>
          <w:sz w:val="32"/>
          <w:szCs w:val="32"/>
        </w:rPr>
        <w:t>3、</w:t>
      </w:r>
      <w:r>
        <w:rPr>
          <w:rFonts w:hint="eastAsia" w:ascii="仿宋" w:hAnsi="仿宋" w:eastAsia="仿宋" w:cs="仿宋_GB2312"/>
          <w:sz w:val="32"/>
          <w:szCs w:val="32"/>
          <w:lang w:eastAsia="zh-CN"/>
        </w:rPr>
        <w:t>2024</w:t>
      </w:r>
      <w:r>
        <w:rPr>
          <w:rFonts w:hint="eastAsia" w:ascii="仿宋" w:hAnsi="仿宋" w:eastAsia="仿宋" w:cs="仿宋_GB2312"/>
          <w:sz w:val="32"/>
          <w:szCs w:val="32"/>
        </w:rPr>
        <w:t>年“三公经费”支出</w:t>
      </w:r>
      <w:r>
        <w:rPr>
          <w:rFonts w:hint="eastAsia" w:ascii="仿宋" w:hAnsi="仿宋" w:eastAsia="仿宋" w:cs="仿宋_GB2312"/>
          <w:sz w:val="32"/>
          <w:szCs w:val="32"/>
          <w:lang w:val="en-US" w:eastAsia="zh-CN"/>
        </w:rPr>
        <w:t>1.04</w:t>
      </w:r>
      <w:r>
        <w:rPr>
          <w:rFonts w:hint="eastAsia" w:ascii="仿宋" w:hAnsi="仿宋" w:eastAsia="仿宋" w:cs="仿宋_GB2312"/>
          <w:sz w:val="32"/>
          <w:szCs w:val="32"/>
        </w:rPr>
        <w:t>万元，其中：公务接待费</w:t>
      </w:r>
      <w:r>
        <w:rPr>
          <w:rFonts w:hint="eastAsia" w:ascii="仿宋" w:hAnsi="仿宋" w:eastAsia="仿宋" w:cs="仿宋_GB2312"/>
          <w:sz w:val="32"/>
          <w:szCs w:val="32"/>
          <w:lang w:val="en-US" w:eastAsia="zh-CN"/>
        </w:rPr>
        <w:t>1.04</w:t>
      </w:r>
      <w:r>
        <w:rPr>
          <w:rFonts w:hint="eastAsia" w:ascii="仿宋" w:hAnsi="仿宋" w:eastAsia="仿宋" w:cs="仿宋_GB2312"/>
          <w:sz w:val="32"/>
          <w:szCs w:val="32"/>
        </w:rPr>
        <w:t>万元，无公车运行维护费用，无出国（境）费用。</w:t>
      </w:r>
    </w:p>
    <w:p w14:paraId="422707A4">
      <w:pPr>
        <w:spacing w:line="460" w:lineRule="exact"/>
        <w:ind w:firstLine="640" w:firstLineChars="200"/>
        <w:rPr>
          <w:rFonts w:hint="eastAsia" w:ascii="仿宋" w:hAnsi="仿宋" w:eastAsia="仿宋"/>
          <w:color w:val="000000"/>
          <w:sz w:val="32"/>
          <w:szCs w:val="32"/>
        </w:rPr>
      </w:pPr>
    </w:p>
    <w:p w14:paraId="0EF56A39">
      <w:pPr>
        <w:pStyle w:val="6"/>
        <w:spacing w:line="460" w:lineRule="exact"/>
        <w:ind w:firstLine="640"/>
        <w:rPr>
          <w:rFonts w:hint="eastAsia" w:ascii="黑体" w:hAnsi="黑体" w:eastAsia="黑体" w:cs="黑体"/>
          <w:sz w:val="32"/>
          <w:szCs w:val="32"/>
        </w:rPr>
      </w:pPr>
      <w:r>
        <w:rPr>
          <w:rFonts w:hint="eastAsia" w:ascii="黑体" w:hAnsi="黑体" w:eastAsia="黑体" w:cs="黑体"/>
          <w:sz w:val="32"/>
          <w:szCs w:val="32"/>
        </w:rPr>
        <w:t>二、一般公共预算支出情况</w:t>
      </w:r>
    </w:p>
    <w:p w14:paraId="7B92911E">
      <w:pPr>
        <w:pStyle w:val="5"/>
        <w:spacing w:line="580" w:lineRule="exact"/>
        <w:ind w:firstLine="640"/>
        <w:rPr>
          <w:rFonts w:hint="eastAsia" w:eastAsia="仿宋"/>
          <w:sz w:val="32"/>
          <w:szCs w:val="32"/>
        </w:rPr>
      </w:pPr>
      <w:r>
        <w:rPr>
          <w:rFonts w:eastAsia="仿宋"/>
          <w:sz w:val="32"/>
          <w:szCs w:val="32"/>
        </w:rPr>
        <w:t>（一）基本支出情况</w:t>
      </w:r>
    </w:p>
    <w:p w14:paraId="450F8CC5">
      <w:pPr>
        <w:pStyle w:val="5"/>
        <w:spacing w:line="580" w:lineRule="exact"/>
        <w:ind w:firstLine="640"/>
        <w:rPr>
          <w:rFonts w:hint="eastAsia" w:eastAsia="仿宋" w:cs="仿宋_GB2312"/>
          <w:sz w:val="32"/>
          <w:szCs w:val="32"/>
        </w:rPr>
      </w:pPr>
      <w:r>
        <w:rPr>
          <w:rFonts w:hint="eastAsia" w:eastAsia="仿宋" w:cs="仿宋_GB2312"/>
          <w:sz w:val="32"/>
          <w:szCs w:val="32"/>
          <w:lang w:eastAsia="zh-CN"/>
        </w:rPr>
        <w:t>2024</w:t>
      </w:r>
      <w:r>
        <w:rPr>
          <w:rFonts w:hint="eastAsia" w:eastAsia="仿宋" w:cs="仿宋_GB2312"/>
          <w:sz w:val="32"/>
          <w:szCs w:val="32"/>
        </w:rPr>
        <w:t>年度财政拨款基本支出</w:t>
      </w:r>
      <w:r>
        <w:rPr>
          <w:rFonts w:hint="eastAsia" w:eastAsia="仿宋" w:cs="仿宋_GB2312"/>
          <w:sz w:val="32"/>
          <w:szCs w:val="32"/>
          <w:lang w:val="en-US" w:eastAsia="zh-CN"/>
        </w:rPr>
        <w:t>44.16</w:t>
      </w:r>
      <w:r>
        <w:rPr>
          <w:rFonts w:hint="eastAsia" w:eastAsia="仿宋" w:cs="仿宋_GB2312"/>
          <w:sz w:val="32"/>
          <w:szCs w:val="32"/>
        </w:rPr>
        <w:t>万元，其中：人员经费</w:t>
      </w:r>
      <w:r>
        <w:rPr>
          <w:rFonts w:hint="eastAsia" w:eastAsia="仿宋" w:cs="仿宋_GB2312"/>
          <w:sz w:val="32"/>
          <w:szCs w:val="32"/>
          <w:lang w:val="en-US" w:eastAsia="zh-CN"/>
        </w:rPr>
        <w:t>35.86</w:t>
      </w:r>
      <w:r>
        <w:rPr>
          <w:rFonts w:hint="eastAsia" w:eastAsia="仿宋" w:cs="仿宋_GB2312"/>
          <w:sz w:val="32"/>
          <w:szCs w:val="32"/>
        </w:rPr>
        <w:t>万元，占基本支出的</w:t>
      </w:r>
      <w:r>
        <w:rPr>
          <w:rFonts w:hint="eastAsia" w:eastAsia="仿宋" w:cs="仿宋_GB2312"/>
          <w:sz w:val="32"/>
          <w:szCs w:val="32"/>
          <w:lang w:val="en-US" w:eastAsia="zh-CN"/>
        </w:rPr>
        <w:t>81.2</w:t>
      </w:r>
      <w:r>
        <w:rPr>
          <w:rFonts w:hint="eastAsia" w:eastAsia="仿宋" w:cs="仿宋_GB2312"/>
          <w:sz w:val="32"/>
          <w:szCs w:val="32"/>
        </w:rPr>
        <w:t>%,主要包括基本工资、津贴补贴、奖金、伙食补助费、绩效工资、基本养老保险费、其他工资福利支出；公用经费</w:t>
      </w:r>
      <w:r>
        <w:rPr>
          <w:rFonts w:hint="eastAsia" w:eastAsia="仿宋" w:cs="仿宋_GB2312"/>
          <w:sz w:val="32"/>
          <w:szCs w:val="32"/>
          <w:lang w:val="en-US" w:eastAsia="zh-CN"/>
        </w:rPr>
        <w:t>8.3</w:t>
      </w:r>
      <w:r>
        <w:rPr>
          <w:rFonts w:hint="eastAsia" w:eastAsia="仿宋" w:cs="仿宋_GB2312"/>
          <w:sz w:val="32"/>
          <w:szCs w:val="32"/>
        </w:rPr>
        <w:t>万元，占基本支出的</w:t>
      </w:r>
      <w:r>
        <w:rPr>
          <w:rFonts w:hint="eastAsia" w:eastAsia="仿宋" w:cs="仿宋_GB2312"/>
          <w:sz w:val="32"/>
          <w:szCs w:val="32"/>
          <w:lang w:val="en-US" w:eastAsia="zh-CN"/>
        </w:rPr>
        <w:t>18.8</w:t>
      </w:r>
      <w:r>
        <w:rPr>
          <w:rFonts w:hint="eastAsia" w:eastAsia="仿宋" w:cs="仿宋_GB2312"/>
          <w:sz w:val="32"/>
          <w:szCs w:val="32"/>
        </w:rPr>
        <w:t>%，主要包括办公费、印刷费、水费、电费、邮电费、差旅费、会议费、公务接待费、工会经费、公务用车运行维护费、其他交通费、其他商品和服务费。</w:t>
      </w:r>
    </w:p>
    <w:p w14:paraId="3B4531AD">
      <w:pPr>
        <w:pStyle w:val="6"/>
        <w:spacing w:line="460" w:lineRule="exact"/>
        <w:ind w:firstLine="640"/>
        <w:rPr>
          <w:rFonts w:ascii="仿宋" w:hAnsi="仿宋" w:eastAsia="仿宋"/>
          <w:sz w:val="32"/>
          <w:szCs w:val="32"/>
        </w:rPr>
      </w:pPr>
    </w:p>
    <w:p w14:paraId="78B9836B">
      <w:pPr>
        <w:pStyle w:val="6"/>
        <w:spacing w:line="460" w:lineRule="exact"/>
        <w:ind w:firstLine="640"/>
        <w:rPr>
          <w:rFonts w:hint="eastAsia" w:ascii="仿宋" w:hAnsi="仿宋" w:eastAsia="仿宋"/>
          <w:sz w:val="32"/>
          <w:szCs w:val="32"/>
        </w:rPr>
      </w:pPr>
      <w:r>
        <w:rPr>
          <w:rFonts w:ascii="仿宋" w:hAnsi="仿宋" w:eastAsia="仿宋"/>
          <w:sz w:val="32"/>
          <w:szCs w:val="32"/>
        </w:rPr>
        <w:t>（二）项目支出情况</w:t>
      </w:r>
    </w:p>
    <w:p w14:paraId="476D02A4">
      <w:pPr>
        <w:pStyle w:val="6"/>
        <w:spacing w:line="460" w:lineRule="exact"/>
        <w:ind w:firstLine="640"/>
        <w:rPr>
          <w:rFonts w:ascii="仿宋" w:hAnsi="仿宋" w:eastAsia="仿宋"/>
          <w:sz w:val="32"/>
          <w:szCs w:val="32"/>
        </w:rPr>
      </w:pPr>
      <w:r>
        <w:rPr>
          <w:rFonts w:hint="eastAsia" w:ascii="仿宋" w:hAnsi="仿宋" w:eastAsia="仿宋"/>
          <w:sz w:val="32"/>
          <w:szCs w:val="32"/>
          <w:lang w:eastAsia="zh-CN"/>
        </w:rPr>
        <w:t>2024</w:t>
      </w:r>
      <w:r>
        <w:rPr>
          <w:rFonts w:hint="eastAsia" w:ascii="仿宋" w:hAnsi="仿宋" w:eastAsia="仿宋"/>
          <w:sz w:val="32"/>
          <w:szCs w:val="32"/>
        </w:rPr>
        <w:t>年仲裁院业务相关经费项目支出</w:t>
      </w:r>
      <w:r>
        <w:rPr>
          <w:rFonts w:hint="eastAsia" w:ascii="仿宋" w:hAnsi="仿宋" w:eastAsia="仿宋"/>
          <w:sz w:val="32"/>
          <w:szCs w:val="32"/>
          <w:lang w:val="en-US" w:eastAsia="zh-CN"/>
        </w:rPr>
        <w:t>12.23</w:t>
      </w:r>
      <w:r>
        <w:rPr>
          <w:rFonts w:hint="eastAsia" w:ascii="仿宋" w:hAnsi="仿宋" w:eastAsia="仿宋"/>
          <w:sz w:val="32"/>
          <w:szCs w:val="32"/>
        </w:rPr>
        <w:t>万元。</w:t>
      </w:r>
    </w:p>
    <w:p w14:paraId="3781D974">
      <w:pPr>
        <w:pStyle w:val="6"/>
        <w:spacing w:line="460" w:lineRule="exact"/>
        <w:ind w:firstLine="640"/>
        <w:rPr>
          <w:rFonts w:hint="eastAsia" w:ascii="黑体" w:hAnsi="黑体" w:eastAsia="黑体" w:cs="黑体"/>
          <w:color w:val="000000"/>
          <w:sz w:val="32"/>
          <w:szCs w:val="32"/>
        </w:rPr>
      </w:pPr>
      <w:r>
        <w:rPr>
          <w:rFonts w:hint="eastAsia" w:ascii="黑体" w:hAnsi="黑体" w:eastAsia="黑体" w:cs="黑体"/>
          <w:sz w:val="32"/>
          <w:szCs w:val="32"/>
        </w:rPr>
        <w:t>三、政府性基金预算支出情况。</w:t>
      </w:r>
    </w:p>
    <w:p w14:paraId="1D1CE447">
      <w:pPr>
        <w:pStyle w:val="6"/>
        <w:spacing w:line="460" w:lineRule="exact"/>
        <w:ind w:firstLine="640"/>
        <w:rPr>
          <w:rFonts w:hint="eastAsia" w:ascii="仿宋" w:hAnsi="仿宋" w:eastAsia="仿宋"/>
          <w:color w:val="000000"/>
          <w:sz w:val="32"/>
          <w:szCs w:val="32"/>
        </w:rPr>
      </w:pPr>
      <w:r>
        <w:rPr>
          <w:rFonts w:hint="eastAsia" w:ascii="仿宋" w:hAnsi="仿宋" w:eastAsia="仿宋"/>
          <w:color w:val="000000"/>
          <w:sz w:val="32"/>
          <w:szCs w:val="32"/>
        </w:rPr>
        <w:t>我单位无政府性基金预算支出情况。</w:t>
      </w:r>
    </w:p>
    <w:p w14:paraId="2BFB62DE">
      <w:pPr>
        <w:pStyle w:val="6"/>
        <w:spacing w:line="460" w:lineRule="exact"/>
        <w:ind w:firstLine="640"/>
        <w:rPr>
          <w:rFonts w:hint="eastAsia" w:ascii="黑体" w:hAnsi="黑体" w:eastAsia="黑体" w:cs="黑体"/>
          <w:color w:val="000000"/>
          <w:sz w:val="32"/>
          <w:szCs w:val="32"/>
        </w:rPr>
      </w:pPr>
      <w:r>
        <w:rPr>
          <w:rFonts w:hint="eastAsia" w:ascii="黑体" w:hAnsi="黑体" w:eastAsia="黑体" w:cs="黑体"/>
          <w:sz w:val="32"/>
          <w:szCs w:val="32"/>
        </w:rPr>
        <w:t>四、国有资本经营预算支出情况。</w:t>
      </w:r>
    </w:p>
    <w:p w14:paraId="7489EB8E">
      <w:pPr>
        <w:pStyle w:val="6"/>
        <w:spacing w:line="460" w:lineRule="exact"/>
        <w:ind w:firstLine="640"/>
        <w:rPr>
          <w:rFonts w:hint="eastAsia" w:ascii="仿宋" w:hAnsi="仿宋" w:eastAsia="仿宋"/>
          <w:sz w:val="32"/>
          <w:szCs w:val="32"/>
        </w:rPr>
      </w:pPr>
      <w:r>
        <w:rPr>
          <w:rFonts w:hint="eastAsia" w:ascii="仿宋" w:hAnsi="仿宋" w:eastAsia="仿宋"/>
          <w:color w:val="000000"/>
          <w:sz w:val="32"/>
          <w:szCs w:val="32"/>
        </w:rPr>
        <w:t>我单位无国有资本经营预算支出情况。</w:t>
      </w:r>
    </w:p>
    <w:p w14:paraId="625F32B6">
      <w:pPr>
        <w:pStyle w:val="6"/>
        <w:spacing w:line="460" w:lineRule="exact"/>
        <w:ind w:firstLine="640"/>
        <w:rPr>
          <w:rFonts w:hint="eastAsia" w:ascii="黑体" w:hAnsi="黑体" w:eastAsia="黑体" w:cs="黑体"/>
          <w:color w:val="000000"/>
          <w:sz w:val="32"/>
          <w:szCs w:val="32"/>
        </w:rPr>
      </w:pPr>
      <w:r>
        <w:rPr>
          <w:rFonts w:hint="eastAsia" w:ascii="黑体" w:hAnsi="黑体" w:eastAsia="黑体" w:cs="黑体"/>
          <w:sz w:val="32"/>
          <w:szCs w:val="32"/>
        </w:rPr>
        <w:t>五、社会保险基金预算支出情况。</w:t>
      </w:r>
    </w:p>
    <w:p w14:paraId="1F3E4310">
      <w:pPr>
        <w:pStyle w:val="6"/>
        <w:spacing w:line="460" w:lineRule="exact"/>
        <w:ind w:firstLine="640"/>
        <w:rPr>
          <w:rFonts w:hint="eastAsia" w:ascii="仿宋" w:hAnsi="仿宋" w:eastAsia="仿宋"/>
          <w:sz w:val="32"/>
          <w:szCs w:val="32"/>
        </w:rPr>
      </w:pPr>
      <w:r>
        <w:rPr>
          <w:rFonts w:hint="eastAsia" w:ascii="仿宋" w:hAnsi="仿宋" w:eastAsia="仿宋"/>
          <w:color w:val="000000"/>
          <w:sz w:val="32"/>
          <w:szCs w:val="32"/>
        </w:rPr>
        <w:t>我单位无社会保险基金预算支出情况。</w:t>
      </w:r>
    </w:p>
    <w:p w14:paraId="0A3C9FB7">
      <w:pPr>
        <w:spacing w:line="4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六、部门整体支出绩效情况</w:t>
      </w:r>
    </w:p>
    <w:p w14:paraId="1B9F8D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u w:val="none"/>
          <w:lang w:val="en-US" w:eastAsia="zh-CN" w:bidi="ar"/>
        </w:rPr>
      </w:pPr>
      <w:r>
        <w:rPr>
          <w:rFonts w:hint="eastAsia" w:ascii="楷体_GB2312" w:hAnsi="楷体_GB2312" w:eastAsia="楷体_GB2312" w:cs="楷体_GB2312"/>
          <w:b/>
          <w:bCs w:val="0"/>
          <w:sz w:val="32"/>
          <w:szCs w:val="32"/>
          <w:lang w:val="en-US" w:eastAsia="zh-CN"/>
        </w:rPr>
        <w:t>1.案件办理稳步推进。</w:t>
      </w:r>
      <w:r>
        <w:rPr>
          <w:rFonts w:hint="eastAsia" w:ascii="仿宋_GB2312" w:hAnsi="仿宋_GB2312" w:eastAsia="仿宋_GB2312" w:cs="仿宋_GB2312"/>
          <w:b/>
          <w:bCs/>
          <w:kern w:val="2"/>
          <w:sz w:val="32"/>
          <w:szCs w:val="32"/>
          <w:lang w:val="en-US" w:eastAsia="zh-CN" w:bidi="ar-SA"/>
        </w:rPr>
        <w:t>一是抓实案件提效。</w:t>
      </w:r>
      <w:r>
        <w:rPr>
          <w:rFonts w:hint="eastAsia" w:ascii="仿宋_GB2312" w:hAnsi="仿宋_GB2312" w:eastAsia="仿宋_GB2312" w:cs="仿宋_GB2312"/>
          <w:color w:val="auto"/>
          <w:sz w:val="32"/>
          <w:szCs w:val="32"/>
          <w:u w:val="none"/>
          <w:lang w:val="en-US" w:eastAsia="zh-CN" w:bidi="ar"/>
        </w:rPr>
        <w:t>践行“仲裁为民”，结案率、调解率均超省市目标。</w:t>
      </w:r>
      <w:r>
        <w:rPr>
          <w:rFonts w:hint="eastAsia" w:ascii="仿宋_GB2312" w:hAnsi="仿宋_GB2312" w:eastAsia="仿宋_GB2312" w:cs="仿宋_GB2312"/>
          <w:b w:val="0"/>
          <w:bCs w:val="0"/>
          <w:kern w:val="2"/>
          <w:sz w:val="32"/>
          <w:szCs w:val="32"/>
          <w:lang w:val="en-US" w:eastAsia="zh-CN" w:bidi="ar-SA"/>
        </w:rPr>
        <w:t>截止12月，接待来人来访近100余人次，正式立案44件，其中裁决结案10件，调解结案34件，</w:t>
      </w:r>
      <w:r>
        <w:rPr>
          <w:rFonts w:hint="eastAsia" w:ascii="仿宋_GB2312" w:hAnsi="仿宋_GB2312" w:eastAsia="仿宋_GB2312" w:cs="仿宋_GB2312"/>
          <w:b w:val="0"/>
          <w:bCs w:val="0"/>
          <w:sz w:val="32"/>
          <w:szCs w:val="32"/>
          <w:u w:val="none"/>
          <w:lang w:val="en-US" w:eastAsia="zh-CN" w:bidi="ar"/>
        </w:rPr>
        <w:t>案件调解率达到77%，</w:t>
      </w:r>
      <w:r>
        <w:rPr>
          <w:rFonts w:hint="eastAsia" w:ascii="仿宋_GB2312" w:hAnsi="仿宋_GB2312" w:eastAsia="仿宋_GB2312" w:cs="仿宋_GB2312"/>
          <w:b w:val="0"/>
          <w:bCs w:val="0"/>
          <w:kern w:val="2"/>
          <w:sz w:val="32"/>
          <w:szCs w:val="32"/>
          <w:lang w:val="en-US" w:eastAsia="zh-CN" w:bidi="ar-SA"/>
        </w:rPr>
        <w:t>在法定时限内结案率100%，</w:t>
      </w:r>
      <w:r>
        <w:rPr>
          <w:rFonts w:hint="eastAsia" w:ascii="仿宋_GB2312" w:hAnsi="仿宋_GB2312" w:eastAsia="仿宋_GB2312" w:cs="仿宋_GB2312"/>
          <w:sz w:val="32"/>
          <w:szCs w:val="32"/>
          <w:u w:val="none"/>
          <w:lang w:val="en-US" w:eastAsia="zh-CN" w:bidi="ar"/>
        </w:rPr>
        <w:t>均超过省市考核指标要求</w:t>
      </w:r>
      <w:r>
        <w:rPr>
          <w:rFonts w:hint="eastAsia" w:ascii="仿宋_GB2312" w:hAnsi="仿宋_GB2312" w:eastAsia="仿宋_GB2312" w:cs="仿宋_GB2312"/>
          <w:b w:val="0"/>
          <w:bCs w:val="0"/>
          <w:kern w:val="2"/>
          <w:sz w:val="32"/>
          <w:szCs w:val="32"/>
          <w:lang w:val="en-US" w:eastAsia="zh-CN" w:bidi="ar-SA"/>
        </w:rPr>
        <w:t>。涉案金额达420万余元，为劳动者挽回经济损失150万余元。</w:t>
      </w:r>
      <w:r>
        <w:rPr>
          <w:rFonts w:hint="eastAsia" w:ascii="仿宋_GB2312" w:hAnsi="仿宋_GB2312" w:eastAsia="仿宋_GB2312" w:cs="仿宋_GB2312"/>
          <w:b/>
          <w:bCs/>
          <w:sz w:val="32"/>
          <w:szCs w:val="32"/>
          <w:u w:val="none"/>
          <w:lang w:val="en-US" w:eastAsia="zh-CN" w:bidi="ar"/>
        </w:rPr>
        <w:t>二是抓牢案前调处。</w:t>
      </w:r>
      <w:r>
        <w:rPr>
          <w:rFonts w:hint="eastAsia" w:ascii="仿宋_GB2312" w:hAnsi="仿宋_GB2312" w:eastAsia="仿宋_GB2312" w:cs="仿宋_GB2312"/>
          <w:sz w:val="32"/>
          <w:szCs w:val="32"/>
          <w:u w:val="none"/>
          <w:lang w:val="en-US" w:eastAsia="zh-CN" w:bidi="ar"/>
        </w:rPr>
        <w:t>今年以来，仲裁部门针对</w:t>
      </w:r>
      <w:r>
        <w:rPr>
          <w:rFonts w:hint="eastAsia" w:ascii="仿宋" w:hAnsi="仿宋" w:eastAsia="仿宋" w:cs="仿宋"/>
          <w:color w:val="auto"/>
          <w:sz w:val="32"/>
          <w:szCs w:val="32"/>
          <w:lang w:val="en-US" w:eastAsia="zh-CN"/>
        </w:rPr>
        <w:t>一些争议不大、标的较小的纠纷，未正式立案就已化解。如涉及鲁丽、润兴城、德恒、北控等重点企业和部分机关事业单位的劳资纠纷，提前预判、主动介入，及时与用人单位联系协调处理，矛盾得到化解，劳资双方人和事了。</w:t>
      </w:r>
    </w:p>
    <w:p w14:paraId="30651C4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cs="Times New Roman"/>
          <w:sz w:val="32"/>
          <w:szCs w:val="32"/>
          <w:lang w:val="en-US" w:eastAsia="zh-CN"/>
        </w:rPr>
      </w:pPr>
      <w:r>
        <w:rPr>
          <w:rFonts w:hint="eastAsia" w:ascii="楷体_GB2312" w:hAnsi="楷体_GB2312" w:eastAsia="楷体_GB2312" w:cs="楷体_GB2312"/>
          <w:b/>
          <w:bCs w:val="0"/>
          <w:sz w:val="32"/>
          <w:szCs w:val="32"/>
          <w:lang w:val="en-US" w:eastAsia="zh-CN"/>
        </w:rPr>
        <w:t>2.</w:t>
      </w:r>
      <w:r>
        <w:rPr>
          <w:rFonts w:hint="eastAsia" w:ascii="楷体_GB2312" w:hAnsi="仿宋" w:eastAsia="楷体_GB2312"/>
          <w:b/>
          <w:sz w:val="32"/>
          <w:szCs w:val="32"/>
          <w:lang w:val="en-US" w:eastAsia="zh-CN"/>
        </w:rPr>
        <w:t>服务企业持续深化。</w:t>
      </w:r>
      <w:r>
        <w:rPr>
          <w:rFonts w:hint="eastAsia" w:ascii="仿宋_GB2312" w:eastAsia="仿宋_GB2312" w:cs="Times New Roman"/>
          <w:b/>
          <w:bCs/>
          <w:sz w:val="32"/>
          <w:szCs w:val="32"/>
          <w:lang w:val="en-US" w:eastAsia="zh-CN"/>
        </w:rPr>
        <w:t>一是深化服务企业行动</w:t>
      </w:r>
      <w:r>
        <w:rPr>
          <w:rFonts w:hint="eastAsia" w:ascii="仿宋_GB2312" w:hAnsi="仿宋_GB2312" w:eastAsia="仿宋_GB2312" w:cs="仿宋_GB2312"/>
          <w:b/>
          <w:bCs/>
          <w:sz w:val="32"/>
          <w:szCs w:val="32"/>
          <w:u w:val="none"/>
          <w:lang w:val="en-US" w:eastAsia="zh-CN" w:bidi="ar"/>
        </w:rPr>
        <w:t>。</w:t>
      </w:r>
      <w:r>
        <w:rPr>
          <w:rFonts w:hint="eastAsia" w:ascii="仿宋_GB2312" w:hAnsi="仿宋_GB2312" w:eastAsia="仿宋_GB2312" w:cs="仿宋_GB2312"/>
          <w:b w:val="0"/>
          <w:bCs w:val="0"/>
          <w:sz w:val="32"/>
          <w:szCs w:val="32"/>
          <w:u w:val="none"/>
          <w:lang w:val="en-US" w:eastAsia="zh-CN" w:bidi="ar"/>
        </w:rPr>
        <w:t>积极参加春风行动，实地走访了20余家全县重点企业，涉及新能源新材料、木材加工、机械制造、智能家居等，也包括“专精特新”企业和“小巨人”企业。仲裁员就劳动合同签订、薪酬保障制度、社会保险缴纳、内部制度完</w:t>
      </w:r>
      <w:r>
        <w:rPr>
          <w:rFonts w:hint="eastAsia" w:ascii="仿宋_GB2312" w:eastAsia="仿宋_GB2312" w:cs="Times New Roman"/>
          <w:sz w:val="32"/>
          <w:szCs w:val="32"/>
          <w:lang w:val="en-US" w:eastAsia="zh-CN"/>
        </w:rPr>
        <w:t>善等方面积极献计献策。</w:t>
      </w:r>
      <w:r>
        <w:rPr>
          <w:rFonts w:hint="eastAsia" w:ascii="仿宋_GB2312" w:eastAsia="仿宋_GB2312" w:cs="Times New Roman"/>
          <w:b/>
          <w:bCs/>
          <w:sz w:val="32"/>
          <w:szCs w:val="32"/>
          <w:lang w:val="en-US" w:eastAsia="zh-CN"/>
        </w:rPr>
        <w:t>二是推进送政策解难题服务。</w:t>
      </w:r>
      <w:r>
        <w:rPr>
          <w:rFonts w:hint="eastAsia" w:ascii="仿宋_GB2312" w:eastAsia="仿宋_GB2312" w:cs="Times New Roman"/>
          <w:b w:val="0"/>
          <w:bCs w:val="0"/>
          <w:sz w:val="32"/>
          <w:szCs w:val="32"/>
          <w:lang w:val="en-US" w:eastAsia="zh-CN"/>
        </w:rPr>
        <w:t>结合</w:t>
      </w:r>
      <w:r>
        <w:rPr>
          <w:rFonts w:hint="eastAsia" w:ascii="仿宋_GB2312" w:eastAsia="仿宋_GB2312" w:cs="Times New Roman"/>
          <w:sz w:val="32"/>
          <w:szCs w:val="32"/>
          <w:lang w:val="en-US" w:eastAsia="zh-CN"/>
        </w:rPr>
        <w:t>优化营商环境的决策部署和人社专员联百企“送政策、解难题、优服务”专项行动要求，实地走访了鲁丽木业、德力重工、家乐竹木、新煜田、合鑫不锈钢等近20余家结对服务企业，通过“点对点、面对面”走访企业负责人、人力资源相关代表、车间员工，帮助企业解决涉及人社领域中的实际困难问题，</w:t>
      </w:r>
      <w:r>
        <w:rPr>
          <w:rFonts w:hint="eastAsia" w:ascii="仿宋_GB2312" w:eastAsia="仿宋_GB2312" w:cs="Times New Roman"/>
          <w:spacing w:val="0"/>
          <w:sz w:val="32"/>
          <w:szCs w:val="32"/>
          <w:lang w:val="en-US" w:eastAsia="zh-CN"/>
        </w:rPr>
        <w:t>为企业纾困解难促发展提供了高质量的人力资源和社会保障方面的服务。</w:t>
      </w:r>
    </w:p>
    <w:p w14:paraId="051BCF12">
      <w:pPr>
        <w:pStyle w:val="2"/>
        <w:keepNext w:val="0"/>
        <w:keepLines w:val="0"/>
        <w:pageBreakBefore w:val="0"/>
        <w:widowControl w:val="0"/>
        <w:kinsoku/>
        <w:wordWrap/>
        <w:overflowPunct/>
        <w:topLinePunct w:val="0"/>
        <w:autoSpaceDE/>
        <w:autoSpaceDN/>
        <w:bidi w:val="0"/>
        <w:adjustRightInd/>
        <w:snapToGrid/>
        <w:spacing w:after="0" w:line="560" w:lineRule="exact"/>
        <w:ind w:left="0" w:firstLine="643" w:firstLineChars="200"/>
        <w:textAlignment w:val="auto"/>
        <w:rPr>
          <w:rFonts w:hint="eastAsia" w:ascii="仿宋" w:hAnsi="仿宋" w:eastAsia="仿宋" w:cs="仿宋"/>
          <w:b w:val="0"/>
          <w:bCs w:val="0"/>
          <w:color w:val="auto"/>
          <w:sz w:val="32"/>
          <w:szCs w:val="32"/>
          <w:lang w:val="en-US" w:eastAsia="zh-CN"/>
        </w:rPr>
      </w:pPr>
      <w:r>
        <w:rPr>
          <w:rFonts w:hint="eastAsia" w:ascii="楷体_GB2312" w:hAnsi="楷体_GB2312" w:eastAsia="楷体_GB2312" w:cs="楷体_GB2312"/>
          <w:b/>
          <w:bCs w:val="0"/>
          <w:sz w:val="32"/>
          <w:szCs w:val="32"/>
          <w:lang w:val="en-US" w:eastAsia="zh-CN"/>
        </w:rPr>
        <w:t>3.</w:t>
      </w:r>
      <w:r>
        <w:rPr>
          <w:rFonts w:hint="eastAsia" w:ascii="楷体_GB2312" w:hAnsi="楷体_GB2312" w:eastAsia="楷体_GB2312" w:cs="楷体_GB2312"/>
          <w:b/>
          <w:bCs w:val="0"/>
          <w:color w:val="auto"/>
          <w:sz w:val="32"/>
          <w:szCs w:val="32"/>
          <w:lang w:val="en-US" w:eastAsia="zh-CN"/>
        </w:rPr>
        <w:t>案件评查再创佳绩。</w:t>
      </w:r>
      <w:r>
        <w:rPr>
          <w:rFonts w:hint="eastAsia" w:ascii="仿宋_GB2312" w:hAnsi="仿宋_GB2312" w:eastAsia="仿宋_GB2312" w:cs="仿宋_GB2312"/>
          <w:color w:val="auto"/>
          <w:kern w:val="2"/>
          <w:sz w:val="32"/>
          <w:szCs w:val="32"/>
          <w:lang w:val="en-US" w:eastAsia="zh-CN" w:bidi="ar-SA"/>
        </w:rPr>
        <w:t>以仲裁案件评查为契机，坚持“以评促改，以改促进</w:t>
      </w:r>
      <w:r>
        <w:rPr>
          <w:rFonts w:hint="default"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的原则，通过全面、深入的自查，发现存在的问题和不足，进一步规范仲裁办案工作，确保仲裁的公正、公平。2023年、2024年，我县是全市唯一连续两年被市人社局推荐迎接省人社厅仲裁案件评查的县区，得到省市的肯定和赞许。</w:t>
      </w:r>
      <w:r>
        <w:rPr>
          <w:rFonts w:hint="eastAsia" w:ascii="仿宋_GB2312" w:hAnsi="仿宋_GB2312" w:eastAsia="仿宋_GB2312" w:cs="仿宋_GB2312"/>
          <w:b/>
          <w:bCs/>
          <w:color w:val="auto"/>
          <w:kern w:val="2"/>
          <w:sz w:val="32"/>
          <w:szCs w:val="32"/>
          <w:lang w:val="en-US" w:eastAsia="zh-CN" w:bidi="ar-SA"/>
        </w:rPr>
        <w:t>一是完善制度体系。</w:t>
      </w:r>
      <w:r>
        <w:rPr>
          <w:rFonts w:hint="eastAsia" w:ascii="仿宋_GB2312" w:hAnsi="仿宋_GB2312" w:eastAsia="仿宋_GB2312" w:cs="仿宋_GB2312"/>
          <w:color w:val="auto"/>
          <w:kern w:val="2"/>
          <w:sz w:val="32"/>
          <w:szCs w:val="32"/>
          <w:lang w:val="en-US" w:eastAsia="zh-CN" w:bidi="ar-SA"/>
        </w:rPr>
        <w:t>认真落实国家和省市关于仲裁工作的法律法规，组织全体仲裁员学习贯彻，将上级规定落实到每一个案件中，确保案件法律政策适用口径一致，确保公平公正。积极选派年青仲裁员参加各类培训、案例研讨会。积极承担全市仲裁案例研讨会，通过大会研讨、观看党性教育影片、仲裁沙龙以及规范基层(乡镇)仲裁庭建设等方式开展，进一步规范了仲裁办案、提高办案质量、统一调裁标准。加强仲裁与诉讼机制建设，与县人民法院召开座谈会，双方重点围绕司法实践中的痛点和堵点问题如案件的受理、社会保险的缴纳、劳动关系的认定、法律的适用、信息数据的共享、劳动监察执法等方面进行了深入探讨与交流，并就相关问题达成了共识。推进仲裁建议书制度落实，就劳动纠纷多发、易发用人单位发出仲裁建议书，指导单位规范用工，提升矛盾化解能力。</w:t>
      </w:r>
      <w:r>
        <w:rPr>
          <w:rFonts w:hint="eastAsia" w:ascii="仿宋_GB2312" w:hAnsi="仿宋_GB2312" w:eastAsia="仿宋_GB2312" w:cs="仿宋_GB2312"/>
          <w:b/>
          <w:bCs/>
          <w:color w:val="auto"/>
          <w:kern w:val="2"/>
          <w:sz w:val="32"/>
          <w:szCs w:val="32"/>
          <w:lang w:val="en-US" w:eastAsia="zh-CN" w:bidi="ar-SA"/>
        </w:rPr>
        <w:t>二是强化程序执行。</w:t>
      </w:r>
      <w:r>
        <w:rPr>
          <w:rFonts w:hint="eastAsia" w:ascii="仿宋_GB2312" w:hAnsi="仿宋_GB2312" w:eastAsia="仿宋_GB2312" w:cs="仿宋_GB2312"/>
          <w:color w:val="auto"/>
          <w:kern w:val="2"/>
          <w:sz w:val="32"/>
          <w:szCs w:val="32"/>
          <w:lang w:val="en-US" w:eastAsia="zh-CN" w:bidi="ar-SA"/>
        </w:rPr>
        <w:t>优化仲裁立案机制，进一步严格立案程序，建立健全容缺办理机制，实行一次性告知制度。</w:t>
      </w:r>
      <w:r>
        <w:rPr>
          <w:rFonts w:hint="eastAsia" w:ascii="仿宋_GB2312" w:hAnsi="仿宋_GB2312" w:eastAsia="仿宋_GB2312" w:cs="仿宋_GB2312"/>
          <w:color w:val="auto"/>
          <w:sz w:val="32"/>
          <w:szCs w:val="32"/>
          <w:u w:val="none"/>
          <w:lang w:val="en-US" w:eastAsia="zh-CN" w:bidi="ar"/>
        </w:rPr>
        <w:t>积极开辟维权绿色通道，想方设法为农民工、工伤致残职工等弱势群体开通绿色通道，通过“快立、快审、快结”确保弱势群体的合法权益得到及时维护。</w:t>
      </w:r>
      <w:r>
        <w:rPr>
          <w:rFonts w:hint="eastAsia" w:ascii="仿宋_GB2312" w:hAnsi="仿宋_GB2312" w:eastAsia="仿宋_GB2312" w:cs="仿宋_GB2312"/>
          <w:color w:val="auto"/>
          <w:sz w:val="32"/>
          <w:szCs w:val="32"/>
        </w:rPr>
        <w:t>合理安排案件开庭，充分做好前期准备，力争案前全力调解、案中规范审理、案后依法仲裁。坚持调解至上原则，多方位、多渠道组织双方当事人沟通交流，</w:t>
      </w:r>
      <w:r>
        <w:rPr>
          <w:rFonts w:hint="eastAsia" w:ascii="仿宋_GB2312" w:hAnsi="仿宋_GB2312" w:eastAsia="仿宋_GB2312" w:cs="仿宋_GB2312"/>
          <w:color w:val="auto"/>
          <w:sz w:val="32"/>
          <w:szCs w:val="32"/>
          <w:lang w:eastAsia="zh-CN"/>
        </w:rPr>
        <w:t>做到</w:t>
      </w:r>
      <w:r>
        <w:rPr>
          <w:rFonts w:hint="eastAsia" w:ascii="仿宋_GB2312" w:hAnsi="仿宋_GB2312" w:eastAsia="仿宋_GB2312" w:cs="仿宋_GB2312"/>
          <w:color w:val="auto"/>
          <w:sz w:val="32"/>
          <w:szCs w:val="32"/>
        </w:rPr>
        <w:t>矛盾得到及时化解。规范案件办理。根据仲裁法和人社部办案规则规定，抓实案件各个工作环节，完善案件登记、受理、通知、签收等环节，做到规范有序。</w:t>
      </w:r>
      <w:r>
        <w:rPr>
          <w:rFonts w:hint="eastAsia" w:ascii="仿宋_GB2312" w:hAnsi="仿宋_GB2312" w:eastAsia="仿宋_GB2312" w:cs="仿宋_GB2312"/>
          <w:b/>
          <w:bCs/>
          <w:color w:val="auto"/>
          <w:kern w:val="2"/>
          <w:sz w:val="32"/>
          <w:szCs w:val="32"/>
          <w:lang w:val="en-US" w:eastAsia="zh-CN" w:bidi="ar-SA"/>
        </w:rPr>
        <w:t>三是案件核查获好评。</w:t>
      </w:r>
      <w:r>
        <w:rPr>
          <w:rFonts w:hint="eastAsia" w:ascii="仿宋_GB2312" w:eastAsia="仿宋_GB2312" w:cs="Times New Roman"/>
          <w:b w:val="0"/>
          <w:bCs w:val="0"/>
          <w:kern w:val="2"/>
          <w:sz w:val="32"/>
          <w:szCs w:val="32"/>
          <w:lang w:val="en-US" w:eastAsia="zh-CN" w:bidi="ar-SA"/>
        </w:rPr>
        <w:t>6</w:t>
      </w:r>
      <w:r>
        <w:rPr>
          <w:rFonts w:hint="eastAsia" w:ascii="仿宋_GB2312" w:hAnsi="Calibri" w:eastAsia="仿宋_GB2312" w:cs="Times New Roman"/>
          <w:b w:val="0"/>
          <w:bCs w:val="0"/>
          <w:kern w:val="2"/>
          <w:sz w:val="32"/>
          <w:szCs w:val="32"/>
          <w:lang w:val="en-US" w:eastAsia="zh-CN" w:bidi="ar-SA"/>
        </w:rPr>
        <w:t>月中旬</w:t>
      </w:r>
      <w:r>
        <w:rPr>
          <w:rFonts w:hint="eastAsia" w:ascii="仿宋_GB2312" w:eastAsia="仿宋_GB2312" w:cs="Times New Roman"/>
          <w:b w:val="0"/>
          <w:bCs w:val="0"/>
          <w:kern w:val="2"/>
          <w:sz w:val="32"/>
          <w:szCs w:val="32"/>
          <w:lang w:val="en-US" w:eastAsia="zh-CN" w:bidi="ar-SA"/>
        </w:rPr>
        <w:t>，</w:t>
      </w:r>
      <w:r>
        <w:rPr>
          <w:rFonts w:hint="eastAsia" w:ascii="仿宋_GB2312" w:eastAsia="仿宋_GB2312" w:cs="Times New Roman"/>
          <w:b w:val="0"/>
          <w:bCs w:val="0"/>
          <w:sz w:val="32"/>
          <w:szCs w:val="32"/>
          <w:lang w:val="en-US" w:eastAsia="zh-CN"/>
        </w:rPr>
        <w:t>由省人社厅组织的案件评查组来新田开展劳动人事争议仲裁工作调研和案件评查，这是我县连续两年被市人社局推荐迎接省案件评查工作。评查组听取了新田县劳动人事争议仲裁工作情况汇报，通过采取集中查阅案卷、座谈交流的方式，对法律政策适用、优化仲裁程序、强化裁审衔接建设、加强农民工工资争议案件处理和仲裁文书质量等方面开展评查。同时，对随机抽取的2023年以来的案卷进行了严谨细致地审查。</w:t>
      </w:r>
      <w:r>
        <w:rPr>
          <w:rFonts w:hint="eastAsia" w:ascii="仿宋" w:hAnsi="仿宋" w:eastAsia="仿宋" w:cs="仿宋"/>
          <w:b w:val="0"/>
          <w:bCs w:val="0"/>
          <w:color w:val="auto"/>
          <w:sz w:val="32"/>
          <w:szCs w:val="32"/>
          <w:lang w:val="en-US" w:eastAsia="zh-CN"/>
        </w:rPr>
        <w:t>对我县劳动人事争议调解仲裁工作给予了充分肯定和高度评价。</w:t>
      </w:r>
    </w:p>
    <w:p w14:paraId="5BD471C0">
      <w:pPr>
        <w:keepNext w:val="0"/>
        <w:keepLines w:val="0"/>
        <w:pageBreakBefore w:val="0"/>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color w:val="auto"/>
          <w:kern w:val="2"/>
          <w:sz w:val="32"/>
          <w:szCs w:val="32"/>
          <w:u w:val="none"/>
          <w:lang w:val="en-US" w:eastAsia="zh-CN" w:bidi="ar"/>
        </w:rPr>
      </w:pPr>
      <w:r>
        <w:rPr>
          <w:rFonts w:hint="eastAsia" w:ascii="楷体_GB2312" w:hAnsi="楷体_GB2312" w:eastAsia="楷体_GB2312" w:cs="楷体_GB2312"/>
          <w:b/>
          <w:bCs w:val="0"/>
          <w:sz w:val="32"/>
          <w:szCs w:val="32"/>
          <w:lang w:val="en-US" w:eastAsia="zh-CN"/>
        </w:rPr>
        <w:t>4.多元处理有新的突破。</w:t>
      </w:r>
      <w:r>
        <w:rPr>
          <w:rFonts w:hint="eastAsia" w:ascii="仿宋_GB2312" w:hAnsi="仿宋_GB2312" w:eastAsia="仿宋_GB2312" w:cs="仿宋_GB2312"/>
          <w:b/>
          <w:bCs/>
          <w:color w:val="auto"/>
          <w:kern w:val="2"/>
          <w:sz w:val="32"/>
          <w:szCs w:val="32"/>
          <w:u w:val="none"/>
          <w:lang w:val="en-US" w:eastAsia="zh-CN" w:bidi="ar"/>
        </w:rPr>
        <w:t>一是探索“工会+仲裁”劳动者维权新路径。</w:t>
      </w:r>
      <w:r>
        <w:rPr>
          <w:rFonts w:hint="eastAsia" w:ascii="仿宋_GB2312" w:hAnsi="仿宋_GB2312" w:eastAsia="仿宋_GB2312" w:cs="仿宋_GB2312"/>
          <w:color w:val="auto"/>
          <w:kern w:val="2"/>
          <w:sz w:val="32"/>
          <w:szCs w:val="32"/>
          <w:u w:val="none"/>
          <w:lang w:val="en-US" w:eastAsia="zh-CN" w:bidi="ar"/>
        </w:rPr>
        <w:fldChar w:fldCharType="begin"/>
      </w:r>
      <w:r>
        <w:rPr>
          <w:rFonts w:hint="eastAsia" w:ascii="仿宋_GB2312" w:hAnsi="仿宋_GB2312" w:eastAsia="仿宋_GB2312" w:cs="仿宋_GB2312"/>
          <w:color w:val="auto"/>
          <w:kern w:val="2"/>
          <w:sz w:val="32"/>
          <w:szCs w:val="32"/>
          <w:u w:val="none"/>
          <w:lang w:val="en-US" w:eastAsia="zh-CN" w:bidi="ar"/>
        </w:rPr>
        <w:instrText xml:space="preserve"> HYPERLINK "javascript:void(0)" \o "分享到新浪微博" </w:instrText>
      </w:r>
      <w:r>
        <w:rPr>
          <w:rFonts w:hint="eastAsia" w:ascii="仿宋_GB2312" w:hAnsi="仿宋_GB2312" w:eastAsia="仿宋_GB2312" w:cs="仿宋_GB2312"/>
          <w:color w:val="auto"/>
          <w:kern w:val="2"/>
          <w:sz w:val="32"/>
          <w:szCs w:val="32"/>
          <w:u w:val="none"/>
          <w:lang w:val="en-US" w:eastAsia="zh-CN" w:bidi="ar"/>
        </w:rPr>
        <w:fldChar w:fldCharType="separate"/>
      </w:r>
      <w:r>
        <w:rPr>
          <w:rFonts w:hint="eastAsia" w:ascii="仿宋_GB2312" w:hAnsi="仿宋_GB2312" w:eastAsia="仿宋_GB2312" w:cs="仿宋_GB2312"/>
          <w:color w:val="auto"/>
          <w:kern w:val="2"/>
          <w:sz w:val="32"/>
          <w:szCs w:val="32"/>
          <w:u w:val="none"/>
          <w:lang w:val="en-US" w:eastAsia="zh-CN" w:bidi="ar"/>
        </w:rPr>
        <w:fldChar w:fldCharType="end"/>
      </w:r>
      <w:r>
        <w:rPr>
          <w:rFonts w:hint="eastAsia" w:ascii="仿宋_GB2312" w:hAnsi="仿宋_GB2312" w:eastAsia="仿宋_GB2312" w:cs="仿宋_GB2312"/>
          <w:color w:val="auto"/>
          <w:kern w:val="2"/>
          <w:sz w:val="32"/>
          <w:szCs w:val="32"/>
          <w:u w:val="none"/>
          <w:lang w:val="en-US" w:eastAsia="zh-CN" w:bidi="ar"/>
        </w:rPr>
        <w:fldChar w:fldCharType="begin"/>
      </w:r>
      <w:r>
        <w:rPr>
          <w:rFonts w:hint="eastAsia" w:ascii="仿宋_GB2312" w:hAnsi="仿宋_GB2312" w:eastAsia="仿宋_GB2312" w:cs="仿宋_GB2312"/>
          <w:color w:val="auto"/>
          <w:kern w:val="2"/>
          <w:sz w:val="32"/>
          <w:szCs w:val="32"/>
          <w:u w:val="none"/>
          <w:lang w:val="en-US" w:eastAsia="zh-CN" w:bidi="ar"/>
        </w:rPr>
        <w:instrText xml:space="preserve"> HYPERLINK "javascript:void(0)" \o "分享到QQ空间" </w:instrText>
      </w:r>
      <w:r>
        <w:rPr>
          <w:rFonts w:hint="eastAsia" w:ascii="仿宋_GB2312" w:hAnsi="仿宋_GB2312" w:eastAsia="仿宋_GB2312" w:cs="仿宋_GB2312"/>
          <w:color w:val="auto"/>
          <w:kern w:val="2"/>
          <w:sz w:val="32"/>
          <w:szCs w:val="32"/>
          <w:u w:val="none"/>
          <w:lang w:val="en-US" w:eastAsia="zh-CN" w:bidi="ar"/>
        </w:rPr>
        <w:fldChar w:fldCharType="separate"/>
      </w:r>
      <w:r>
        <w:rPr>
          <w:rFonts w:hint="eastAsia" w:ascii="仿宋_GB2312" w:hAnsi="仿宋_GB2312" w:eastAsia="仿宋_GB2312" w:cs="仿宋_GB2312"/>
          <w:color w:val="auto"/>
          <w:kern w:val="2"/>
          <w:sz w:val="32"/>
          <w:szCs w:val="32"/>
          <w:u w:val="none"/>
          <w:lang w:val="en-US" w:eastAsia="zh-CN" w:bidi="ar"/>
        </w:rPr>
        <w:fldChar w:fldCharType="end"/>
      </w:r>
      <w:r>
        <w:rPr>
          <w:rFonts w:hint="eastAsia" w:ascii="仿宋_GB2312" w:hAnsi="仿宋_GB2312" w:eastAsia="仿宋_GB2312" w:cs="仿宋_GB2312"/>
          <w:color w:val="auto"/>
          <w:kern w:val="2"/>
          <w:sz w:val="32"/>
          <w:szCs w:val="32"/>
          <w:u w:val="none"/>
          <w:lang w:val="en-US" w:eastAsia="zh-CN" w:bidi="ar"/>
        </w:rPr>
        <w:t>县人社局联合县总工会开辟劳动者维权新路径，成立“工会+人社劳动争议调解室”，进一步将“把非诉讼纠纷解决机制挺在前面”精神落到实处，力争打造及时、高效劳动争议调解新路径。调解室配备3名以上业务素质好、调解经验足的调解员，建立健全各项规章制度，全年预计成功调解案件10件，切实维护当事人合法权益，减少维权成本，让当事人维权更方便快捷、更高效便民。</w:t>
      </w:r>
      <w:r>
        <w:rPr>
          <w:rFonts w:hint="eastAsia" w:ascii="仿宋_GB2312" w:hAnsi="仿宋_GB2312" w:eastAsia="仿宋_GB2312" w:cs="仿宋_GB2312"/>
          <w:b/>
          <w:bCs/>
          <w:color w:val="auto"/>
          <w:kern w:val="2"/>
          <w:sz w:val="32"/>
          <w:szCs w:val="32"/>
          <w:u w:val="none"/>
          <w:lang w:val="en-US" w:eastAsia="zh-CN" w:bidi="ar"/>
        </w:rPr>
        <w:t>二是建立“总对总”在线诉调对接机制。</w:t>
      </w:r>
      <w:r>
        <w:rPr>
          <w:rFonts w:hint="eastAsia" w:ascii="仿宋_GB2312" w:hAnsi="仿宋_GB2312" w:eastAsia="仿宋_GB2312" w:cs="仿宋_GB2312"/>
          <w:color w:val="auto"/>
          <w:kern w:val="2"/>
          <w:sz w:val="32"/>
          <w:szCs w:val="32"/>
          <w:u w:val="none"/>
          <w:lang w:val="en-US" w:eastAsia="zh-CN" w:bidi="ar"/>
        </w:rPr>
        <w:t>根据最高人民法院和人社部统一安排部署，县人社局和县人民法院通过系统对接与机构、人员入驻相结合的方式，探索推进“总对总”在线诉调对接机制建设，逐步畅通线上线下调解与诉讼对接渠道，建立完善调解组织和调解员名册及相关管理制度，根据需要做好案件调解和法院委派委托案件调解等工作。机制的建设完善，可发挥社会多元主体在预防化解矛盾纠纷中的协同协作、互动互补、相辅相成作用，更好促进社会公平正义、维护劳动人事关系和谐与社会稳定。</w:t>
      </w:r>
    </w:p>
    <w:p w14:paraId="5CDB06CD">
      <w:pPr>
        <w:pStyle w:val="6"/>
        <w:spacing w:line="460" w:lineRule="exact"/>
        <w:ind w:firstLine="640"/>
        <w:rPr>
          <w:rFonts w:hint="eastAsia" w:ascii="黑体" w:hAnsi="黑体" w:eastAsia="黑体" w:cs="黑体"/>
          <w:sz w:val="32"/>
          <w:szCs w:val="32"/>
        </w:rPr>
      </w:pPr>
      <w:r>
        <w:rPr>
          <w:rFonts w:hint="eastAsia" w:ascii="黑体" w:hAnsi="黑体" w:eastAsia="黑体" w:cs="黑体"/>
          <w:sz w:val="32"/>
          <w:szCs w:val="32"/>
        </w:rPr>
        <w:t>七、存在的问题及原因分析</w:t>
      </w:r>
    </w:p>
    <w:p w14:paraId="177C3CBA">
      <w:pPr>
        <w:ind w:firstLine="640" w:firstLineChars="200"/>
        <w:rPr>
          <w:rFonts w:hint="eastAsia" w:ascii="仿宋" w:hAnsi="仿宋" w:eastAsia="仿宋"/>
          <w:sz w:val="32"/>
          <w:szCs w:val="32"/>
        </w:rPr>
      </w:pPr>
      <w:r>
        <w:rPr>
          <w:rFonts w:hint="eastAsia" w:ascii="仿宋" w:hAnsi="仿宋" w:eastAsia="仿宋" w:cs="仿宋"/>
          <w:sz w:val="32"/>
          <w:szCs w:val="32"/>
        </w:rPr>
        <w:t>随着部门预算改革的深入，财政预算管理整体水平得到了提升，财政资金使用效益和效果有所提高，但近年来我们在部门预算执行中发现以下问题：预算执行未严格按照时间进度，主要表现在年初、年中用得少，年底用得多。预算编制的计划性和预算执行的管理有待加强，制度的执行有待进一步强化，资金使用的合规性有待进一步规范。</w:t>
      </w:r>
    </w:p>
    <w:p w14:paraId="5216A155">
      <w:pPr>
        <w:ind w:firstLine="640" w:firstLineChars="200"/>
        <w:rPr>
          <w:rFonts w:hint="eastAsia" w:ascii="黑体" w:hAnsi="黑体" w:eastAsia="黑体" w:cs="黑体"/>
          <w:sz w:val="32"/>
          <w:szCs w:val="32"/>
        </w:rPr>
      </w:pPr>
      <w:r>
        <w:rPr>
          <w:rFonts w:hint="eastAsia" w:ascii="黑体" w:hAnsi="黑体" w:eastAsia="黑体" w:cs="黑体"/>
          <w:sz w:val="32"/>
          <w:szCs w:val="32"/>
        </w:rPr>
        <w:t>八、下一步改进措施</w:t>
      </w:r>
    </w:p>
    <w:p w14:paraId="0355CE26">
      <w:pPr>
        <w:spacing w:line="570" w:lineRule="exact"/>
        <w:ind w:firstLine="640" w:firstLineChars="200"/>
        <w:jc w:val="left"/>
        <w:outlineLvl w:val="0"/>
        <w:rPr>
          <w:rFonts w:ascii="仿宋" w:hAnsi="仿宋" w:eastAsia="仿宋"/>
          <w:sz w:val="32"/>
          <w:szCs w:val="32"/>
        </w:rPr>
      </w:pPr>
      <w:r>
        <w:rPr>
          <w:rFonts w:hint="eastAsia" w:ascii="仿宋" w:hAnsi="仿宋" w:eastAsia="仿宋" w:cs="仿宋"/>
          <w:sz w:val="32"/>
          <w:szCs w:val="32"/>
        </w:rPr>
        <w:t>争取严格按照时间进度安排支出，财务督促办公室每季度进行结账，避免集中在年底支出，确保费用核算的及时性和完整性。</w:t>
      </w:r>
    </w:p>
    <w:p w14:paraId="3F0C06AD">
      <w:pPr>
        <w:spacing w:line="460" w:lineRule="exact"/>
        <w:ind w:firstLine="640" w:firstLineChars="200"/>
        <w:rPr>
          <w:rFonts w:ascii="仿宋" w:hAnsi="仿宋" w:eastAsia="仿宋"/>
          <w:sz w:val="32"/>
          <w:szCs w:val="32"/>
        </w:rPr>
      </w:pPr>
    </w:p>
    <w:p w14:paraId="1556CD91">
      <w:pPr>
        <w:spacing w:line="4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九、部门整体支出绩效自评结果拟应用和公开情况</w:t>
      </w:r>
    </w:p>
    <w:p w14:paraId="6BE4A537">
      <w:pPr>
        <w:spacing w:line="4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十、其他需要说明的情况</w:t>
      </w:r>
    </w:p>
    <w:p w14:paraId="3D4DBB8D">
      <w:pPr>
        <w:rPr>
          <w:rFonts w:hint="eastAsia" w:ascii="黑体" w:hAnsi="黑体" w:eastAsia="黑体" w:cs="黑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楷体_GB2312">
    <w:altName w:val="楷体"/>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67DCB"/>
    <w:rsid w:val="00167DCB"/>
    <w:rsid w:val="00C222E3"/>
    <w:rsid w:val="356B54B4"/>
    <w:rsid w:val="586D3A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pPr>
    <w:rPr>
      <w:rFonts w:ascii="Times New Roman" w:hAnsi="Times New Roman"/>
    </w:rPr>
  </w:style>
  <w:style w:type="paragraph" w:customStyle="1" w:styleId="5">
    <w:name w:val="列出段落1"/>
    <w:basedOn w:val="1"/>
    <w:qFormat/>
    <w:uiPriority w:val="34"/>
    <w:pPr>
      <w:ind w:firstLine="420" w:firstLineChars="200"/>
    </w:pPr>
    <w:rPr>
      <w:rFonts w:ascii="仿宋" w:hAnsi="仿宋"/>
      <w:kern w:val="0"/>
      <w:sz w:val="28"/>
    </w:rPr>
  </w:style>
  <w:style w:type="paragraph" w:styleId="6">
    <w:name w:val="List Paragraph"/>
    <w:basedOn w:val="1"/>
    <w:qFormat/>
    <w:uiPriority w:val="99"/>
    <w:pPr>
      <w:ind w:firstLine="420" w:firstLineChars="200"/>
    </w:pPr>
    <w:rPr>
      <w:rFonts w:ascii="Calibri" w:hAnsi="Calibri"/>
      <w:kern w:val="0"/>
      <w:sz w:val="28"/>
      <w:szCs w:val="22"/>
    </w:rPr>
  </w:style>
  <w:style w:type="paragraph" w:customStyle="1" w:styleId="7">
    <w:name w:val="正文首行缩进 211"/>
    <w:qFormat/>
    <w:uiPriority w:val="0"/>
    <w:pPr>
      <w:autoSpaceDE w:val="0"/>
      <w:ind w:left="420" w:firstLine="420"/>
    </w:pPr>
    <w:rPr>
      <w:rFonts w:ascii="Times New Roman" w:hAnsi="Times New Roman" w:eastAsia="Times New Roman" w:cs="Times New Roman"/>
      <w:kern w:val="0"/>
      <w:sz w:val="21"/>
      <w:szCs w:val="20"/>
      <w:lang w:val="en-US" w:eastAsia="zh-CN" w:bidi="ar-SA"/>
    </w:rPr>
  </w:style>
  <w:style w:type="paragraph" w:customStyle="1" w:styleId="8">
    <w:name w:val="Default"/>
    <w:qFormat/>
    <w:uiPriority w:val="0"/>
    <w:pPr>
      <w:widowControl w:val="0"/>
      <w:autoSpaceDE w:val="0"/>
      <w:autoSpaceDN w:val="0"/>
      <w:adjustRightInd w:val="0"/>
    </w:pPr>
    <w:rPr>
      <w:rFonts w:ascii="黑体" w:hAnsi="Calibri" w:eastAsia="黑体" w:cs="黑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3030</Words>
  <Characters>3141</Characters>
  <Lines>17</Lines>
  <Paragraphs>5</Paragraphs>
  <TotalTime>1</TotalTime>
  <ScaleCrop>false</ScaleCrop>
  <LinksUpToDate>false</LinksUpToDate>
  <CharactersWithSpaces>3141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2024-05-28T08:49:00Z</dcterms:created>
  <dc:creator>Administrator</dc:creator>
  <cp:lastModifiedBy>斐哥</cp:lastModifiedBy>
  <dcterms:modified xsi:type="dcterms:W3CDTF">2025-06-17T03:07:01Z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eyJoZGlkIjoiNzkxZWZlODdmZTNhNGJhOWRlZjUxZmUxNTVjMzhlN2IiLCJ1c2VySWQiOiI1MjgwMjEyMzYifQ==</vt:lpwstr>
  </property>
  <property fmtid="{D5CDD505-2E9C-101B-9397-08002B2CF9AE}" pid="3" name="KSOProductBuildVer">
    <vt:lpwstr>2052-12.1.0.21171</vt:lpwstr>
  </property>
  <property fmtid="{D5CDD505-2E9C-101B-9397-08002B2CF9AE}" pid="4" name="ICV">
    <vt:lpwstr>02AD91434D184EEFA243145E751A43AD_12</vt:lpwstr>
  </property>
</Properties>
</file>