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8559FCF">
      <w:pPr>
        <w:rPr>
          <w:rFonts w:eastAsia="黑体"/>
          <w:sz w:val="32"/>
          <w:szCs w:val="32"/>
        </w:rPr>
      </w:pPr>
      <w:r>
        <w:rPr>
          <w:rFonts w:eastAsia="黑体"/>
          <w:sz w:val="32"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-1069975</wp:posOffset>
            </wp:positionH>
            <wp:positionV relativeFrom="paragraph">
              <wp:posOffset>-755650</wp:posOffset>
            </wp:positionV>
            <wp:extent cx="7557135" cy="10385425"/>
            <wp:effectExtent l="0" t="0" r="5715" b="15875"/>
            <wp:wrapNone/>
            <wp:docPr id="3" name="图片 3" descr="整体自评报告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整体自评报告_0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7135" cy="10385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黑体"/>
          <w:sz w:val="32"/>
          <w:szCs w:val="32"/>
        </w:rPr>
        <w:t>附件1</w:t>
      </w:r>
    </w:p>
    <w:p w14:paraId="1EEF9C09">
      <w:pPr>
        <w:spacing w:line="600" w:lineRule="exact"/>
        <w:rPr>
          <w:rFonts w:eastAsia="黑体"/>
          <w:sz w:val="32"/>
          <w:szCs w:val="32"/>
        </w:rPr>
      </w:pPr>
    </w:p>
    <w:p w14:paraId="165EC150">
      <w:pPr>
        <w:spacing w:line="600" w:lineRule="exact"/>
        <w:rPr>
          <w:rFonts w:eastAsia="黑体"/>
          <w:sz w:val="32"/>
          <w:szCs w:val="32"/>
        </w:rPr>
      </w:pPr>
    </w:p>
    <w:p w14:paraId="47D84B5D">
      <w:pPr>
        <w:spacing w:line="600" w:lineRule="exact"/>
        <w:rPr>
          <w:rFonts w:eastAsia="黑体"/>
          <w:sz w:val="32"/>
          <w:szCs w:val="32"/>
        </w:rPr>
      </w:pPr>
    </w:p>
    <w:p w14:paraId="10840240">
      <w:pPr>
        <w:jc w:val="center"/>
        <w:rPr>
          <w:rFonts w:hint="eastAsia" w:ascii="方正小标宋简体" w:eastAsia="方正小标宋简体"/>
          <w:sz w:val="48"/>
          <w:szCs w:val="48"/>
        </w:rPr>
      </w:pPr>
      <w:r>
        <w:rPr>
          <w:rFonts w:hint="eastAsia" w:ascii="方正小标宋简体" w:eastAsia="方正小标宋简体"/>
          <w:sz w:val="48"/>
          <w:szCs w:val="48"/>
          <w:lang w:eastAsia="zh-CN"/>
        </w:rPr>
        <w:t>2024</w:t>
      </w:r>
      <w:r>
        <w:rPr>
          <w:rFonts w:hint="eastAsia" w:ascii="方正小标宋简体" w:eastAsia="方正小标宋简体"/>
          <w:sz w:val="48"/>
          <w:szCs w:val="48"/>
        </w:rPr>
        <w:t>年度新田县</w:t>
      </w:r>
      <w:r>
        <w:rPr>
          <w:rFonts w:hint="eastAsia" w:ascii="方正小标宋简体" w:eastAsia="方正小标宋简体"/>
          <w:sz w:val="48"/>
          <w:szCs w:val="48"/>
          <w:lang w:val="en-US" w:eastAsia="zh-CN"/>
        </w:rPr>
        <w:t>知市坪中心</w:t>
      </w:r>
      <w:r>
        <w:rPr>
          <w:rFonts w:hint="eastAsia" w:ascii="方正小标宋简体" w:eastAsia="方正小标宋简体"/>
          <w:sz w:val="48"/>
          <w:szCs w:val="48"/>
        </w:rPr>
        <w:t>校整体支出</w:t>
      </w:r>
    </w:p>
    <w:p w14:paraId="2847C702">
      <w:pPr>
        <w:jc w:val="center"/>
        <w:rPr>
          <w:rFonts w:hint="eastAsia" w:ascii="方正小标宋简体" w:eastAsia="方正小标宋简体"/>
          <w:sz w:val="48"/>
          <w:szCs w:val="48"/>
        </w:rPr>
      </w:pPr>
      <w:r>
        <w:rPr>
          <w:rFonts w:hint="eastAsia" w:ascii="方正小标宋简体" w:eastAsia="方正小标宋简体"/>
          <w:sz w:val="48"/>
          <w:szCs w:val="48"/>
        </w:rPr>
        <w:t>绩效自评报告</w:t>
      </w:r>
    </w:p>
    <w:p w14:paraId="080AC12F">
      <w:pPr>
        <w:jc w:val="center"/>
        <w:rPr>
          <w:rFonts w:eastAsia="方正小标宋_GBK"/>
          <w:b/>
          <w:sz w:val="52"/>
          <w:szCs w:val="52"/>
        </w:rPr>
      </w:pPr>
    </w:p>
    <w:p w14:paraId="61F2C106">
      <w:pPr>
        <w:jc w:val="center"/>
        <w:rPr>
          <w:rFonts w:eastAsia="楷体_GB2312"/>
          <w:b/>
          <w:sz w:val="32"/>
          <w:szCs w:val="32"/>
        </w:rPr>
      </w:pPr>
    </w:p>
    <w:p w14:paraId="5F91C8F2">
      <w:pPr>
        <w:jc w:val="center"/>
        <w:rPr>
          <w:rFonts w:eastAsia="楷体_GB2312"/>
          <w:b/>
          <w:sz w:val="32"/>
          <w:szCs w:val="32"/>
        </w:rPr>
      </w:pPr>
    </w:p>
    <w:p w14:paraId="1C0B7231">
      <w:pPr>
        <w:jc w:val="center"/>
        <w:rPr>
          <w:rFonts w:eastAsia="楷体_GB2312"/>
          <w:b/>
          <w:sz w:val="32"/>
          <w:szCs w:val="32"/>
        </w:rPr>
      </w:pPr>
    </w:p>
    <w:p w14:paraId="39DF87BE">
      <w:pPr>
        <w:jc w:val="center"/>
        <w:rPr>
          <w:rFonts w:eastAsia="楷体_GB2312"/>
          <w:b/>
          <w:sz w:val="32"/>
          <w:szCs w:val="32"/>
        </w:rPr>
      </w:pPr>
    </w:p>
    <w:p w14:paraId="3F297E2C">
      <w:pPr>
        <w:jc w:val="center"/>
        <w:rPr>
          <w:rFonts w:eastAsia="楷体_GB2312"/>
          <w:b/>
          <w:sz w:val="32"/>
          <w:szCs w:val="32"/>
        </w:rPr>
      </w:pPr>
    </w:p>
    <w:p w14:paraId="226F21F3">
      <w:pPr>
        <w:jc w:val="center"/>
        <w:rPr>
          <w:rFonts w:eastAsia="楷体_GB2312"/>
          <w:b/>
          <w:sz w:val="32"/>
          <w:szCs w:val="32"/>
        </w:rPr>
      </w:pPr>
    </w:p>
    <w:p w14:paraId="76B6FB31">
      <w:pPr>
        <w:jc w:val="center"/>
        <w:rPr>
          <w:rFonts w:eastAsia="黑体"/>
          <w:sz w:val="32"/>
          <w:szCs w:val="32"/>
        </w:rPr>
      </w:pPr>
    </w:p>
    <w:p w14:paraId="231482B8">
      <w:pPr>
        <w:jc w:val="center"/>
        <w:rPr>
          <w:rFonts w:eastAsia="黑体"/>
          <w:sz w:val="32"/>
          <w:szCs w:val="32"/>
        </w:rPr>
      </w:pPr>
    </w:p>
    <w:p w14:paraId="71C258D7">
      <w:pPr>
        <w:spacing w:line="600" w:lineRule="exact"/>
        <w:jc w:val="center"/>
        <w:rPr>
          <w:rFonts w:eastAsia="仿宋_GB2312"/>
          <w:sz w:val="32"/>
          <w:szCs w:val="32"/>
          <w:u w:val="single"/>
        </w:rPr>
      </w:pPr>
      <w:r>
        <w:rPr>
          <w:rFonts w:eastAsia="仿宋_GB2312"/>
          <w:sz w:val="32"/>
          <w:szCs w:val="32"/>
        </w:rPr>
        <w:t>单位名称：</w:t>
      </w:r>
      <w:r>
        <w:rPr>
          <w:rFonts w:eastAsia="仿宋_GB2312"/>
          <w:sz w:val="32"/>
          <w:szCs w:val="32"/>
          <w:u w:val="single"/>
        </w:rPr>
        <w:t>（盖章）</w:t>
      </w:r>
    </w:p>
    <w:p w14:paraId="0F55D0CC">
      <w:pPr>
        <w:spacing w:line="600" w:lineRule="exact"/>
        <w:ind w:firstLine="3200" w:firstLineChars="1000"/>
        <w:rPr>
          <w:rFonts w:eastAsia="楷体_GB2312"/>
          <w:sz w:val="32"/>
          <w:szCs w:val="32"/>
        </w:rPr>
      </w:pPr>
      <w:r>
        <w:rPr>
          <w:rFonts w:hint="eastAsia" w:eastAsia="楷体_GB2312"/>
          <w:sz w:val="32"/>
          <w:szCs w:val="32"/>
        </w:rPr>
        <w:t>202</w:t>
      </w:r>
      <w:r>
        <w:rPr>
          <w:rFonts w:hint="eastAsia" w:eastAsia="楷体_GB2312"/>
          <w:sz w:val="32"/>
          <w:szCs w:val="32"/>
          <w:lang w:val="en-US" w:eastAsia="zh-CN"/>
        </w:rPr>
        <w:t>5</w:t>
      </w:r>
      <w:r>
        <w:rPr>
          <w:rFonts w:eastAsia="楷体_GB2312"/>
          <w:sz w:val="32"/>
          <w:szCs w:val="32"/>
        </w:rPr>
        <w:t>年</w:t>
      </w:r>
      <w:r>
        <w:rPr>
          <w:rFonts w:hint="eastAsia" w:eastAsia="楷体_GB2312"/>
          <w:sz w:val="32"/>
          <w:szCs w:val="32"/>
          <w:lang w:val="en-US" w:eastAsia="zh-CN"/>
        </w:rPr>
        <w:t>6</w:t>
      </w:r>
      <w:r>
        <w:rPr>
          <w:rFonts w:eastAsia="楷体_GB2312"/>
          <w:sz w:val="32"/>
          <w:szCs w:val="32"/>
        </w:rPr>
        <w:t>月</w:t>
      </w:r>
      <w:r>
        <w:rPr>
          <w:rFonts w:hint="eastAsia" w:eastAsia="楷体_GB2312"/>
          <w:sz w:val="32"/>
          <w:szCs w:val="32"/>
          <w:lang w:val="en-US" w:eastAsia="zh-CN"/>
        </w:rPr>
        <w:t>16</w:t>
      </w:r>
      <w:r>
        <w:rPr>
          <w:rFonts w:eastAsia="楷体_GB2312"/>
          <w:sz w:val="32"/>
          <w:szCs w:val="32"/>
        </w:rPr>
        <w:t>日</w:t>
      </w:r>
    </w:p>
    <w:p w14:paraId="36BB58DA">
      <w:pPr>
        <w:jc w:val="center"/>
        <w:rPr>
          <w:rFonts w:eastAsia="黑体"/>
          <w:sz w:val="32"/>
          <w:szCs w:val="32"/>
        </w:rPr>
      </w:pPr>
    </w:p>
    <w:p w14:paraId="750AF492">
      <w:pPr>
        <w:jc w:val="center"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t>（此页为封面）</w:t>
      </w:r>
    </w:p>
    <w:p w14:paraId="70498848">
      <w:pPr>
        <w:spacing w:line="460" w:lineRule="exact"/>
        <w:ind w:firstLine="640" w:firstLineChars="200"/>
        <w:rPr>
          <w:rFonts w:eastAsia="黑体"/>
          <w:sz w:val="32"/>
          <w:szCs w:val="32"/>
        </w:rPr>
      </w:pPr>
      <w:r>
        <w:rPr>
          <w:rFonts w:eastAsia="仿宋_GB2312"/>
          <w:sz w:val="32"/>
          <w:szCs w:val="32"/>
        </w:rPr>
        <w:br w:type="page"/>
      </w:r>
      <w:r>
        <w:rPr>
          <w:rFonts w:hint="eastAsia" w:ascii="黑体" w:hAnsi="黑体" w:eastAsia="黑体" w:cs="黑体"/>
          <w:sz w:val="32"/>
          <w:szCs w:val="32"/>
        </w:rPr>
        <w:t>一、</w:t>
      </w:r>
      <w:r>
        <w:rPr>
          <w:rFonts w:eastAsia="黑体"/>
          <w:sz w:val="32"/>
          <w:szCs w:val="32"/>
        </w:rPr>
        <w:t>部门（单位）基本情况</w:t>
      </w:r>
      <w:bookmarkStart w:id="0" w:name="_GoBack"/>
      <w:bookmarkEnd w:id="0"/>
    </w:p>
    <w:p w14:paraId="5A17EF4F">
      <w:pPr>
        <w:snapToGrid w:val="0"/>
        <w:spacing w:line="520" w:lineRule="exact"/>
        <w:ind w:firstLine="640" w:firstLineChars="200"/>
        <w:rPr>
          <w:rFonts w:hint="eastAsia" w:ascii="仿宋" w:hAnsi="仿宋" w:eastAsia="仿宋" w:cs="仿宋"/>
          <w:bCs/>
          <w:sz w:val="32"/>
          <w:szCs w:val="32"/>
        </w:rPr>
      </w:pPr>
      <w:r>
        <w:rPr>
          <w:rFonts w:hint="eastAsia" w:ascii="仿宋" w:hAnsi="仿宋" w:eastAsia="仿宋" w:cs="仿宋"/>
          <w:bCs/>
          <w:sz w:val="32"/>
          <w:szCs w:val="32"/>
        </w:rPr>
        <w:t>（一）部门（单位）职能职责、机构编制、人员构成等。</w:t>
      </w:r>
    </w:p>
    <w:p w14:paraId="7E2D64F1">
      <w:pPr>
        <w:snapToGrid w:val="0"/>
        <w:spacing w:line="520" w:lineRule="exact"/>
        <w:ind w:firstLine="640" w:firstLineChars="200"/>
        <w:rPr>
          <w:rFonts w:hint="eastAsia" w:ascii="仿宋_GB2312" w:hAnsi="仿宋" w:eastAsia="仿宋_GB2312"/>
          <w:sz w:val="32"/>
          <w:szCs w:val="32"/>
        </w:rPr>
      </w:pPr>
      <w:r>
        <w:rPr>
          <w:rFonts w:hint="eastAsia" w:ascii="仿宋_GB2312" w:hAnsi="仿宋" w:eastAsia="仿宋_GB2312"/>
          <w:sz w:val="32"/>
          <w:szCs w:val="32"/>
        </w:rPr>
        <w:t>1.职能职责：实施小学义务教育工作，促进基础教育发展。</w:t>
      </w:r>
    </w:p>
    <w:p w14:paraId="43C25ACE">
      <w:pPr>
        <w:snapToGrid w:val="0"/>
        <w:spacing w:line="520" w:lineRule="exact"/>
        <w:ind w:firstLine="640" w:firstLineChars="200"/>
        <w:rPr>
          <w:rFonts w:hint="eastAsia" w:ascii="仿宋" w:hAnsi="仿宋" w:eastAsia="仿宋" w:cs="仿宋"/>
          <w:bCs/>
          <w:sz w:val="32"/>
          <w:szCs w:val="32"/>
        </w:rPr>
      </w:pPr>
      <w:r>
        <w:rPr>
          <w:rFonts w:hint="eastAsia" w:ascii="仿宋_GB2312" w:hAnsi="仿宋" w:eastAsia="仿宋_GB2312"/>
          <w:sz w:val="32"/>
          <w:szCs w:val="32"/>
        </w:rPr>
        <w:t>2.机构编制：本单位为县教育局下属的独立核算机构，</w:t>
      </w:r>
      <w:r>
        <w:rPr>
          <w:rFonts w:hint="eastAsia" w:ascii="仿宋" w:hAnsi="仿宋" w:eastAsia="仿宋" w:cs="仿宋"/>
          <w:bCs/>
          <w:sz w:val="32"/>
          <w:szCs w:val="32"/>
        </w:rPr>
        <w:t>根据编办核定，</w:t>
      </w:r>
      <w:r>
        <w:rPr>
          <w:rFonts w:hint="eastAsia" w:ascii="仿宋_GB2312" w:hAnsi="仿宋" w:eastAsia="仿宋_GB2312"/>
          <w:sz w:val="32"/>
          <w:szCs w:val="32"/>
        </w:rPr>
        <w:t>本单位</w:t>
      </w:r>
      <w:r>
        <w:rPr>
          <w:rFonts w:hint="eastAsia" w:ascii="仿宋" w:hAnsi="仿宋" w:eastAsia="仿宋" w:cs="仿宋"/>
          <w:bCs/>
          <w:sz w:val="32"/>
          <w:szCs w:val="32"/>
        </w:rPr>
        <w:t>内设机构1个，</w:t>
      </w:r>
      <w:r>
        <w:rPr>
          <w:rFonts w:ascii="仿宋" w:hAnsi="仿宋" w:eastAsia="仿宋" w:cs="仿宋"/>
          <w:bCs/>
          <w:sz w:val="32"/>
          <w:szCs w:val="32"/>
        </w:rPr>
        <w:t>所属事业单位</w:t>
      </w:r>
      <w:r>
        <w:rPr>
          <w:rFonts w:hint="eastAsia" w:ascii="仿宋" w:hAnsi="仿宋" w:eastAsia="仿宋" w:cs="仿宋"/>
          <w:bCs/>
          <w:sz w:val="32"/>
          <w:szCs w:val="32"/>
        </w:rPr>
        <w:t>1</w:t>
      </w:r>
      <w:r>
        <w:rPr>
          <w:rFonts w:ascii="仿宋" w:hAnsi="仿宋" w:eastAsia="仿宋" w:cs="仿宋"/>
          <w:bCs/>
          <w:sz w:val="32"/>
          <w:szCs w:val="32"/>
        </w:rPr>
        <w:t>个</w:t>
      </w:r>
      <w:r>
        <w:rPr>
          <w:rFonts w:hint="eastAsia" w:ascii="仿宋" w:hAnsi="仿宋" w:eastAsia="仿宋" w:cs="仿宋"/>
          <w:bCs/>
          <w:sz w:val="32"/>
          <w:szCs w:val="32"/>
        </w:rPr>
        <w:t>。</w:t>
      </w:r>
    </w:p>
    <w:p w14:paraId="49E044AB">
      <w:pPr>
        <w:snapToGrid w:val="0"/>
        <w:spacing w:line="520" w:lineRule="exact"/>
        <w:ind w:firstLine="640" w:firstLineChars="200"/>
        <w:rPr>
          <w:rFonts w:hint="eastAsia" w:ascii="仿宋_GB2312" w:eastAsia="仿宋"/>
          <w:sz w:val="32"/>
          <w:szCs w:val="32"/>
        </w:rPr>
      </w:pPr>
      <w:r>
        <w:rPr>
          <w:rFonts w:hint="eastAsia" w:ascii="仿宋" w:hAnsi="仿宋" w:eastAsia="仿宋" w:cs="仿宋"/>
          <w:bCs/>
          <w:sz w:val="32"/>
          <w:szCs w:val="32"/>
        </w:rPr>
        <w:t>3.人员构成：</w:t>
      </w:r>
      <w:r>
        <w:rPr>
          <w:rFonts w:hint="eastAsia" w:ascii="仿宋_GB2312" w:hAnsi="仿宋" w:eastAsia="仿宋_GB2312"/>
          <w:sz w:val="32"/>
          <w:szCs w:val="32"/>
        </w:rPr>
        <w:t>本单位</w:t>
      </w:r>
      <w:r>
        <w:rPr>
          <w:rFonts w:hint="eastAsia" w:ascii="仿宋" w:hAnsi="仿宋" w:eastAsia="仿宋" w:cs="仿宋"/>
          <w:bCs/>
          <w:sz w:val="32"/>
          <w:szCs w:val="32"/>
          <w:lang w:eastAsia="zh-CN"/>
        </w:rPr>
        <w:t>2024</w:t>
      </w:r>
      <w:r>
        <w:rPr>
          <w:rFonts w:hint="eastAsia" w:ascii="仿宋" w:hAnsi="仿宋" w:eastAsia="仿宋" w:cs="仿宋"/>
          <w:bCs/>
          <w:sz w:val="32"/>
          <w:szCs w:val="32"/>
        </w:rPr>
        <w:t>年年末在职人员</w:t>
      </w:r>
      <w:r>
        <w:rPr>
          <w:rFonts w:hint="eastAsia" w:ascii="仿宋" w:hAnsi="仿宋" w:eastAsia="仿宋" w:cs="仿宋"/>
          <w:bCs/>
          <w:sz w:val="32"/>
          <w:szCs w:val="32"/>
          <w:lang w:val="en-US" w:eastAsia="zh-CN"/>
        </w:rPr>
        <w:t>38</w:t>
      </w:r>
      <w:r>
        <w:rPr>
          <w:rFonts w:hint="eastAsia" w:ascii="仿宋" w:hAnsi="仿宋" w:eastAsia="仿宋" w:cs="仿宋"/>
          <w:bCs/>
          <w:sz w:val="32"/>
          <w:szCs w:val="32"/>
        </w:rPr>
        <w:t>人.</w:t>
      </w:r>
    </w:p>
    <w:p w14:paraId="6E2C8D67">
      <w:pPr>
        <w:spacing w:line="570" w:lineRule="exact"/>
        <w:ind w:firstLine="640" w:firstLineChars="200"/>
        <w:outlineLvl w:val="1"/>
        <w:rPr>
          <w:rFonts w:hint="eastAsia" w:eastAsia="仿宋_GB2312"/>
          <w:color w:val="000000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（二）部门（单位）整体支出规模</w:t>
      </w:r>
      <w:r>
        <w:rPr>
          <w:rFonts w:hint="eastAsia" w:ascii="仿宋_GB2312" w:hAnsi="仿宋_GB2312" w:eastAsia="仿宋_GB2312" w:cs="仿宋_GB2312"/>
          <w:sz w:val="32"/>
          <w:szCs w:val="32"/>
        </w:rPr>
        <w:t>，</w:t>
      </w:r>
      <w:r>
        <w:rPr>
          <w:rFonts w:hint="eastAsia" w:eastAsia="仿宋_GB2312"/>
          <w:color w:val="000000"/>
          <w:sz w:val="32"/>
          <w:szCs w:val="32"/>
        </w:rPr>
        <w:t>包括但不限于部门整体支出情况、部门预算收支决算情况及“三公经费”支出使用和管理情况。</w:t>
      </w:r>
    </w:p>
    <w:p w14:paraId="1002BFA8">
      <w:pPr>
        <w:snapToGrid w:val="0"/>
        <w:spacing w:line="520" w:lineRule="exact"/>
        <w:ind w:firstLine="560" w:firstLineChars="200"/>
        <w:rPr>
          <w:rFonts w:hint="eastAsia" w:ascii="仿宋" w:hAnsi="仿宋" w:eastAsia="仿宋" w:cs="仿宋"/>
          <w:bCs/>
          <w:sz w:val="32"/>
          <w:szCs w:val="32"/>
        </w:rPr>
      </w:pPr>
      <w:r>
        <w:rPr>
          <w:rFonts w:hint="eastAsia" w:ascii="仿宋" w:hAnsi="仿宋" w:eastAsia="仿宋" w:cs="仿宋"/>
          <w:bCs/>
          <w:sz w:val="28"/>
          <w:szCs w:val="28"/>
        </w:rPr>
        <w:t>1</w:t>
      </w:r>
      <w:r>
        <w:rPr>
          <w:rFonts w:hint="eastAsia" w:ascii="仿宋" w:hAnsi="仿宋" w:eastAsia="仿宋" w:cs="仿宋"/>
          <w:bCs/>
          <w:sz w:val="32"/>
          <w:szCs w:val="32"/>
        </w:rPr>
        <w:t>.本年收入预算合计</w:t>
      </w:r>
      <w:r>
        <w:rPr>
          <w:rFonts w:hint="eastAsia" w:ascii="仿宋" w:hAnsi="仿宋" w:eastAsia="仿宋" w:cs="仿宋"/>
          <w:bCs/>
          <w:sz w:val="32"/>
          <w:szCs w:val="32"/>
          <w:lang w:val="en-US" w:eastAsia="zh-CN"/>
        </w:rPr>
        <w:t>628.30</w:t>
      </w:r>
      <w:r>
        <w:rPr>
          <w:rFonts w:hint="eastAsia" w:ascii="仿宋" w:hAnsi="仿宋" w:eastAsia="仿宋" w:cs="仿宋"/>
          <w:bCs/>
          <w:sz w:val="32"/>
          <w:szCs w:val="32"/>
        </w:rPr>
        <w:t>万元，其中一般公共预算财政拨款收入</w:t>
      </w:r>
      <w:r>
        <w:rPr>
          <w:rFonts w:hint="eastAsia" w:ascii="仿宋" w:hAnsi="仿宋" w:eastAsia="仿宋" w:cs="仿宋"/>
          <w:bCs/>
          <w:sz w:val="32"/>
          <w:szCs w:val="32"/>
          <w:lang w:val="en-US" w:eastAsia="zh-CN"/>
        </w:rPr>
        <w:t>591.85</w:t>
      </w:r>
      <w:r>
        <w:rPr>
          <w:rFonts w:hint="eastAsia" w:ascii="仿宋" w:hAnsi="仿宋" w:eastAsia="仿宋" w:cs="仿宋"/>
          <w:bCs/>
          <w:sz w:val="32"/>
          <w:szCs w:val="32"/>
        </w:rPr>
        <w:t>万元。</w:t>
      </w:r>
    </w:p>
    <w:p w14:paraId="62EDD30F">
      <w:pPr>
        <w:snapToGrid w:val="0"/>
        <w:spacing w:line="520" w:lineRule="exact"/>
        <w:ind w:firstLine="640" w:firstLineChars="200"/>
        <w:rPr>
          <w:rFonts w:hint="eastAsia" w:ascii="仿宋" w:hAnsi="仿宋" w:eastAsia="仿宋" w:cs="仿宋"/>
          <w:bCs/>
          <w:sz w:val="32"/>
          <w:szCs w:val="32"/>
        </w:rPr>
      </w:pPr>
      <w:r>
        <w:rPr>
          <w:rFonts w:hint="eastAsia" w:ascii="仿宋" w:hAnsi="仿宋" w:eastAsia="仿宋" w:cs="仿宋"/>
          <w:bCs/>
          <w:sz w:val="32"/>
          <w:szCs w:val="32"/>
        </w:rPr>
        <w:t>2.本年支出预算总计</w:t>
      </w:r>
      <w:r>
        <w:rPr>
          <w:rFonts w:hint="eastAsia" w:ascii="仿宋" w:hAnsi="仿宋" w:eastAsia="仿宋" w:cs="仿宋"/>
          <w:bCs/>
          <w:sz w:val="32"/>
          <w:szCs w:val="32"/>
          <w:lang w:val="en-US" w:eastAsia="zh-CN"/>
        </w:rPr>
        <w:t>628.30</w:t>
      </w:r>
      <w:r>
        <w:rPr>
          <w:rFonts w:hint="eastAsia" w:ascii="仿宋" w:hAnsi="仿宋" w:eastAsia="仿宋" w:cs="仿宋"/>
          <w:bCs/>
          <w:sz w:val="32"/>
          <w:szCs w:val="32"/>
        </w:rPr>
        <w:t>万元，其中基本支出</w:t>
      </w:r>
      <w:r>
        <w:rPr>
          <w:rFonts w:hint="eastAsia" w:ascii="仿宋" w:hAnsi="仿宋" w:eastAsia="仿宋" w:cs="仿宋"/>
          <w:bCs/>
          <w:sz w:val="32"/>
          <w:szCs w:val="32"/>
          <w:lang w:val="en-US" w:eastAsia="zh-CN"/>
        </w:rPr>
        <w:t>581.82</w:t>
      </w:r>
      <w:r>
        <w:rPr>
          <w:rFonts w:hint="eastAsia" w:ascii="仿宋" w:hAnsi="仿宋" w:eastAsia="仿宋" w:cs="仿宋"/>
          <w:bCs/>
          <w:sz w:val="32"/>
          <w:szCs w:val="32"/>
        </w:rPr>
        <w:t>万元，项目支出</w:t>
      </w:r>
      <w:r>
        <w:rPr>
          <w:rFonts w:hint="eastAsia" w:ascii="仿宋" w:hAnsi="仿宋" w:eastAsia="仿宋" w:cs="仿宋"/>
          <w:bCs/>
          <w:sz w:val="32"/>
          <w:szCs w:val="32"/>
          <w:lang w:val="en-US" w:eastAsia="zh-CN"/>
        </w:rPr>
        <w:t>46.48</w:t>
      </w:r>
      <w:r>
        <w:rPr>
          <w:rFonts w:hint="eastAsia" w:ascii="仿宋" w:hAnsi="仿宋" w:eastAsia="仿宋" w:cs="仿宋"/>
          <w:bCs/>
          <w:sz w:val="32"/>
          <w:szCs w:val="32"/>
        </w:rPr>
        <w:t>万元。</w:t>
      </w:r>
    </w:p>
    <w:p w14:paraId="4A6B5640">
      <w:pPr>
        <w:pStyle w:val="15"/>
        <w:spacing w:line="460" w:lineRule="exact"/>
        <w:ind w:firstLine="640"/>
        <w:rPr>
          <w:rFonts w:hint="eastAsia" w:ascii="仿宋" w:hAnsi="仿宋" w:eastAsia="仿宋" w:cs="仿宋"/>
          <w:bCs/>
          <w:sz w:val="32"/>
          <w:szCs w:val="32"/>
        </w:rPr>
      </w:pPr>
      <w:r>
        <w:rPr>
          <w:rFonts w:hint="eastAsia" w:ascii="仿宋" w:hAnsi="仿宋" w:eastAsia="仿宋" w:cs="仿宋"/>
          <w:bCs/>
          <w:sz w:val="32"/>
          <w:szCs w:val="32"/>
          <w:lang w:eastAsia="zh-CN"/>
        </w:rPr>
        <w:t>2024</w:t>
      </w:r>
      <w:r>
        <w:rPr>
          <w:rFonts w:hint="eastAsia" w:ascii="仿宋" w:hAnsi="仿宋" w:eastAsia="仿宋" w:cs="仿宋"/>
          <w:bCs/>
          <w:sz w:val="32"/>
          <w:szCs w:val="32"/>
        </w:rPr>
        <w:t>年，我单位无三公经费支出。</w:t>
      </w:r>
    </w:p>
    <w:p w14:paraId="024A11FF">
      <w:pPr>
        <w:pStyle w:val="15"/>
        <w:spacing w:line="460" w:lineRule="exact"/>
        <w:ind w:firstLine="640"/>
        <w:rPr>
          <w:rFonts w:ascii="Times New Roman" w:hAnsi="Times New Roman" w:eastAsia="黑体"/>
          <w:sz w:val="32"/>
          <w:szCs w:val="32"/>
        </w:rPr>
      </w:pPr>
      <w:r>
        <w:rPr>
          <w:rFonts w:ascii="Times New Roman" w:hAnsi="Times New Roman" w:eastAsia="黑体"/>
          <w:sz w:val="32"/>
          <w:szCs w:val="32"/>
        </w:rPr>
        <w:t>二、一般公共预算支出情况</w:t>
      </w:r>
    </w:p>
    <w:p w14:paraId="578FD927">
      <w:pPr>
        <w:pStyle w:val="15"/>
        <w:spacing w:line="460" w:lineRule="exact"/>
        <w:ind w:firstLine="640"/>
        <w:rPr>
          <w:rFonts w:ascii="Times New Roman" w:hAnsi="Times New Roman" w:eastAsia="仿宋_GB2312"/>
          <w:sz w:val="32"/>
          <w:szCs w:val="32"/>
        </w:rPr>
      </w:pPr>
      <w:r>
        <w:rPr>
          <w:rFonts w:ascii="Times New Roman" w:hAnsi="Times New Roman" w:eastAsia="仿宋_GB2312"/>
          <w:sz w:val="32"/>
          <w:szCs w:val="32"/>
        </w:rPr>
        <w:t>（一）基本支出情况</w:t>
      </w:r>
    </w:p>
    <w:p w14:paraId="4A32A755">
      <w:pPr>
        <w:widowControl/>
        <w:spacing w:line="600" w:lineRule="exact"/>
        <w:ind w:firstLine="660"/>
        <w:jc w:val="left"/>
        <w:rPr>
          <w:rFonts w:eastAsia="仿宋_GB2312"/>
          <w:sz w:val="32"/>
          <w:szCs w:val="32"/>
        </w:rPr>
      </w:pPr>
      <w:r>
        <w:rPr>
          <w:rFonts w:hint="eastAsia" w:ascii="仿宋" w:hAnsi="仿宋" w:eastAsia="仿宋" w:cs="仿宋"/>
          <w:bCs/>
          <w:sz w:val="32"/>
          <w:szCs w:val="32"/>
        </w:rPr>
        <w:t>本年基本支出</w:t>
      </w:r>
      <w:r>
        <w:rPr>
          <w:rFonts w:hint="eastAsia" w:ascii="仿宋" w:hAnsi="仿宋" w:eastAsia="仿宋" w:cs="仿宋"/>
          <w:bCs/>
          <w:sz w:val="32"/>
          <w:szCs w:val="32"/>
          <w:lang w:val="en-US" w:eastAsia="zh-CN"/>
        </w:rPr>
        <w:t>581.82</w:t>
      </w:r>
      <w:r>
        <w:rPr>
          <w:rFonts w:hint="eastAsia" w:ascii="仿宋" w:hAnsi="仿宋" w:eastAsia="仿宋" w:cs="仿宋"/>
          <w:bCs/>
          <w:sz w:val="32"/>
          <w:szCs w:val="32"/>
        </w:rPr>
        <w:t>万元，</w:t>
      </w:r>
      <w:r>
        <w:rPr>
          <w:rFonts w:eastAsia="仿宋_GB2312"/>
          <w:sz w:val="32"/>
          <w:szCs w:val="32"/>
        </w:rPr>
        <w:t>是指为保障单位机构正常运转、完成日常工作任务而发生的各项支出，包括用于基本工资、津贴补贴等人员经费以及办公费、印刷费、水电费、办公设备购置等日常公用经费。</w:t>
      </w:r>
    </w:p>
    <w:p w14:paraId="035FF05D">
      <w:pPr>
        <w:pStyle w:val="15"/>
        <w:numPr>
          <w:ilvl w:val="0"/>
          <w:numId w:val="1"/>
        </w:numPr>
        <w:spacing w:line="460" w:lineRule="exact"/>
        <w:ind w:firstLine="640"/>
        <w:rPr>
          <w:rFonts w:ascii="Times New Roman" w:hAnsi="Times New Roman" w:eastAsia="仿宋_GB2312"/>
          <w:sz w:val="32"/>
          <w:szCs w:val="32"/>
        </w:rPr>
      </w:pPr>
      <w:r>
        <w:rPr>
          <w:rFonts w:ascii="Times New Roman" w:hAnsi="Times New Roman" w:eastAsia="仿宋_GB2312"/>
          <w:sz w:val="32"/>
          <w:szCs w:val="32"/>
        </w:rPr>
        <w:t>项目支出情况</w:t>
      </w:r>
    </w:p>
    <w:p w14:paraId="7C72989B">
      <w:pPr>
        <w:pStyle w:val="15"/>
        <w:spacing w:line="460" w:lineRule="exact"/>
        <w:ind w:firstLine="640" w:firstLineChars="200"/>
        <w:rPr>
          <w:rFonts w:ascii="Times New Roman" w:hAnsi="Times New Roman" w:eastAsia="仿宋_GB2312"/>
          <w:sz w:val="32"/>
          <w:szCs w:val="32"/>
        </w:rPr>
      </w:pPr>
      <w:r>
        <w:rPr>
          <w:rFonts w:hint="eastAsia" w:ascii="仿宋" w:hAnsi="仿宋" w:eastAsia="仿宋" w:cs="仿宋"/>
          <w:bCs/>
          <w:sz w:val="32"/>
          <w:szCs w:val="32"/>
        </w:rPr>
        <w:t>本年项目支出</w:t>
      </w:r>
      <w:r>
        <w:rPr>
          <w:rFonts w:hint="eastAsia" w:ascii="仿宋" w:hAnsi="仿宋" w:eastAsia="仿宋" w:cs="仿宋"/>
          <w:bCs/>
          <w:sz w:val="32"/>
          <w:szCs w:val="32"/>
          <w:lang w:val="en-US" w:eastAsia="zh-CN"/>
        </w:rPr>
        <w:t>46.48</w:t>
      </w:r>
      <w:r>
        <w:rPr>
          <w:rFonts w:hint="eastAsia" w:ascii="仿宋" w:hAnsi="仿宋" w:eastAsia="仿宋" w:cs="仿宋"/>
          <w:bCs/>
          <w:sz w:val="32"/>
          <w:szCs w:val="32"/>
        </w:rPr>
        <w:t>万元，其中义务教育阶段营养餐支出</w:t>
      </w:r>
      <w:r>
        <w:rPr>
          <w:rFonts w:hint="eastAsia" w:ascii="仿宋" w:hAnsi="仿宋" w:eastAsia="仿宋" w:cs="仿宋"/>
          <w:bCs/>
          <w:sz w:val="32"/>
          <w:szCs w:val="32"/>
          <w:lang w:val="en-US" w:eastAsia="zh-CN"/>
        </w:rPr>
        <w:t>30.78</w:t>
      </w:r>
      <w:r>
        <w:rPr>
          <w:rFonts w:hint="eastAsia" w:ascii="仿宋" w:hAnsi="仿宋" w:eastAsia="仿宋" w:cs="仿宋"/>
          <w:bCs/>
          <w:sz w:val="32"/>
          <w:szCs w:val="32"/>
        </w:rPr>
        <w:t>万元，学校</w:t>
      </w:r>
      <w:r>
        <w:rPr>
          <w:rFonts w:hint="eastAsia" w:ascii="仿宋" w:hAnsi="仿宋" w:eastAsia="仿宋" w:cs="仿宋"/>
          <w:bCs/>
          <w:sz w:val="32"/>
          <w:szCs w:val="32"/>
          <w:lang w:val="en-US" w:eastAsia="zh-CN"/>
        </w:rPr>
        <w:t>补漏工程4.9</w:t>
      </w:r>
      <w:r>
        <w:rPr>
          <w:rFonts w:hint="eastAsia" w:ascii="仿宋" w:hAnsi="仿宋" w:eastAsia="仿宋" w:cs="仿宋"/>
          <w:bCs/>
          <w:sz w:val="32"/>
          <w:szCs w:val="32"/>
        </w:rPr>
        <w:t>万元</w:t>
      </w:r>
      <w:r>
        <w:rPr>
          <w:rFonts w:hint="eastAsia" w:ascii="仿宋" w:hAnsi="仿宋" w:eastAsia="仿宋" w:cs="仿宋"/>
          <w:bCs/>
          <w:sz w:val="32"/>
          <w:szCs w:val="32"/>
          <w:lang w:eastAsia="zh-CN"/>
        </w:rPr>
        <w:t>，</w:t>
      </w:r>
      <w:r>
        <w:rPr>
          <w:rFonts w:hint="eastAsia" w:ascii="仿宋" w:hAnsi="仿宋" w:eastAsia="仿宋" w:cs="仿宋"/>
          <w:bCs/>
          <w:sz w:val="32"/>
          <w:szCs w:val="32"/>
          <w:lang w:val="en-US" w:eastAsia="zh-CN"/>
        </w:rPr>
        <w:t>运动场工程10.8万元</w:t>
      </w:r>
      <w:r>
        <w:rPr>
          <w:rFonts w:hint="eastAsia" w:ascii="仿宋" w:hAnsi="仿宋" w:eastAsia="仿宋" w:cs="仿宋"/>
          <w:bCs/>
          <w:sz w:val="32"/>
          <w:szCs w:val="32"/>
        </w:rPr>
        <w:t>。</w:t>
      </w:r>
    </w:p>
    <w:p w14:paraId="25FB9233">
      <w:pPr>
        <w:pStyle w:val="15"/>
        <w:numPr>
          <w:ilvl w:val="0"/>
          <w:numId w:val="2"/>
        </w:numPr>
        <w:spacing w:line="460" w:lineRule="exact"/>
        <w:ind w:firstLine="640"/>
        <w:rPr>
          <w:rFonts w:hint="eastAsia" w:ascii="Times New Roman" w:hAnsi="Times New Roman" w:eastAsia="黑体"/>
          <w:sz w:val="32"/>
          <w:szCs w:val="32"/>
        </w:rPr>
      </w:pPr>
      <w:r>
        <w:rPr>
          <w:rFonts w:ascii="Times New Roman" w:hAnsi="Times New Roman" w:eastAsia="黑体"/>
          <w:sz w:val="32"/>
          <w:szCs w:val="32"/>
        </w:rPr>
        <w:t>政府性基金预算支出情况</w:t>
      </w:r>
      <w:r>
        <w:rPr>
          <w:rFonts w:hint="eastAsia" w:ascii="Times New Roman" w:hAnsi="Times New Roman" w:eastAsia="黑体"/>
          <w:sz w:val="32"/>
          <w:szCs w:val="32"/>
        </w:rPr>
        <w:t>。</w:t>
      </w:r>
    </w:p>
    <w:p w14:paraId="5A253DEC">
      <w:pPr>
        <w:pStyle w:val="15"/>
        <w:spacing w:line="460" w:lineRule="exact"/>
        <w:ind w:firstLine="0" w:firstLineChars="0"/>
        <w:rPr>
          <w:rFonts w:hint="eastAsia" w:ascii="Times New Roman" w:hAnsi="Times New Roman" w:eastAsia="仿宋_GB2312"/>
          <w:color w:val="000000"/>
          <w:sz w:val="32"/>
          <w:szCs w:val="32"/>
        </w:rPr>
      </w:pPr>
      <w:r>
        <w:rPr>
          <w:rFonts w:hint="eastAsia" w:ascii="Times New Roman" w:hAnsi="Times New Roman" w:eastAsia="仿宋_GB2312"/>
          <w:color w:val="000000"/>
          <w:sz w:val="32"/>
          <w:szCs w:val="32"/>
        </w:rPr>
        <w:t>“我单位无政府性基金预算支出情况”</w:t>
      </w:r>
    </w:p>
    <w:p w14:paraId="323D909E">
      <w:pPr>
        <w:pStyle w:val="15"/>
        <w:numPr>
          <w:ilvl w:val="0"/>
          <w:numId w:val="2"/>
        </w:numPr>
        <w:spacing w:line="460" w:lineRule="exact"/>
        <w:ind w:firstLine="640"/>
        <w:rPr>
          <w:rFonts w:hint="eastAsia" w:ascii="Times New Roman" w:hAnsi="Times New Roman" w:eastAsia="黑体"/>
          <w:sz w:val="32"/>
          <w:szCs w:val="32"/>
        </w:rPr>
      </w:pPr>
      <w:r>
        <w:rPr>
          <w:rFonts w:ascii="Times New Roman" w:hAnsi="Times New Roman" w:eastAsia="黑体"/>
          <w:sz w:val="32"/>
          <w:szCs w:val="32"/>
        </w:rPr>
        <w:t>国有资本经营预算支出情况</w:t>
      </w:r>
      <w:r>
        <w:rPr>
          <w:rFonts w:hint="eastAsia" w:ascii="Times New Roman" w:hAnsi="Times New Roman" w:eastAsia="黑体"/>
          <w:sz w:val="32"/>
          <w:szCs w:val="32"/>
        </w:rPr>
        <w:t>。</w:t>
      </w:r>
    </w:p>
    <w:p w14:paraId="2583D789">
      <w:pPr>
        <w:pStyle w:val="15"/>
        <w:spacing w:line="460" w:lineRule="exact"/>
        <w:ind w:firstLine="0" w:firstLineChars="0"/>
        <w:rPr>
          <w:rFonts w:hint="eastAsia" w:ascii="Times New Roman" w:hAnsi="Times New Roman" w:eastAsia="黑体"/>
          <w:sz w:val="32"/>
          <w:szCs w:val="32"/>
        </w:rPr>
      </w:pPr>
      <w:r>
        <w:rPr>
          <w:rFonts w:hint="eastAsia" w:ascii="Times New Roman" w:hAnsi="Times New Roman" w:eastAsia="仿宋_GB2312"/>
          <w:color w:val="000000"/>
          <w:sz w:val="32"/>
          <w:szCs w:val="32"/>
        </w:rPr>
        <w:t>“我单位无国有资本经营预算支出情况”</w:t>
      </w:r>
    </w:p>
    <w:p w14:paraId="2CA180E2">
      <w:pPr>
        <w:pStyle w:val="15"/>
        <w:numPr>
          <w:ilvl w:val="0"/>
          <w:numId w:val="2"/>
        </w:numPr>
        <w:spacing w:line="460" w:lineRule="exact"/>
        <w:ind w:firstLine="640"/>
        <w:rPr>
          <w:rFonts w:hint="eastAsia" w:ascii="Times New Roman" w:hAnsi="Times New Roman" w:eastAsia="黑体"/>
          <w:sz w:val="32"/>
          <w:szCs w:val="32"/>
        </w:rPr>
      </w:pPr>
      <w:r>
        <w:rPr>
          <w:rFonts w:ascii="Times New Roman" w:hAnsi="Times New Roman" w:eastAsia="黑体"/>
          <w:sz w:val="32"/>
          <w:szCs w:val="32"/>
        </w:rPr>
        <w:t>社会保险基金预算支出情况</w:t>
      </w:r>
      <w:r>
        <w:rPr>
          <w:rFonts w:hint="eastAsia" w:ascii="Times New Roman" w:hAnsi="Times New Roman" w:eastAsia="黑体"/>
          <w:sz w:val="32"/>
          <w:szCs w:val="32"/>
        </w:rPr>
        <w:t>。</w:t>
      </w:r>
    </w:p>
    <w:p w14:paraId="3B1C8CDB">
      <w:pPr>
        <w:pStyle w:val="15"/>
        <w:spacing w:line="570" w:lineRule="exact"/>
        <w:ind w:left="640" w:firstLine="0" w:firstLineChars="0"/>
        <w:jc w:val="left"/>
        <w:outlineLvl w:val="0"/>
        <w:rPr>
          <w:rFonts w:hint="eastAsia" w:ascii="Times New Roman" w:hAnsi="Times New Roman" w:eastAsia="仿宋_GB2312"/>
          <w:sz w:val="32"/>
          <w:szCs w:val="32"/>
        </w:rPr>
      </w:pPr>
      <w:r>
        <w:rPr>
          <w:rFonts w:hint="eastAsia" w:ascii="Times New Roman" w:hAnsi="Times New Roman" w:eastAsia="仿宋_GB2312"/>
          <w:color w:val="000000"/>
          <w:sz w:val="32"/>
          <w:szCs w:val="32"/>
        </w:rPr>
        <w:t>我单位</w:t>
      </w:r>
      <w:r>
        <w:rPr>
          <w:rFonts w:hint="eastAsia" w:ascii="Times New Roman" w:hAnsi="Times New Roman" w:eastAsia="仿宋_GB2312"/>
          <w:color w:val="000000"/>
          <w:sz w:val="32"/>
          <w:szCs w:val="32"/>
          <w:lang w:eastAsia="zh-CN"/>
        </w:rPr>
        <w:t>2024</w:t>
      </w:r>
      <w:r>
        <w:rPr>
          <w:rFonts w:hint="eastAsia" w:ascii="Times New Roman" w:hAnsi="Times New Roman" w:eastAsia="仿宋_GB2312"/>
          <w:color w:val="000000"/>
          <w:sz w:val="32"/>
          <w:szCs w:val="32"/>
        </w:rPr>
        <w:t>年支付</w:t>
      </w:r>
      <w:r>
        <w:rPr>
          <w:rFonts w:hint="eastAsia" w:ascii="Times New Roman" w:hAnsi="Times New Roman" w:eastAsia="仿宋_GB2312"/>
          <w:color w:val="000000"/>
          <w:sz w:val="32"/>
          <w:szCs w:val="32"/>
          <w:lang w:val="en-US" w:eastAsia="zh-CN"/>
        </w:rPr>
        <w:t>事业单位医疗保险21.16</w:t>
      </w:r>
      <w:r>
        <w:rPr>
          <w:rFonts w:hint="eastAsia" w:ascii="Times New Roman" w:hAnsi="Times New Roman" w:eastAsia="仿宋_GB2312"/>
          <w:color w:val="000000"/>
          <w:sz w:val="32"/>
          <w:szCs w:val="32"/>
        </w:rPr>
        <w:t>万元。</w:t>
      </w:r>
    </w:p>
    <w:p w14:paraId="2305B45C">
      <w:pPr>
        <w:pStyle w:val="15"/>
        <w:spacing w:line="460" w:lineRule="exact"/>
        <w:ind w:firstLine="0" w:firstLineChars="0"/>
        <w:rPr>
          <w:rFonts w:ascii="Times New Roman" w:hAnsi="Times New Roman" w:eastAsia="黑体"/>
          <w:sz w:val="32"/>
          <w:szCs w:val="32"/>
        </w:rPr>
      </w:pPr>
    </w:p>
    <w:p w14:paraId="6AA1F745">
      <w:pPr>
        <w:spacing w:line="460" w:lineRule="exact"/>
        <w:ind w:firstLine="640" w:firstLineChars="200"/>
        <w:rPr>
          <w:rFonts w:eastAsia="黑体"/>
          <w:sz w:val="32"/>
          <w:szCs w:val="32"/>
        </w:rPr>
      </w:pPr>
      <w:r>
        <w:rPr>
          <w:rFonts w:eastAsia="黑体"/>
          <w:sz w:val="32"/>
          <w:szCs w:val="32"/>
        </w:rPr>
        <w:t>六、部门整体支出绩效情况</w:t>
      </w:r>
    </w:p>
    <w:p w14:paraId="4903123B">
      <w:pPr>
        <w:spacing w:line="570" w:lineRule="exact"/>
        <w:ind w:firstLine="645"/>
        <w:jc w:val="left"/>
        <w:rPr>
          <w:rFonts w:hint="eastAsia" w:ascii="仿宋_GB2312" w:hAnsi="仿宋" w:eastAsia="仿宋_GB2312"/>
          <w:sz w:val="32"/>
          <w:szCs w:val="32"/>
        </w:rPr>
      </w:pPr>
      <w:r>
        <w:rPr>
          <w:rFonts w:hint="eastAsia" w:eastAsia="仿宋_GB2312"/>
          <w:color w:val="000000"/>
          <w:sz w:val="32"/>
          <w:szCs w:val="32"/>
        </w:rPr>
        <w:t>我单位为全额拨款事业单位，所有经费来源于一般公共预算拨款收入，所列支出均为教育支出，以为人民服务为宗旨，办好人民满意的教育为理念，在</w:t>
      </w:r>
      <w:r>
        <w:rPr>
          <w:rFonts w:hint="eastAsia" w:eastAsia="仿宋_GB2312"/>
          <w:color w:val="000000"/>
          <w:sz w:val="32"/>
          <w:szCs w:val="32"/>
          <w:lang w:eastAsia="zh-CN"/>
        </w:rPr>
        <w:t>2024</w:t>
      </w:r>
      <w:r>
        <w:rPr>
          <w:rFonts w:hint="eastAsia" w:eastAsia="仿宋_GB2312"/>
          <w:color w:val="000000"/>
          <w:sz w:val="32"/>
          <w:szCs w:val="32"/>
        </w:rPr>
        <w:t>年度部门整体支出绩效自评中取得了不错的成绩。</w:t>
      </w:r>
      <w:r>
        <w:rPr>
          <w:rFonts w:hint="eastAsia" w:ascii="仿宋_GB2312" w:hAnsi="仿宋" w:eastAsia="仿宋_GB2312"/>
          <w:sz w:val="32"/>
          <w:szCs w:val="32"/>
        </w:rPr>
        <w:t>本年度绩效目标全面完成，取得了一定经济和社会效益。单位财务制度健全，管理规范，得到有效执行。总之，通过加强绩效预算，使用财政资金得到有效使用，效率得到提高，促进了各项工作顺得利开展。我校正逐步完善接待管理、财务管理等制度，使节能降耗工作逐步走上制度化、规范化的管理轨道。</w:t>
      </w:r>
    </w:p>
    <w:p w14:paraId="3EC9B8A8">
      <w:pPr>
        <w:pStyle w:val="15"/>
        <w:spacing w:line="460" w:lineRule="exact"/>
        <w:ind w:firstLine="640"/>
        <w:rPr>
          <w:rFonts w:ascii="Times New Roman" w:hAnsi="Times New Roman" w:eastAsia="黑体"/>
          <w:sz w:val="32"/>
          <w:szCs w:val="32"/>
        </w:rPr>
      </w:pPr>
      <w:r>
        <w:rPr>
          <w:rFonts w:ascii="Times New Roman" w:hAnsi="Times New Roman" w:eastAsia="黑体"/>
          <w:sz w:val="32"/>
          <w:szCs w:val="32"/>
        </w:rPr>
        <w:t>七、存在的问题及原因分析</w:t>
      </w:r>
    </w:p>
    <w:p w14:paraId="58E7D4E6">
      <w:pPr>
        <w:spacing w:line="570" w:lineRule="exact"/>
        <w:ind w:firstLine="645"/>
        <w:jc w:val="left"/>
        <w:rPr>
          <w:rFonts w:ascii="仿宋_GB2312" w:hAnsi="仿宋" w:eastAsia="仿宋_GB2312"/>
          <w:sz w:val="32"/>
          <w:szCs w:val="32"/>
        </w:rPr>
      </w:pPr>
      <w:r>
        <w:rPr>
          <w:rFonts w:hint="eastAsia" w:eastAsia="仿宋_GB2312"/>
          <w:spacing w:val="-6"/>
          <w:sz w:val="32"/>
          <w:szCs w:val="32"/>
        </w:rPr>
        <w:t>预算的编制受多种因素影，如上级部门临时安排的项目、市场价格波动等，导致不能合理的作出预估，执行偏离绩效目标。</w:t>
      </w:r>
      <w:r>
        <w:rPr>
          <w:rFonts w:hint="eastAsia" w:ascii="仿宋_GB2312" w:hAnsi="仿宋" w:eastAsia="仿宋_GB2312"/>
          <w:sz w:val="32"/>
          <w:szCs w:val="32"/>
        </w:rPr>
        <w:t>预算绩效管理具有专业性和复杂性，财务人员业务水平有待提高，预算绩效管理工作有待加强。</w:t>
      </w:r>
    </w:p>
    <w:p w14:paraId="1871C95C">
      <w:pPr>
        <w:numPr>
          <w:ilvl w:val="0"/>
          <w:numId w:val="3"/>
        </w:numPr>
        <w:spacing w:line="460" w:lineRule="exact"/>
        <w:ind w:firstLine="640" w:firstLineChars="200"/>
        <w:rPr>
          <w:rFonts w:eastAsia="黑体"/>
          <w:sz w:val="32"/>
          <w:szCs w:val="32"/>
        </w:rPr>
      </w:pPr>
      <w:r>
        <w:rPr>
          <w:rFonts w:eastAsia="黑体"/>
          <w:sz w:val="32"/>
          <w:szCs w:val="32"/>
        </w:rPr>
        <w:t>下一步改进措施</w:t>
      </w:r>
    </w:p>
    <w:p w14:paraId="2990F144">
      <w:pPr>
        <w:spacing w:line="570" w:lineRule="exact"/>
        <w:ind w:firstLine="645"/>
        <w:jc w:val="left"/>
        <w:outlineLvl w:val="0"/>
        <w:rPr>
          <w:rFonts w:eastAsia="仿宋_GB2312"/>
          <w:spacing w:val="-6"/>
          <w:sz w:val="32"/>
          <w:szCs w:val="32"/>
        </w:rPr>
      </w:pPr>
      <w:r>
        <w:rPr>
          <w:rFonts w:hint="eastAsia" w:eastAsia="仿宋_GB2312"/>
          <w:spacing w:val="-6"/>
          <w:sz w:val="32"/>
          <w:szCs w:val="32"/>
        </w:rPr>
        <w:t>加强对预算绩效管理方面的业务学习，通过召开理论学习培训会的方式，提高思想认识，建立健全绩效自评长效机制，提升财务人员绩效管理水平。</w:t>
      </w:r>
    </w:p>
    <w:p w14:paraId="313CF703">
      <w:pPr>
        <w:pStyle w:val="12"/>
        <w:ind w:firstLine="0" w:firstLineChars="0"/>
      </w:pPr>
    </w:p>
    <w:p w14:paraId="46F61E61">
      <w:pPr>
        <w:numPr>
          <w:ilvl w:val="0"/>
          <w:numId w:val="3"/>
        </w:numPr>
        <w:spacing w:line="460" w:lineRule="exact"/>
        <w:ind w:firstLine="640" w:firstLineChars="200"/>
        <w:rPr>
          <w:rFonts w:eastAsia="黑体"/>
          <w:sz w:val="32"/>
          <w:szCs w:val="32"/>
        </w:rPr>
      </w:pPr>
      <w:r>
        <w:rPr>
          <w:rFonts w:eastAsia="黑体"/>
          <w:sz w:val="32"/>
          <w:szCs w:val="32"/>
        </w:rPr>
        <w:t>部门整体支出绩效自评结果拟应用和公开情况</w:t>
      </w:r>
    </w:p>
    <w:p w14:paraId="1BF9D8A4">
      <w:pPr>
        <w:spacing w:line="570" w:lineRule="exact"/>
        <w:ind w:firstLine="645"/>
        <w:jc w:val="left"/>
        <w:outlineLvl w:val="0"/>
        <w:rPr>
          <w:rFonts w:eastAsia="仿宋_GB2312"/>
          <w:spacing w:val="-6"/>
          <w:sz w:val="32"/>
          <w:szCs w:val="32"/>
        </w:rPr>
      </w:pPr>
      <w:r>
        <w:rPr>
          <w:rFonts w:hint="eastAsia" w:eastAsia="仿宋_GB2312"/>
          <w:spacing w:val="-6"/>
          <w:sz w:val="32"/>
          <w:szCs w:val="32"/>
        </w:rPr>
        <w:t>无特殊情况说明，可以向社会公开。</w:t>
      </w:r>
    </w:p>
    <w:p w14:paraId="19C4E161">
      <w:pPr>
        <w:pStyle w:val="12"/>
        <w:ind w:firstLine="0" w:firstLineChars="0"/>
      </w:pPr>
    </w:p>
    <w:p w14:paraId="075BABE9">
      <w:pPr>
        <w:spacing w:line="460" w:lineRule="exact"/>
        <w:ind w:firstLine="640" w:firstLineChars="200"/>
        <w:rPr>
          <w:rFonts w:eastAsia="黑体"/>
          <w:sz w:val="32"/>
          <w:szCs w:val="32"/>
        </w:rPr>
      </w:pPr>
      <w:r>
        <w:rPr>
          <w:rFonts w:hint="eastAsia" w:eastAsia="黑体"/>
          <w:sz w:val="32"/>
          <w:szCs w:val="32"/>
        </w:rPr>
        <w:t>十、</w:t>
      </w:r>
      <w:r>
        <w:rPr>
          <w:rFonts w:eastAsia="黑体"/>
          <w:sz w:val="32"/>
          <w:szCs w:val="32"/>
        </w:rPr>
        <w:t>其他需要说明的情况</w:t>
      </w:r>
    </w:p>
    <w:p w14:paraId="285DFB3A">
      <w:pPr>
        <w:pStyle w:val="2"/>
        <w:spacing w:before="0" w:after="0" w:line="560" w:lineRule="exact"/>
        <w:ind w:firstLine="640" w:firstLineChars="200"/>
        <w:rPr>
          <w:rFonts w:hint="eastAsia" w:ascii="仿宋" w:hAnsi="仿宋" w:eastAsia="仿宋" w:cs="仿宋"/>
          <w:b w:val="0"/>
          <w:kern w:val="0"/>
          <w:sz w:val="32"/>
          <w:szCs w:val="32"/>
          <w:lang w:bidi="ar"/>
        </w:rPr>
      </w:pPr>
      <w:r>
        <w:rPr>
          <w:rFonts w:hint="eastAsia" w:ascii="仿宋" w:hAnsi="仿宋" w:eastAsia="仿宋" w:cs="仿宋"/>
          <w:b w:val="0"/>
          <w:kern w:val="0"/>
          <w:sz w:val="32"/>
          <w:szCs w:val="32"/>
          <w:lang w:bidi="ar"/>
        </w:rPr>
        <w:t>我单位无其他需要说明的情况。</w:t>
      </w:r>
    </w:p>
    <w:p w14:paraId="35D4E279">
      <w:pPr>
        <w:spacing w:line="460" w:lineRule="exact"/>
        <w:ind w:firstLine="640" w:firstLineChars="200"/>
        <w:rPr>
          <w:rFonts w:eastAsia="黑体"/>
          <w:sz w:val="32"/>
          <w:szCs w:val="32"/>
        </w:rPr>
      </w:pPr>
    </w:p>
    <w:p w14:paraId="0C3A64D4">
      <w:pPr>
        <w:pStyle w:val="12"/>
        <w:ind w:firstLine="640"/>
        <w:rPr>
          <w:rFonts w:eastAsia="黑体"/>
          <w:sz w:val="32"/>
          <w:szCs w:val="32"/>
        </w:rPr>
      </w:pPr>
    </w:p>
    <w:p w14:paraId="0C75FB1E">
      <w:pPr>
        <w:pStyle w:val="12"/>
        <w:ind w:firstLine="640"/>
        <w:rPr>
          <w:rFonts w:eastAsia="黑体"/>
          <w:sz w:val="32"/>
          <w:szCs w:val="32"/>
        </w:rPr>
      </w:pPr>
    </w:p>
    <w:p w14:paraId="45DA4D4B">
      <w:pPr>
        <w:pStyle w:val="12"/>
        <w:ind w:firstLine="640"/>
        <w:rPr>
          <w:rFonts w:eastAsia="黑体"/>
          <w:sz w:val="32"/>
          <w:szCs w:val="32"/>
        </w:rPr>
      </w:pPr>
    </w:p>
    <w:p w14:paraId="3024B5D2">
      <w:pPr>
        <w:pStyle w:val="12"/>
        <w:ind w:firstLine="640"/>
        <w:rPr>
          <w:rFonts w:eastAsia="黑体"/>
          <w:sz w:val="32"/>
          <w:szCs w:val="32"/>
        </w:rPr>
      </w:pPr>
    </w:p>
    <w:p w14:paraId="204067C8">
      <w:pPr>
        <w:pStyle w:val="12"/>
        <w:ind w:firstLine="640"/>
        <w:rPr>
          <w:rFonts w:eastAsia="黑体"/>
          <w:sz w:val="32"/>
          <w:szCs w:val="32"/>
        </w:rPr>
      </w:pPr>
    </w:p>
    <w:p w14:paraId="2DA262F0">
      <w:pPr>
        <w:pStyle w:val="12"/>
        <w:ind w:firstLine="640"/>
        <w:rPr>
          <w:rFonts w:eastAsia="黑体"/>
          <w:sz w:val="32"/>
          <w:szCs w:val="32"/>
        </w:rPr>
      </w:pPr>
    </w:p>
    <w:p w14:paraId="4ABABD28">
      <w:pPr>
        <w:pStyle w:val="12"/>
        <w:ind w:firstLine="640"/>
        <w:rPr>
          <w:rFonts w:eastAsia="黑体"/>
          <w:sz w:val="32"/>
          <w:szCs w:val="32"/>
        </w:rPr>
      </w:pPr>
    </w:p>
    <w:p w14:paraId="3A6C77EC">
      <w:pPr>
        <w:pStyle w:val="12"/>
        <w:ind w:firstLine="640"/>
        <w:rPr>
          <w:rFonts w:eastAsia="黑体"/>
          <w:sz w:val="32"/>
          <w:szCs w:val="32"/>
        </w:rPr>
      </w:pPr>
    </w:p>
    <w:p w14:paraId="548FBDD2">
      <w:pPr>
        <w:pStyle w:val="12"/>
        <w:ind w:firstLine="640"/>
        <w:rPr>
          <w:rFonts w:eastAsia="黑体"/>
          <w:sz w:val="32"/>
          <w:szCs w:val="32"/>
        </w:rPr>
      </w:pPr>
    </w:p>
    <w:p w14:paraId="26CEE168">
      <w:pPr>
        <w:pStyle w:val="12"/>
        <w:ind w:firstLine="640"/>
        <w:rPr>
          <w:rFonts w:eastAsia="黑体"/>
          <w:sz w:val="32"/>
          <w:szCs w:val="32"/>
        </w:rPr>
      </w:pPr>
    </w:p>
    <w:p w14:paraId="15CFB378">
      <w:pPr>
        <w:pStyle w:val="12"/>
        <w:ind w:firstLine="640"/>
        <w:rPr>
          <w:rFonts w:eastAsia="黑体"/>
          <w:sz w:val="32"/>
          <w:szCs w:val="32"/>
        </w:rPr>
      </w:pPr>
    </w:p>
    <w:p w14:paraId="3A1C40D7">
      <w:pPr>
        <w:pStyle w:val="12"/>
        <w:ind w:firstLine="640"/>
        <w:rPr>
          <w:rFonts w:eastAsia="黑体"/>
          <w:sz w:val="32"/>
          <w:szCs w:val="32"/>
        </w:rPr>
      </w:pPr>
    </w:p>
    <w:p w14:paraId="6FF94ACC">
      <w:pPr>
        <w:pStyle w:val="12"/>
        <w:ind w:firstLine="640"/>
        <w:rPr>
          <w:rFonts w:eastAsia="黑体"/>
          <w:sz w:val="32"/>
          <w:szCs w:val="32"/>
        </w:rPr>
      </w:pPr>
    </w:p>
    <w:p w14:paraId="1165741A">
      <w:pPr>
        <w:pStyle w:val="12"/>
        <w:ind w:firstLine="640"/>
        <w:rPr>
          <w:rFonts w:eastAsia="黑体"/>
          <w:sz w:val="32"/>
          <w:szCs w:val="32"/>
        </w:rPr>
      </w:pPr>
    </w:p>
    <w:p w14:paraId="7746EE2F">
      <w:pPr>
        <w:pStyle w:val="12"/>
        <w:ind w:firstLine="640"/>
        <w:rPr>
          <w:rFonts w:eastAsia="黑体"/>
          <w:sz w:val="32"/>
          <w:szCs w:val="32"/>
        </w:rPr>
      </w:pPr>
    </w:p>
    <w:p w14:paraId="02421E61">
      <w:pPr>
        <w:pStyle w:val="12"/>
        <w:ind w:firstLine="640"/>
        <w:rPr>
          <w:rFonts w:eastAsia="黑体"/>
          <w:sz w:val="32"/>
          <w:szCs w:val="32"/>
        </w:rPr>
      </w:pPr>
    </w:p>
    <w:p w14:paraId="14FE30E7">
      <w:pPr>
        <w:pStyle w:val="12"/>
        <w:ind w:firstLine="640"/>
        <w:rPr>
          <w:rFonts w:eastAsia="黑体"/>
          <w:sz w:val="32"/>
          <w:szCs w:val="32"/>
        </w:rPr>
      </w:pPr>
    </w:p>
    <w:p w14:paraId="7DAB446C">
      <w:pPr>
        <w:pStyle w:val="12"/>
        <w:ind w:firstLine="640"/>
        <w:rPr>
          <w:rFonts w:eastAsia="黑体"/>
          <w:sz w:val="32"/>
          <w:szCs w:val="32"/>
        </w:rPr>
      </w:pPr>
    </w:p>
    <w:p w14:paraId="09612DC8">
      <w:pPr>
        <w:pStyle w:val="12"/>
        <w:ind w:firstLine="640"/>
        <w:rPr>
          <w:rFonts w:eastAsia="黑体"/>
          <w:sz w:val="32"/>
          <w:szCs w:val="32"/>
        </w:rPr>
      </w:pPr>
    </w:p>
    <w:p w14:paraId="4DD21560">
      <w:pPr>
        <w:spacing w:line="200" w:lineRule="exact"/>
        <w:rPr>
          <w:rFonts w:hint="eastAsia" w:ascii="仿宋_GB2312" w:hAnsi="宋体" w:eastAsia="仿宋_GB2312"/>
          <w:color w:val="000000"/>
          <w:sz w:val="32"/>
          <w:szCs w:val="32"/>
        </w:rPr>
      </w:pPr>
    </w:p>
    <w:sectPr>
      <w:footerReference r:id="rId3" w:type="default"/>
      <w:footerReference r:id="rId4" w:type="even"/>
      <w:pgSz w:w="11906" w:h="16838"/>
      <w:pgMar w:top="1531" w:right="1474" w:bottom="1383" w:left="1644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方正小标宋简体">
    <w:altName w:val="黑体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方正小标宋_GBK">
    <w:altName w:val="微软雅黑"/>
    <w:panose1 w:val="03000509000000000000"/>
    <w:charset w:val="86"/>
    <w:family w:val="script"/>
    <w:pitch w:val="default"/>
    <w:sig w:usb0="00000000" w:usb1="0000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D983844">
    <w:pPr>
      <w:pStyle w:val="4"/>
      <w:framePr w:wrap="around" w:vAnchor="text" w:hAnchor="margin" w:xAlign="center" w:y="1"/>
      <w:rPr>
        <w:rStyle w:val="9"/>
      </w:rPr>
    </w:pPr>
    <w:r>
      <w:fldChar w:fldCharType="begin"/>
    </w:r>
    <w:r>
      <w:rPr>
        <w:rStyle w:val="9"/>
      </w:rPr>
      <w:instrText xml:space="preserve">PAGE  </w:instrText>
    </w:r>
    <w:r>
      <w:fldChar w:fldCharType="separate"/>
    </w:r>
    <w:r>
      <w:rPr>
        <w:rStyle w:val="9"/>
      </w:rPr>
      <w:t>11</w:t>
    </w:r>
    <w:r>
      <w:fldChar w:fldCharType="end"/>
    </w:r>
  </w:p>
  <w:p w14:paraId="6DE3037C">
    <w:pPr>
      <w:pStyle w:val="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CACCED3">
    <w:pPr>
      <w:pStyle w:val="4"/>
      <w:framePr w:wrap="around" w:vAnchor="text" w:hAnchor="margin" w:xAlign="center" w:y="1"/>
      <w:rPr>
        <w:rStyle w:val="9"/>
      </w:rPr>
    </w:pPr>
    <w:r>
      <w:fldChar w:fldCharType="begin"/>
    </w:r>
    <w:r>
      <w:rPr>
        <w:rStyle w:val="9"/>
      </w:rPr>
      <w:instrText xml:space="preserve">PAGE  </w:instrText>
    </w:r>
    <w:r>
      <w:fldChar w:fldCharType="end"/>
    </w:r>
  </w:p>
  <w:p w14:paraId="43DAF6E7">
    <w:pPr>
      <w:pStyle w:val="4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35163B6"/>
    <w:multiLevelType w:val="singleLevel"/>
    <w:tmpl w:val="A35163B6"/>
    <w:lvl w:ilvl="0" w:tentative="0">
      <w:start w:val="3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B0487619"/>
    <w:multiLevelType w:val="singleLevel"/>
    <w:tmpl w:val="B0487619"/>
    <w:lvl w:ilvl="0" w:tentative="0">
      <w:start w:val="2"/>
      <w:numFmt w:val="chineseCounting"/>
      <w:suff w:val="nothing"/>
      <w:lvlText w:val="（%1）"/>
      <w:lvlJc w:val="left"/>
      <w:rPr>
        <w:rFonts w:hint="eastAsia"/>
      </w:rPr>
    </w:lvl>
  </w:abstractNum>
  <w:abstractNum w:abstractNumId="2">
    <w:nsid w:val="D2967004"/>
    <w:multiLevelType w:val="singleLevel"/>
    <w:tmpl w:val="D2967004"/>
    <w:lvl w:ilvl="0" w:tentative="0">
      <w:start w:val="8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hyphenationZone w:val="36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WI1NTE0NDYxY2JjNDQwNDk5NzU1ZDlhZWMyNzcyOWMifQ=="/>
    <w:docVar w:name="KSO_WPS_MARK_KEY" w:val="b631b96b-6508-4f36-bac4-8ffed9ef9c48"/>
  </w:docVars>
  <w:rsids>
    <w:rsidRoot w:val="0025709B"/>
    <w:rsid w:val="00007A74"/>
    <w:rsid w:val="000115A8"/>
    <w:rsid w:val="0002548C"/>
    <w:rsid w:val="0005403B"/>
    <w:rsid w:val="0005720D"/>
    <w:rsid w:val="000A1F15"/>
    <w:rsid w:val="000B26D6"/>
    <w:rsid w:val="000C121B"/>
    <w:rsid w:val="000C7EFE"/>
    <w:rsid w:val="000D36F0"/>
    <w:rsid w:val="000D386E"/>
    <w:rsid w:val="000D4651"/>
    <w:rsid w:val="000D465C"/>
    <w:rsid w:val="000D67BE"/>
    <w:rsid w:val="000F7C74"/>
    <w:rsid w:val="001238E8"/>
    <w:rsid w:val="00133A4D"/>
    <w:rsid w:val="0015570A"/>
    <w:rsid w:val="001823BD"/>
    <w:rsid w:val="001B4B4B"/>
    <w:rsid w:val="001E0659"/>
    <w:rsid w:val="001F0F73"/>
    <w:rsid w:val="00211964"/>
    <w:rsid w:val="002232AA"/>
    <w:rsid w:val="00223AD4"/>
    <w:rsid w:val="00225DBE"/>
    <w:rsid w:val="0022639F"/>
    <w:rsid w:val="0025709B"/>
    <w:rsid w:val="00273E3C"/>
    <w:rsid w:val="00281414"/>
    <w:rsid w:val="00285DC4"/>
    <w:rsid w:val="002860AB"/>
    <w:rsid w:val="002C5840"/>
    <w:rsid w:val="002F6832"/>
    <w:rsid w:val="00304BCB"/>
    <w:rsid w:val="00305DE7"/>
    <w:rsid w:val="00325D68"/>
    <w:rsid w:val="00335DC6"/>
    <w:rsid w:val="00336DD5"/>
    <w:rsid w:val="00337C9E"/>
    <w:rsid w:val="00346899"/>
    <w:rsid w:val="00355FB4"/>
    <w:rsid w:val="00367D3A"/>
    <w:rsid w:val="00377727"/>
    <w:rsid w:val="00377B8D"/>
    <w:rsid w:val="0039242A"/>
    <w:rsid w:val="00395023"/>
    <w:rsid w:val="003C1ACF"/>
    <w:rsid w:val="003C6D10"/>
    <w:rsid w:val="003D6A37"/>
    <w:rsid w:val="003F4A1A"/>
    <w:rsid w:val="004010DF"/>
    <w:rsid w:val="00404043"/>
    <w:rsid w:val="00404645"/>
    <w:rsid w:val="00406F42"/>
    <w:rsid w:val="00440731"/>
    <w:rsid w:val="0045098C"/>
    <w:rsid w:val="00485910"/>
    <w:rsid w:val="00486B64"/>
    <w:rsid w:val="00490ED0"/>
    <w:rsid w:val="004C3C6A"/>
    <w:rsid w:val="004E3926"/>
    <w:rsid w:val="004E5117"/>
    <w:rsid w:val="004F233C"/>
    <w:rsid w:val="00503FF0"/>
    <w:rsid w:val="0050434E"/>
    <w:rsid w:val="0053087F"/>
    <w:rsid w:val="00531BBB"/>
    <w:rsid w:val="00541CBB"/>
    <w:rsid w:val="00552922"/>
    <w:rsid w:val="005544A9"/>
    <w:rsid w:val="00564256"/>
    <w:rsid w:val="00574567"/>
    <w:rsid w:val="00593ABF"/>
    <w:rsid w:val="00594546"/>
    <w:rsid w:val="005A1D33"/>
    <w:rsid w:val="005A72D8"/>
    <w:rsid w:val="005B6874"/>
    <w:rsid w:val="005C1D10"/>
    <w:rsid w:val="005C5960"/>
    <w:rsid w:val="005D524E"/>
    <w:rsid w:val="005F79BC"/>
    <w:rsid w:val="00613FCD"/>
    <w:rsid w:val="006328C9"/>
    <w:rsid w:val="0065143A"/>
    <w:rsid w:val="006564AE"/>
    <w:rsid w:val="00665CFF"/>
    <w:rsid w:val="006768B6"/>
    <w:rsid w:val="00677E1A"/>
    <w:rsid w:val="00690A9B"/>
    <w:rsid w:val="006959D5"/>
    <w:rsid w:val="006A2DAE"/>
    <w:rsid w:val="006B0342"/>
    <w:rsid w:val="006B24D7"/>
    <w:rsid w:val="006F218E"/>
    <w:rsid w:val="006F6886"/>
    <w:rsid w:val="00704010"/>
    <w:rsid w:val="00707BA9"/>
    <w:rsid w:val="0071748F"/>
    <w:rsid w:val="00736E13"/>
    <w:rsid w:val="007421FF"/>
    <w:rsid w:val="00743F73"/>
    <w:rsid w:val="0075677B"/>
    <w:rsid w:val="00756803"/>
    <w:rsid w:val="0077548E"/>
    <w:rsid w:val="00782BDD"/>
    <w:rsid w:val="00785659"/>
    <w:rsid w:val="007902C5"/>
    <w:rsid w:val="00792571"/>
    <w:rsid w:val="007A0150"/>
    <w:rsid w:val="007A5C8C"/>
    <w:rsid w:val="007B2F86"/>
    <w:rsid w:val="007B51BB"/>
    <w:rsid w:val="007B590D"/>
    <w:rsid w:val="007E3DAE"/>
    <w:rsid w:val="007E7992"/>
    <w:rsid w:val="00821D97"/>
    <w:rsid w:val="00840968"/>
    <w:rsid w:val="008410FB"/>
    <w:rsid w:val="00854AE1"/>
    <w:rsid w:val="00863BB0"/>
    <w:rsid w:val="00872F51"/>
    <w:rsid w:val="008A0B48"/>
    <w:rsid w:val="008B1215"/>
    <w:rsid w:val="008F2AEA"/>
    <w:rsid w:val="00930B7D"/>
    <w:rsid w:val="00947D9C"/>
    <w:rsid w:val="009528DC"/>
    <w:rsid w:val="009770D5"/>
    <w:rsid w:val="0097786C"/>
    <w:rsid w:val="00997522"/>
    <w:rsid w:val="009C6005"/>
    <w:rsid w:val="009D1B91"/>
    <w:rsid w:val="009D4E5E"/>
    <w:rsid w:val="009E1B7F"/>
    <w:rsid w:val="009E3934"/>
    <w:rsid w:val="00A17009"/>
    <w:rsid w:val="00A21BFE"/>
    <w:rsid w:val="00A262DE"/>
    <w:rsid w:val="00A3192B"/>
    <w:rsid w:val="00A328DD"/>
    <w:rsid w:val="00A37DAF"/>
    <w:rsid w:val="00A43CD5"/>
    <w:rsid w:val="00A77784"/>
    <w:rsid w:val="00A84C84"/>
    <w:rsid w:val="00A947FC"/>
    <w:rsid w:val="00A9699C"/>
    <w:rsid w:val="00A96C2C"/>
    <w:rsid w:val="00AA6ABC"/>
    <w:rsid w:val="00AA6F55"/>
    <w:rsid w:val="00AD1FC7"/>
    <w:rsid w:val="00AD434D"/>
    <w:rsid w:val="00AE3221"/>
    <w:rsid w:val="00AE7C47"/>
    <w:rsid w:val="00B125BB"/>
    <w:rsid w:val="00B20CFA"/>
    <w:rsid w:val="00B2310F"/>
    <w:rsid w:val="00B53A88"/>
    <w:rsid w:val="00B756F5"/>
    <w:rsid w:val="00BA4195"/>
    <w:rsid w:val="00BB7B70"/>
    <w:rsid w:val="00BC3FFE"/>
    <w:rsid w:val="00BD687D"/>
    <w:rsid w:val="00BE2F4F"/>
    <w:rsid w:val="00BE37B2"/>
    <w:rsid w:val="00BF367B"/>
    <w:rsid w:val="00BF38B9"/>
    <w:rsid w:val="00BF78D2"/>
    <w:rsid w:val="00C13031"/>
    <w:rsid w:val="00C25F7D"/>
    <w:rsid w:val="00C33CEF"/>
    <w:rsid w:val="00C5011E"/>
    <w:rsid w:val="00C5521E"/>
    <w:rsid w:val="00C622EB"/>
    <w:rsid w:val="00C910A5"/>
    <w:rsid w:val="00C93BB1"/>
    <w:rsid w:val="00C94F1A"/>
    <w:rsid w:val="00CA433C"/>
    <w:rsid w:val="00CB23D1"/>
    <w:rsid w:val="00CF3FBD"/>
    <w:rsid w:val="00D020EA"/>
    <w:rsid w:val="00D11C43"/>
    <w:rsid w:val="00D13329"/>
    <w:rsid w:val="00D25702"/>
    <w:rsid w:val="00D41DE6"/>
    <w:rsid w:val="00D51DD4"/>
    <w:rsid w:val="00D529BF"/>
    <w:rsid w:val="00DA02C8"/>
    <w:rsid w:val="00DA1D17"/>
    <w:rsid w:val="00DA795A"/>
    <w:rsid w:val="00DB0ECF"/>
    <w:rsid w:val="00DB59E7"/>
    <w:rsid w:val="00DC70E8"/>
    <w:rsid w:val="00DC7E05"/>
    <w:rsid w:val="00DD7319"/>
    <w:rsid w:val="00DE084C"/>
    <w:rsid w:val="00DE493A"/>
    <w:rsid w:val="00DE5CE8"/>
    <w:rsid w:val="00DE7A48"/>
    <w:rsid w:val="00DF6597"/>
    <w:rsid w:val="00E21D12"/>
    <w:rsid w:val="00E26E18"/>
    <w:rsid w:val="00E303CC"/>
    <w:rsid w:val="00E32441"/>
    <w:rsid w:val="00E53C74"/>
    <w:rsid w:val="00E77F27"/>
    <w:rsid w:val="00E822C2"/>
    <w:rsid w:val="00E95C5B"/>
    <w:rsid w:val="00EA7F09"/>
    <w:rsid w:val="00EC30BE"/>
    <w:rsid w:val="00EC37D2"/>
    <w:rsid w:val="00ED6A1B"/>
    <w:rsid w:val="00ED6D57"/>
    <w:rsid w:val="00EF44F4"/>
    <w:rsid w:val="00EF7349"/>
    <w:rsid w:val="00F23069"/>
    <w:rsid w:val="00F267AC"/>
    <w:rsid w:val="00F37C62"/>
    <w:rsid w:val="00F44FA5"/>
    <w:rsid w:val="00F52A3D"/>
    <w:rsid w:val="00F61D9C"/>
    <w:rsid w:val="00F700E5"/>
    <w:rsid w:val="00F732FF"/>
    <w:rsid w:val="00F83ABE"/>
    <w:rsid w:val="00F92C7C"/>
    <w:rsid w:val="00FA43BB"/>
    <w:rsid w:val="00FA4C99"/>
    <w:rsid w:val="00FA55A0"/>
    <w:rsid w:val="00FC35CB"/>
    <w:rsid w:val="00FC649D"/>
    <w:rsid w:val="00FE0AB5"/>
    <w:rsid w:val="00FF7B55"/>
    <w:rsid w:val="015C1987"/>
    <w:rsid w:val="02B90061"/>
    <w:rsid w:val="04137B3B"/>
    <w:rsid w:val="04D86C17"/>
    <w:rsid w:val="06894068"/>
    <w:rsid w:val="06AD1137"/>
    <w:rsid w:val="086C22C1"/>
    <w:rsid w:val="0A6B0F64"/>
    <w:rsid w:val="0C2D0885"/>
    <w:rsid w:val="0D733E77"/>
    <w:rsid w:val="0F7459F8"/>
    <w:rsid w:val="12A548E4"/>
    <w:rsid w:val="130C7035"/>
    <w:rsid w:val="151775BA"/>
    <w:rsid w:val="165F1C3C"/>
    <w:rsid w:val="16DF0926"/>
    <w:rsid w:val="19511A90"/>
    <w:rsid w:val="1C1D5257"/>
    <w:rsid w:val="1C5C3D95"/>
    <w:rsid w:val="1C681D89"/>
    <w:rsid w:val="1DD545EF"/>
    <w:rsid w:val="1DFB6413"/>
    <w:rsid w:val="201A233A"/>
    <w:rsid w:val="202020C6"/>
    <w:rsid w:val="20A02E38"/>
    <w:rsid w:val="242E01C0"/>
    <w:rsid w:val="24870D32"/>
    <w:rsid w:val="26591AF7"/>
    <w:rsid w:val="272B21A4"/>
    <w:rsid w:val="279D7EFE"/>
    <w:rsid w:val="2D920FF4"/>
    <w:rsid w:val="2E783624"/>
    <w:rsid w:val="2E96627E"/>
    <w:rsid w:val="2F6C40E1"/>
    <w:rsid w:val="318F6C86"/>
    <w:rsid w:val="32485339"/>
    <w:rsid w:val="326C0DBB"/>
    <w:rsid w:val="33380BF8"/>
    <w:rsid w:val="34312399"/>
    <w:rsid w:val="35A60139"/>
    <w:rsid w:val="369E6634"/>
    <w:rsid w:val="3B524CF9"/>
    <w:rsid w:val="3D916B06"/>
    <w:rsid w:val="3F3D531C"/>
    <w:rsid w:val="3FA018A0"/>
    <w:rsid w:val="42356A60"/>
    <w:rsid w:val="43931450"/>
    <w:rsid w:val="47563270"/>
    <w:rsid w:val="48E47664"/>
    <w:rsid w:val="4A4D503C"/>
    <w:rsid w:val="4AE14E43"/>
    <w:rsid w:val="4B8B73E2"/>
    <w:rsid w:val="4C673FBA"/>
    <w:rsid w:val="4E400973"/>
    <w:rsid w:val="4F471F98"/>
    <w:rsid w:val="4F482F88"/>
    <w:rsid w:val="4F6E7CC4"/>
    <w:rsid w:val="515661FD"/>
    <w:rsid w:val="51893DAE"/>
    <w:rsid w:val="519311FF"/>
    <w:rsid w:val="51943402"/>
    <w:rsid w:val="524906DF"/>
    <w:rsid w:val="52882F09"/>
    <w:rsid w:val="54F508B7"/>
    <w:rsid w:val="560C1580"/>
    <w:rsid w:val="56CE70F0"/>
    <w:rsid w:val="58C66148"/>
    <w:rsid w:val="5AC61E51"/>
    <w:rsid w:val="5CD63DDD"/>
    <w:rsid w:val="5D1F428F"/>
    <w:rsid w:val="5F404995"/>
    <w:rsid w:val="5F495892"/>
    <w:rsid w:val="614B7978"/>
    <w:rsid w:val="625C375B"/>
    <w:rsid w:val="62A57292"/>
    <w:rsid w:val="62C36004"/>
    <w:rsid w:val="62FD4145"/>
    <w:rsid w:val="653C56A3"/>
    <w:rsid w:val="65E72ED2"/>
    <w:rsid w:val="66E96A70"/>
    <w:rsid w:val="678C5F50"/>
    <w:rsid w:val="67DF7B86"/>
    <w:rsid w:val="6ED74E58"/>
    <w:rsid w:val="6F6A1399"/>
    <w:rsid w:val="703379DD"/>
    <w:rsid w:val="705A0CC9"/>
    <w:rsid w:val="7126414F"/>
    <w:rsid w:val="71585501"/>
    <w:rsid w:val="7B70649A"/>
    <w:rsid w:val="7D0548C4"/>
    <w:rsid w:val="7F9E546B"/>
    <w:rsid w:val="FF2922DB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8">
    <w:name w:val="Default Paragraph Font"/>
    <w:semiHidden/>
    <w:uiPriority w:val="0"/>
  </w:style>
  <w:style w:type="table" w:default="1" w:styleId="7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semiHidden/>
    <w:uiPriority w:val="0"/>
    <w:rPr>
      <w:sz w:val="18"/>
      <w:szCs w:val="18"/>
    </w:rPr>
  </w:style>
  <w:style w:type="paragraph" w:styleId="4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1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Normal (Web)"/>
    <w:basedOn w:val="1"/>
    <w:qFormat/>
    <w:uiPriority w:val="0"/>
    <w:pPr>
      <w:spacing w:beforeAutospacing="1" w:afterAutospacing="1"/>
      <w:jc w:val="left"/>
    </w:pPr>
    <w:rPr>
      <w:rFonts w:ascii="Calibri" w:hAnsi="Calibri"/>
      <w:kern w:val="0"/>
      <w:sz w:val="24"/>
    </w:rPr>
  </w:style>
  <w:style w:type="character" w:styleId="9">
    <w:name w:val="page number"/>
    <w:uiPriority w:val="0"/>
  </w:style>
  <w:style w:type="character" w:styleId="10">
    <w:name w:val="Hyperlink"/>
    <w:uiPriority w:val="99"/>
    <w:rPr>
      <w:rFonts w:cs="Times New Roman"/>
      <w:color w:val="0000FF"/>
      <w:u w:val="single"/>
    </w:rPr>
  </w:style>
  <w:style w:type="character" w:customStyle="1" w:styleId="11">
    <w:name w:val="页眉 Char"/>
    <w:link w:val="5"/>
    <w:uiPriority w:val="0"/>
    <w:rPr>
      <w:kern w:val="2"/>
      <w:sz w:val="18"/>
      <w:szCs w:val="18"/>
    </w:rPr>
  </w:style>
  <w:style w:type="paragraph" w:customStyle="1" w:styleId="12">
    <w:name w:val="首行缩进"/>
    <w:basedOn w:val="1"/>
    <w:qFormat/>
    <w:uiPriority w:val="0"/>
    <w:pPr>
      <w:ind w:firstLine="480" w:firstLineChars="200"/>
    </w:pPr>
    <w:rPr>
      <w:lang w:val="zh-CN"/>
    </w:rPr>
  </w:style>
  <w:style w:type="paragraph" w:customStyle="1" w:styleId="13">
    <w:name w:val="_Style 1"/>
    <w:basedOn w:val="1"/>
    <w:qFormat/>
    <w:uiPriority w:val="99"/>
    <w:pPr>
      <w:ind w:firstLine="420" w:firstLineChars="200"/>
    </w:pPr>
    <w:rPr>
      <w:rFonts w:ascii="Calibri" w:hAnsi="Calibri" w:eastAsia="宋体" w:cs="Times New Roman"/>
      <w:szCs w:val="22"/>
    </w:rPr>
  </w:style>
  <w:style w:type="paragraph" w:customStyle="1" w:styleId="14">
    <w:name w:val="列出段落1"/>
    <w:basedOn w:val="1"/>
    <w:qFormat/>
    <w:uiPriority w:val="34"/>
    <w:pPr>
      <w:ind w:firstLine="420" w:firstLineChars="200"/>
    </w:pPr>
    <w:rPr>
      <w:rFonts w:ascii="仿宋" w:hAnsi="仿宋"/>
      <w:kern w:val="0"/>
      <w:sz w:val="28"/>
    </w:rPr>
  </w:style>
  <w:style w:type="paragraph" w:styleId="15">
    <w:name w:val="List Paragraph"/>
    <w:basedOn w:val="1"/>
    <w:qFormat/>
    <w:uiPriority w:val="99"/>
    <w:pPr>
      <w:ind w:firstLine="420" w:firstLineChars="200"/>
    </w:pPr>
    <w:rPr>
      <w:rFonts w:ascii="Calibri" w:hAnsi="Calibri"/>
      <w:kern w:val="0"/>
      <w:sz w:val="28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china</Company>
  <Pages>4</Pages>
  <Words>1043</Words>
  <Characters>1114</Characters>
  <Lines>44</Lines>
  <Paragraphs>12</Paragraphs>
  <TotalTime>4</TotalTime>
  <ScaleCrop>false</ScaleCrop>
  <LinksUpToDate>false</LinksUpToDate>
  <CharactersWithSpaces>1114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2024-05-29T08:11:00Z</dcterms:created>
  <dc:creator>LGP</dc:creator>
  <cp:lastModifiedBy>被懒</cp:lastModifiedBy>
  <cp:lastPrinted>2024-05-22T02:48:00Z</cp:lastPrinted>
  <dcterms:modified xsi:type="dcterms:W3CDTF">2025-10-11T02:17:35Z</dcterms:modified>
  <dc:title>关于解决零陵区促进就业小额担保贷款贴息资金的请示</dc:title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A98B396A168F4F2E9FE104BCAFC18C15_13</vt:lpwstr>
  </property>
  <property fmtid="{D5CDD505-2E9C-101B-9397-08002B2CF9AE}" pid="4" name="KSOTemplateDocerSaveRecord">
    <vt:lpwstr>eyJoZGlkIjoiOWI1NTE0NDYxY2JjNDQwNDk5NzU1ZDlhZWMyNzcyOWMiLCJ1c2VySWQiOiI3NTEzODY2MTUifQ==</vt:lpwstr>
  </property>
</Properties>
</file>