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2"/>
          <w:szCs w:val="32"/>
        </w:rPr>
      </w:pPr>
      <w:bookmarkStart w:id="0" w:name="_GoBack"/>
      <w:bookmarkEnd w:id="0"/>
      <w:r>
        <w:rPr>
          <w:rFonts w:eastAsia="黑体"/>
          <w:sz w:val="32"/>
          <w:szCs w:val="32"/>
        </w:rPr>
        <w:t>附件1</w:t>
      </w: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jc w:val="center"/>
        <w:rPr>
          <w:rFonts w:hint="eastAsia" w:ascii="方正小标宋简体" w:eastAsia="方正小标宋简体"/>
          <w:sz w:val="52"/>
          <w:szCs w:val="52"/>
        </w:rPr>
      </w:pPr>
      <w:r>
        <w:rPr>
          <w:rFonts w:hint="eastAsia" w:ascii="方正小标宋简体" w:eastAsia="方正小标宋简体"/>
          <w:sz w:val="52"/>
          <w:szCs w:val="52"/>
        </w:rPr>
        <w:t>202</w:t>
      </w:r>
      <w:r>
        <w:rPr>
          <w:rFonts w:hint="eastAsia" w:ascii="方正小标宋简体" w:eastAsia="方正小标宋简体"/>
          <w:sz w:val="52"/>
          <w:szCs w:val="52"/>
          <w:lang w:val="en-US" w:eastAsia="zh-CN"/>
        </w:rPr>
        <w:t>4</w:t>
      </w:r>
      <w:r>
        <w:rPr>
          <w:rFonts w:hint="eastAsia" w:ascii="方正小标宋简体" w:eastAsia="方正小标宋简体"/>
          <w:sz w:val="52"/>
          <w:szCs w:val="52"/>
        </w:rPr>
        <w:t>年度</w:t>
      </w:r>
      <w:r>
        <w:rPr>
          <w:rFonts w:hint="eastAsia" w:ascii="方正小标宋简体" w:eastAsia="方正小标宋简体"/>
          <w:sz w:val="52"/>
          <w:szCs w:val="52"/>
          <w:lang w:eastAsia="zh-CN"/>
        </w:rPr>
        <w:t>新田县肥源国有林场</w:t>
      </w:r>
      <w:r>
        <w:rPr>
          <w:rFonts w:hint="eastAsia" w:ascii="方正小标宋简体" w:eastAsia="方正小标宋简体"/>
          <w:sz w:val="52"/>
          <w:szCs w:val="52"/>
        </w:rPr>
        <w:t>整体支出</w:t>
      </w:r>
    </w:p>
    <w:p>
      <w:pPr>
        <w:jc w:val="center"/>
        <w:rPr>
          <w:rFonts w:hint="eastAsia" w:ascii="方正小标宋简体" w:eastAsia="方正小标宋简体"/>
          <w:sz w:val="52"/>
          <w:szCs w:val="52"/>
        </w:rPr>
      </w:pPr>
      <w:r>
        <w:rPr>
          <w:rFonts w:hint="eastAsia" w:ascii="方正小标宋简体" w:eastAsia="方正小标宋简体"/>
          <w:sz w:val="52"/>
          <w:szCs w:val="52"/>
        </w:rPr>
        <w:t>绩效自评报告</w:t>
      </w:r>
    </w:p>
    <w:p>
      <w:pPr>
        <w:jc w:val="center"/>
        <w:rPr>
          <w:rFonts w:eastAsia="方正小标宋_GBK"/>
          <w:b/>
          <w:sz w:val="52"/>
          <w:szCs w:val="52"/>
        </w:rPr>
      </w:pPr>
    </w:p>
    <w:p>
      <w:pPr>
        <w:jc w:val="center"/>
        <w:rPr>
          <w:rFonts w:eastAsia="楷体_GB2312"/>
          <w:b/>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黑体"/>
          <w:sz w:val="32"/>
          <w:szCs w:val="32"/>
        </w:rPr>
      </w:pPr>
    </w:p>
    <w:p>
      <w:pPr>
        <w:jc w:val="center"/>
        <w:rPr>
          <w:rFonts w:eastAsia="黑体"/>
          <w:sz w:val="32"/>
          <w:szCs w:val="32"/>
        </w:rPr>
      </w:pPr>
    </w:p>
    <w:p>
      <w:pPr>
        <w:spacing w:line="600" w:lineRule="exact"/>
        <w:jc w:val="center"/>
        <w:rPr>
          <w:rFonts w:hint="eastAsia" w:eastAsia="仿宋_GB2312"/>
          <w:sz w:val="32"/>
          <w:szCs w:val="32"/>
          <w:lang w:val="en-US" w:eastAsia="zh-CN"/>
        </w:rPr>
      </w:pPr>
      <w:r>
        <w:rPr>
          <w:rFonts w:eastAsia="仿宋_GB2312"/>
          <w:sz w:val="32"/>
          <w:szCs w:val="32"/>
        </w:rPr>
        <w:t>单位名称：</w:t>
      </w:r>
      <w:r>
        <w:rPr>
          <w:rFonts w:hint="eastAsia" w:eastAsia="仿宋_GB2312"/>
          <w:sz w:val="32"/>
          <w:szCs w:val="32"/>
          <w:lang w:eastAsia="zh-CN"/>
        </w:rPr>
        <w:t>新田县肥源国有林场</w:t>
      </w:r>
      <w:r>
        <w:rPr>
          <w:rFonts w:hint="eastAsia" w:eastAsia="仿宋_GB2312"/>
          <w:sz w:val="32"/>
          <w:szCs w:val="32"/>
          <w:lang w:val="en-US" w:eastAsia="zh-CN"/>
        </w:rPr>
        <w:t xml:space="preserve"> </w:t>
      </w:r>
    </w:p>
    <w:p>
      <w:pPr>
        <w:spacing w:line="600" w:lineRule="exact"/>
        <w:ind w:firstLine="3200" w:firstLineChars="1000"/>
        <w:rPr>
          <w:rFonts w:eastAsia="楷体_GB2312"/>
          <w:sz w:val="32"/>
          <w:szCs w:val="32"/>
        </w:rPr>
      </w:pPr>
      <w:r>
        <w:rPr>
          <w:rFonts w:hint="eastAsia" w:eastAsia="楷体_GB2312"/>
          <w:sz w:val="32"/>
          <w:szCs w:val="32"/>
          <w:lang w:val="en-US" w:eastAsia="zh-CN"/>
        </w:rPr>
        <w:t>2025</w:t>
      </w:r>
      <w:r>
        <w:rPr>
          <w:rFonts w:eastAsia="楷体_GB2312"/>
          <w:sz w:val="32"/>
          <w:szCs w:val="32"/>
        </w:rPr>
        <w:t>年</w:t>
      </w:r>
      <w:r>
        <w:rPr>
          <w:rFonts w:hint="eastAsia" w:eastAsia="楷体_GB2312"/>
          <w:sz w:val="32"/>
          <w:szCs w:val="32"/>
          <w:lang w:val="en-US" w:eastAsia="zh-CN"/>
        </w:rPr>
        <w:t>6</w:t>
      </w:r>
      <w:r>
        <w:rPr>
          <w:rFonts w:eastAsia="楷体_GB2312"/>
          <w:sz w:val="32"/>
          <w:szCs w:val="32"/>
        </w:rPr>
        <w:t>月</w:t>
      </w:r>
      <w:r>
        <w:rPr>
          <w:rFonts w:hint="eastAsia" w:eastAsia="楷体_GB2312"/>
          <w:sz w:val="32"/>
          <w:szCs w:val="32"/>
          <w:lang w:val="en-US" w:eastAsia="zh-CN"/>
        </w:rPr>
        <w:t>18</w:t>
      </w:r>
      <w:r>
        <w:rPr>
          <w:rFonts w:eastAsia="楷体_GB2312"/>
          <w:sz w:val="32"/>
          <w:szCs w:val="32"/>
        </w:rPr>
        <w:t>日</w:t>
      </w:r>
    </w:p>
    <w:p>
      <w:pPr>
        <w:jc w:val="center"/>
        <w:rPr>
          <w:rFonts w:eastAsia="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eastAsia="黑体"/>
          <w:sz w:val="32"/>
          <w:szCs w:val="32"/>
        </w:rPr>
      </w:pPr>
      <w:r>
        <w:rPr>
          <w:rFonts w:eastAsia="仿宋_GB2312"/>
          <w:sz w:val="32"/>
          <w:szCs w:val="32"/>
        </w:rPr>
        <w:br w:type="page"/>
      </w:r>
      <w:r>
        <w:rPr>
          <w:rFonts w:hint="eastAsia" w:ascii="黑体" w:hAnsi="黑体" w:eastAsia="黑体" w:cs="黑体"/>
          <w:sz w:val="32"/>
          <w:szCs w:val="32"/>
        </w:rPr>
        <w:t>一、</w:t>
      </w:r>
      <w:r>
        <w:rPr>
          <w:rFonts w:eastAsia="黑体"/>
          <w:sz w:val="32"/>
          <w:szCs w:val="32"/>
        </w:rPr>
        <w:t>部门（单位）基本情况</w:t>
      </w:r>
    </w:p>
    <w:p>
      <w:pPr>
        <w:snapToGrid w:val="0"/>
        <w:spacing w:line="520" w:lineRule="exact"/>
        <w:ind w:firstLine="643" w:firstLineChars="200"/>
        <w:rPr>
          <w:rFonts w:hint="eastAsia" w:ascii="楷体_GB2312" w:hAnsi="仿宋" w:eastAsia="楷体_GB2312"/>
          <w:b/>
          <w:color w:val="000000" w:themeColor="text1"/>
          <w:sz w:val="32"/>
          <w:szCs w:val="32"/>
          <w14:textFill>
            <w14:solidFill>
              <w14:schemeClr w14:val="tx1"/>
            </w14:solidFill>
          </w14:textFill>
        </w:rPr>
      </w:pPr>
      <w:r>
        <w:rPr>
          <w:rFonts w:hint="eastAsia" w:ascii="楷体_GB2312" w:hAnsi="仿宋" w:eastAsia="楷体_GB2312"/>
          <w:b/>
          <w:color w:val="000000" w:themeColor="text1"/>
          <w:sz w:val="32"/>
          <w:szCs w:val="32"/>
          <w14:textFill>
            <w14:solidFill>
              <w14:schemeClr w14:val="tx1"/>
            </w14:solidFill>
          </w14:textFill>
        </w:rPr>
        <w:t>（一）基本情况。</w:t>
      </w:r>
    </w:p>
    <w:p>
      <w:pPr>
        <w:snapToGrid w:val="0"/>
        <w:spacing w:line="520" w:lineRule="exact"/>
        <w:ind w:firstLine="640"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1．主要职能。</w:t>
      </w:r>
    </w:p>
    <w:p>
      <w:pPr>
        <w:widowControl/>
        <w:spacing w:line="600" w:lineRule="atLeast"/>
        <w:ind w:firstLine="627"/>
        <w:jc w:val="left"/>
        <w:rPr>
          <w:rFonts w:ascii="仿宋_GB2312" w:eastAsia="仿宋_GB2312" w:cs="仿宋_GB2312"/>
          <w:color w:val="000000" w:themeColor="text1"/>
          <w:sz w:val="32"/>
          <w:szCs w:val="32"/>
          <w:shd w:val="clear" w:color="auto" w:fill="F6F6F6"/>
          <w14:textFill>
            <w14:solidFill>
              <w14:schemeClr w14:val="tx1"/>
            </w14:solidFill>
          </w14:textFill>
        </w:rPr>
      </w:pPr>
      <w:r>
        <w:rPr>
          <w:rFonts w:hint="eastAsia" w:ascii="仿宋_GB2312" w:eastAsia="仿宋_GB2312" w:cs="仿宋_GB2312"/>
          <w:color w:val="000000" w:themeColor="text1"/>
          <w:sz w:val="32"/>
          <w:szCs w:val="32"/>
          <w:shd w:val="clear" w:color="auto" w:fill="F6F6F6"/>
          <w14:textFill>
            <w14:solidFill>
              <w14:schemeClr w14:val="tx1"/>
            </w14:solidFill>
          </w14:textFill>
        </w:rPr>
        <w:t>（1）贯彻执行党和国家关于林业工作的方针、政策、法律法规,编制辖区内的森林发展规划,并组织实施。</w:t>
      </w:r>
    </w:p>
    <w:p>
      <w:pPr>
        <w:widowControl/>
        <w:spacing w:line="600" w:lineRule="atLeast"/>
        <w:ind w:firstLine="627"/>
        <w:jc w:val="left"/>
        <w:rPr>
          <w:rFonts w:ascii="仿宋_GB2312" w:eastAsia="仿宋_GB2312" w:cs="仿宋_GB2312"/>
          <w:color w:val="000000" w:themeColor="text1"/>
          <w:sz w:val="32"/>
          <w:szCs w:val="32"/>
          <w:shd w:val="clear" w:color="auto" w:fill="F6F6F6"/>
          <w14:textFill>
            <w14:solidFill>
              <w14:schemeClr w14:val="tx1"/>
            </w14:solidFill>
          </w14:textFill>
        </w:rPr>
      </w:pPr>
      <w:r>
        <w:rPr>
          <w:rFonts w:hint="eastAsia" w:ascii="仿宋_GB2312" w:eastAsia="仿宋_GB2312" w:cs="仿宋_GB2312"/>
          <w:color w:val="000000" w:themeColor="text1"/>
          <w:sz w:val="32"/>
          <w:szCs w:val="32"/>
          <w:shd w:val="clear" w:color="auto" w:fill="F6F6F6"/>
          <w14:textFill>
            <w14:solidFill>
              <w14:schemeClr w14:val="tx1"/>
            </w14:solidFill>
          </w14:textFill>
        </w:rPr>
        <w:t>（2）依据《中华人民共和国森林法》、</w:t>
      </w:r>
      <w:r>
        <w:rPr>
          <w:rFonts w:hint="eastAsia" w:ascii="仿宋_GB2312" w:eastAsia="仿宋_GB2312" w:cs="仿宋_GB2312"/>
          <w:color w:val="000000" w:themeColor="text1"/>
          <w:sz w:val="32"/>
          <w:szCs w:val="32"/>
          <w:shd w:val="clear" w:color="auto" w:fill="F6F6F6"/>
          <w:lang w:eastAsia="zh-CN"/>
          <w14:textFill>
            <w14:solidFill>
              <w14:schemeClr w14:val="tx1"/>
            </w14:solidFill>
          </w14:textFill>
        </w:rPr>
        <w:t>《中华人民共和国森林法实施条例》</w:t>
      </w:r>
      <w:r>
        <w:rPr>
          <w:rFonts w:hint="eastAsia" w:ascii="仿宋_GB2312" w:eastAsia="仿宋_GB2312" w:cs="仿宋_GB2312"/>
          <w:color w:val="000000" w:themeColor="text1"/>
          <w:sz w:val="32"/>
          <w:szCs w:val="32"/>
          <w:shd w:val="clear" w:color="auto" w:fill="F6F6F6"/>
          <w14:textFill>
            <w14:solidFill>
              <w14:schemeClr w14:val="tx1"/>
            </w14:solidFill>
          </w14:textFill>
        </w:rPr>
        <w:t>等相关法律法规,以国有森林资源保护管理为核心,依法保护好国有林木、林地。配合森林公安机关依法查处偷砍盗伐、破坏动植物资源、毁林开垦、乱占林地等破坏国有森林资源案件。</w:t>
      </w:r>
    </w:p>
    <w:p>
      <w:pPr>
        <w:widowControl/>
        <w:spacing w:line="600" w:lineRule="atLeast"/>
        <w:ind w:firstLine="627"/>
        <w:jc w:val="left"/>
        <w:rPr>
          <w:rFonts w:ascii="仿宋_GB2312" w:eastAsia="仿宋_GB2312" w:cs="仿宋_GB2312"/>
          <w:color w:val="000000" w:themeColor="text1"/>
          <w:sz w:val="32"/>
          <w:szCs w:val="32"/>
          <w:shd w:val="clear" w:color="auto" w:fill="F6F6F6"/>
          <w14:textFill>
            <w14:solidFill>
              <w14:schemeClr w14:val="tx1"/>
            </w14:solidFill>
          </w14:textFill>
        </w:rPr>
      </w:pPr>
      <w:r>
        <w:rPr>
          <w:rFonts w:hint="eastAsia" w:ascii="仿宋_GB2312" w:eastAsia="仿宋_GB2312" w:cs="仿宋_GB2312"/>
          <w:color w:val="000000" w:themeColor="text1"/>
          <w:sz w:val="32"/>
          <w:szCs w:val="32"/>
          <w:shd w:val="clear" w:color="auto" w:fill="F6F6F6"/>
          <w14:textFill>
            <w14:solidFill>
              <w14:schemeClr w14:val="tx1"/>
            </w14:solidFill>
          </w14:textFill>
        </w:rPr>
        <w:t>（3）负责辖区森林防火和病虫害防治,确保国有森林资源不受损失。</w:t>
      </w:r>
    </w:p>
    <w:p>
      <w:pPr>
        <w:widowControl/>
        <w:spacing w:line="600" w:lineRule="atLeast"/>
        <w:ind w:firstLine="627"/>
        <w:jc w:val="left"/>
        <w:rPr>
          <w:rFonts w:ascii="仿宋_GB2312" w:eastAsia="仿宋_GB2312" w:cs="仿宋_GB2312"/>
          <w:color w:val="000000" w:themeColor="text1"/>
          <w:sz w:val="32"/>
          <w:szCs w:val="32"/>
          <w:shd w:val="clear" w:color="auto" w:fill="F6F6F6"/>
          <w14:textFill>
            <w14:solidFill>
              <w14:schemeClr w14:val="tx1"/>
            </w14:solidFill>
          </w14:textFill>
        </w:rPr>
      </w:pPr>
      <w:r>
        <w:rPr>
          <w:rFonts w:hint="eastAsia" w:ascii="仿宋_GB2312" w:eastAsia="仿宋_GB2312" w:cs="仿宋_GB2312"/>
          <w:color w:val="000000" w:themeColor="text1"/>
          <w:sz w:val="32"/>
          <w:szCs w:val="32"/>
          <w:shd w:val="clear" w:color="auto" w:fill="F6F6F6"/>
          <w14:textFill>
            <w14:solidFill>
              <w14:schemeClr w14:val="tx1"/>
            </w14:solidFill>
          </w14:textFill>
        </w:rPr>
        <w:t>（4）在上级主管部门的指导帮助下,做好管护区域内森林资源培育、天然林保护、野生动植物资源保护、林业有害生物防治工作。</w:t>
      </w:r>
    </w:p>
    <w:p>
      <w:pPr>
        <w:widowControl/>
        <w:spacing w:line="600" w:lineRule="atLeast"/>
        <w:ind w:firstLine="627"/>
        <w:jc w:val="left"/>
        <w:rPr>
          <w:rFonts w:hint="eastAsia" w:ascii="仿宋_GB2312" w:eastAsia="仿宋_GB2312" w:cs="仿宋_GB2312"/>
          <w:color w:val="000000" w:themeColor="text1"/>
          <w:sz w:val="32"/>
          <w:szCs w:val="32"/>
          <w:shd w:val="clear" w:color="auto" w:fill="F6F6F6"/>
          <w14:textFill>
            <w14:solidFill>
              <w14:schemeClr w14:val="tx1"/>
            </w14:solidFill>
          </w14:textFill>
        </w:rPr>
      </w:pPr>
      <w:r>
        <w:rPr>
          <w:rFonts w:hint="default" w:ascii="仿宋_GB2312" w:eastAsia="仿宋_GB2312" w:cs="仿宋_GB2312"/>
          <w:color w:val="000000" w:themeColor="text1"/>
          <w:sz w:val="32"/>
          <w:szCs w:val="32"/>
          <w:shd w:val="clear" w:color="auto" w:fill="F6F6F6"/>
          <w14:textFill>
            <w14:solidFill>
              <w14:schemeClr w14:val="tx1"/>
            </w14:solidFill>
          </w14:textFill>
        </w:rPr>
        <w:t>（5）依据国家、省和市相关的管理规定,做好国家重点公益林和省级重点公益林管理工作,充分发挥公益林的生态效益。</w:t>
      </w:r>
    </w:p>
    <w:p>
      <w:pPr>
        <w:widowControl/>
        <w:spacing w:line="600" w:lineRule="atLeast"/>
        <w:ind w:firstLine="627"/>
        <w:jc w:val="left"/>
        <w:rPr>
          <w:rFonts w:ascii="宋体" w:hAnsi="宋体" w:cs="宋体"/>
          <w:color w:val="000000" w:themeColor="text1"/>
          <w:sz w:val="28"/>
          <w:szCs w:val="28"/>
          <w14:textFill>
            <w14:solidFill>
              <w14:schemeClr w14:val="tx1"/>
            </w14:solidFill>
          </w14:textFill>
        </w:rPr>
      </w:pPr>
      <w:r>
        <w:rPr>
          <w:rFonts w:hint="eastAsia" w:ascii="仿宋_GB2312" w:eastAsia="仿宋_GB2312" w:cs="仿宋_GB2312"/>
          <w:color w:val="000000" w:themeColor="text1"/>
          <w:sz w:val="32"/>
          <w:szCs w:val="32"/>
          <w:shd w:val="clear" w:color="auto" w:fill="F6F6F6"/>
          <w14:textFill>
            <w14:solidFill>
              <w14:schemeClr w14:val="tx1"/>
            </w14:solidFill>
          </w14:textFill>
        </w:rPr>
        <w:t>（6）完成县委、县政府及上级业务主管部门交办的其它工作。</w:t>
      </w:r>
    </w:p>
    <w:p>
      <w:pPr>
        <w:snapToGrid w:val="0"/>
        <w:spacing w:line="520" w:lineRule="exact"/>
        <w:ind w:firstLine="640" w:firstLineChars="200"/>
        <w:rPr>
          <w:rFonts w:hint="eastAsia" w:ascii="仿宋_GB2312" w:hAnsi="仿宋" w:eastAsia="仿宋_GB2312"/>
          <w:color w:val="000000" w:themeColor="text1"/>
          <w:sz w:val="32"/>
          <w:szCs w:val="32"/>
          <w14:textFill>
            <w14:solidFill>
              <w14:schemeClr w14:val="tx1"/>
            </w14:solidFill>
          </w14:textFill>
        </w:rPr>
      </w:pPr>
    </w:p>
    <w:p>
      <w:pPr>
        <w:snapToGrid w:val="0"/>
        <w:spacing w:line="520" w:lineRule="exact"/>
        <w:ind w:firstLine="640"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2．机构情况，包括当年变动情况及原因。</w:t>
      </w:r>
    </w:p>
    <w:p>
      <w:pPr>
        <w:pStyle w:val="2"/>
        <w:spacing w:beforeAutospacing="0" w:afterAutospacing="0" w:line="600" w:lineRule="exact"/>
        <w:ind w:firstLine="560" w:firstLineChars="200"/>
        <w:jc w:val="both"/>
        <w:rPr>
          <w:color w:val="000000" w:themeColor="text1"/>
          <w:sz w:val="32"/>
          <w:szCs w:val="32"/>
          <w14:textFill>
            <w14:solidFill>
              <w14:schemeClr w14:val="tx1"/>
            </w14:solidFill>
          </w14:textFill>
        </w:rPr>
      </w:pPr>
      <w:r>
        <w:rPr>
          <w:rFonts w:hint="eastAsia"/>
          <w:bCs/>
          <w:color w:val="000000" w:themeColor="text1"/>
          <w:sz w:val="28"/>
          <w:szCs w:val="28"/>
          <w14:textFill>
            <w14:solidFill>
              <w14:schemeClr w14:val="tx1"/>
            </w14:solidFill>
          </w14:textFill>
        </w:rPr>
        <w:t>（一）内设机构设置。</w:t>
      </w:r>
      <w:r>
        <w:rPr>
          <w:rFonts w:ascii="仿宋_GB2312" w:hAnsi="Times New Roman" w:eastAsia="仿宋_GB2312" w:cs="仿宋_GB2312"/>
          <w:color w:val="000000" w:themeColor="text1"/>
          <w:sz w:val="32"/>
          <w:szCs w:val="32"/>
          <w:shd w:val="clear" w:color="auto" w:fill="F6F6F6"/>
          <w14:textFill>
            <w14:solidFill>
              <w14:schemeClr w14:val="tx1"/>
            </w14:solidFill>
          </w14:textFill>
        </w:rPr>
        <w:t>根据编委核定，我</w:t>
      </w:r>
      <w:r>
        <w:rPr>
          <w:rFonts w:hint="eastAsia" w:ascii="仿宋_GB2312" w:hAnsi="Times New Roman" w:eastAsia="仿宋_GB2312" w:cs="仿宋_GB2312"/>
          <w:color w:val="000000" w:themeColor="text1"/>
          <w:sz w:val="32"/>
          <w:szCs w:val="32"/>
          <w:shd w:val="clear" w:color="auto" w:fill="F6F6F6"/>
          <w14:textFill>
            <w14:solidFill>
              <w14:schemeClr w14:val="tx1"/>
            </w14:solidFill>
          </w14:textFill>
        </w:rPr>
        <w:t>局</w:t>
      </w:r>
      <w:r>
        <w:rPr>
          <w:rFonts w:ascii="仿宋_GB2312" w:hAnsi="Times New Roman" w:eastAsia="仿宋_GB2312" w:cs="仿宋_GB2312"/>
          <w:color w:val="000000" w:themeColor="text1"/>
          <w:sz w:val="32"/>
          <w:szCs w:val="32"/>
          <w:shd w:val="clear" w:color="auto" w:fill="F6F6F6"/>
          <w14:textFill>
            <w14:solidFill>
              <w14:schemeClr w14:val="tx1"/>
            </w14:solidFill>
          </w14:textFill>
        </w:rPr>
        <w:t>内设</w:t>
      </w:r>
      <w:r>
        <w:rPr>
          <w:rFonts w:hint="eastAsia" w:ascii="仿宋_GB2312" w:hAnsi="Times New Roman" w:eastAsia="仿宋_GB2312" w:cs="仿宋_GB2312"/>
          <w:color w:val="000000" w:themeColor="text1"/>
          <w:sz w:val="32"/>
          <w:szCs w:val="32"/>
          <w:shd w:val="clear" w:color="auto" w:fill="F6F6F6"/>
          <w14:textFill>
            <w14:solidFill>
              <w14:schemeClr w14:val="tx1"/>
            </w14:solidFill>
          </w14:textFill>
        </w:rPr>
        <w:t>股室</w:t>
      </w:r>
      <w:r>
        <w:rPr>
          <w:rFonts w:hint="eastAsia" w:ascii="仿宋_GB2312" w:hAnsi="Times New Roman" w:eastAsia="仿宋_GB2312" w:cs="仿宋_GB2312"/>
          <w:color w:val="000000" w:themeColor="text1"/>
          <w:sz w:val="32"/>
          <w:szCs w:val="32"/>
          <w:u w:val="single"/>
          <w:shd w:val="clear" w:color="auto" w:fill="F6F6F6"/>
          <w14:textFill>
            <w14:solidFill>
              <w14:schemeClr w14:val="tx1"/>
            </w14:solidFill>
          </w14:textFill>
        </w:rPr>
        <w:t xml:space="preserve"> 3 </w:t>
      </w:r>
      <w:r>
        <w:rPr>
          <w:rFonts w:ascii="仿宋_GB2312" w:hAnsi="Times New Roman" w:eastAsia="仿宋_GB2312" w:cs="仿宋_GB2312"/>
          <w:color w:val="000000" w:themeColor="text1"/>
          <w:sz w:val="32"/>
          <w:szCs w:val="32"/>
          <w:shd w:val="clear" w:color="auto" w:fill="F6F6F6"/>
          <w14:textFill>
            <w14:solidFill>
              <w14:schemeClr w14:val="tx1"/>
            </w14:solidFill>
          </w14:textFill>
        </w:rPr>
        <w:t>个</w:t>
      </w:r>
      <w:r>
        <w:rPr>
          <w:rFonts w:hint="eastAsia" w:ascii="仿宋_GB2312" w:hAnsi="Times New Roman" w:eastAsia="仿宋_GB2312" w:cs="仿宋_GB2312"/>
          <w:color w:val="000000" w:themeColor="text1"/>
          <w:sz w:val="32"/>
          <w:szCs w:val="32"/>
          <w:shd w:val="clear" w:color="auto" w:fill="F6F6F6"/>
          <w14:textFill>
            <w14:solidFill>
              <w14:schemeClr w14:val="tx1"/>
            </w14:solidFill>
          </w14:textFill>
        </w:rPr>
        <w:t>。</w:t>
      </w:r>
    </w:p>
    <w:p>
      <w:pPr>
        <w:pStyle w:val="2"/>
        <w:spacing w:beforeAutospacing="0" w:afterAutospacing="0" w:line="600" w:lineRule="exact"/>
        <w:ind w:firstLine="640" w:firstLineChars="200"/>
        <w:jc w:val="both"/>
        <w:rPr>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shd w:val="clear" w:color="auto" w:fill="F6F6F6"/>
          <w14:textFill>
            <w14:solidFill>
              <w14:schemeClr w14:val="tx1"/>
            </w14:solidFill>
          </w14:textFill>
        </w:rPr>
        <w:t>内设</w:t>
      </w:r>
      <w:r>
        <w:rPr>
          <w:rFonts w:hint="eastAsia" w:ascii="Times New Roman" w:hAnsi="Times New Roman" w:eastAsia="仿宋_GB2312" w:cs="Times New Roman"/>
          <w:color w:val="000000" w:themeColor="text1"/>
          <w:sz w:val="32"/>
          <w:szCs w:val="32"/>
          <w:shd w:val="clear" w:color="auto" w:fill="F6F6F6"/>
          <w14:textFill>
            <w14:solidFill>
              <w14:schemeClr w14:val="tx1"/>
            </w14:solidFill>
          </w14:textFill>
        </w:rPr>
        <w:t>股</w:t>
      </w:r>
      <w:r>
        <w:rPr>
          <w:rFonts w:ascii="Times New Roman" w:hAnsi="Times New Roman" w:eastAsia="仿宋_GB2312" w:cs="Times New Roman"/>
          <w:color w:val="000000" w:themeColor="text1"/>
          <w:sz w:val="32"/>
          <w:szCs w:val="32"/>
          <w:shd w:val="clear" w:color="auto" w:fill="F6F6F6"/>
          <w14:textFill>
            <w14:solidFill>
              <w14:schemeClr w14:val="tx1"/>
            </w14:solidFill>
          </w14:textFill>
        </w:rPr>
        <w:t>室分别是</w:t>
      </w:r>
      <w:r>
        <w:rPr>
          <w:rFonts w:hint="eastAsia" w:ascii="Times New Roman" w:hAnsi="Times New Roman" w:eastAsia="仿宋_GB2312" w:cs="Times New Roman"/>
          <w:color w:val="000000" w:themeColor="text1"/>
          <w:sz w:val="32"/>
          <w:szCs w:val="32"/>
          <w:shd w:val="clear" w:color="auto" w:fill="F6F6F6"/>
          <w14:textFill>
            <w14:solidFill>
              <w14:schemeClr w14:val="tx1"/>
            </w14:solidFill>
          </w14:textFill>
        </w:rPr>
        <w:t>综合室、资源保护室（安全生产室）、林政营林室</w:t>
      </w:r>
      <w:r>
        <w:rPr>
          <w:rFonts w:ascii="Times New Roman" w:hAnsi="Times New Roman" w:eastAsia="仿宋_GB2312" w:cs="Times New Roman"/>
          <w:color w:val="000000" w:themeColor="text1"/>
          <w:sz w:val="32"/>
          <w:szCs w:val="32"/>
          <w:shd w:val="clear" w:color="auto" w:fill="F6F6F6"/>
          <w14:textFill>
            <w14:solidFill>
              <w14:schemeClr w14:val="tx1"/>
            </w14:solidFill>
          </w14:textFill>
        </w:rPr>
        <w:t>。</w:t>
      </w:r>
    </w:p>
    <w:p>
      <w:pPr>
        <w:snapToGrid w:val="0"/>
        <w:spacing w:line="520" w:lineRule="exact"/>
        <w:ind w:firstLine="643" w:firstLineChars="200"/>
        <w:rPr>
          <w:rFonts w:hint="eastAsia" w:ascii="仿宋_GB2312" w:hAnsi="仿宋" w:eastAsia="仿宋_GB2312"/>
          <w:b/>
          <w:color w:val="000000" w:themeColor="text1"/>
          <w:sz w:val="32"/>
          <w:szCs w:val="32"/>
          <w14:textFill>
            <w14:solidFill>
              <w14:schemeClr w14:val="tx1"/>
            </w14:solidFill>
          </w14:textFill>
        </w:rPr>
      </w:pPr>
    </w:p>
    <w:p>
      <w:pPr>
        <w:snapToGrid w:val="0"/>
        <w:spacing w:line="520" w:lineRule="exact"/>
        <w:ind w:firstLine="640"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3．人员情况，包括当年变动情况及原因。</w:t>
      </w:r>
    </w:p>
    <w:p>
      <w:pPr>
        <w:snapToGrid w:val="0"/>
        <w:spacing w:line="520" w:lineRule="exact"/>
        <w:ind w:firstLine="640"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现在职在编人员</w:t>
      </w:r>
      <w:r>
        <w:rPr>
          <w:rFonts w:hint="eastAsia" w:ascii="仿宋_GB2312" w:hAnsi="仿宋" w:eastAsia="仿宋_GB2312"/>
          <w:color w:val="000000" w:themeColor="text1"/>
          <w:sz w:val="32"/>
          <w:szCs w:val="32"/>
          <w:lang w:val="en-US" w:eastAsia="zh-CN"/>
          <w14:textFill>
            <w14:solidFill>
              <w14:schemeClr w14:val="tx1"/>
            </w14:solidFill>
          </w14:textFill>
        </w:rPr>
        <w:t>25</w:t>
      </w:r>
      <w:r>
        <w:rPr>
          <w:rFonts w:hint="eastAsia" w:ascii="仿宋_GB2312" w:hAnsi="仿宋" w:eastAsia="仿宋_GB2312"/>
          <w:color w:val="000000" w:themeColor="text1"/>
          <w:sz w:val="32"/>
          <w:szCs w:val="32"/>
          <w14:textFill>
            <w14:solidFill>
              <w14:schemeClr w14:val="tx1"/>
            </w14:solidFill>
          </w14:textFill>
        </w:rPr>
        <w:t>人，两人退休，新增</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人。</w:t>
      </w:r>
    </w:p>
    <w:p>
      <w:pPr>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textAlignment w:val="auto"/>
        <w:rPr>
          <w:rFonts w:hint="eastAsia" w:eastAsia="仿宋_GB2312"/>
          <w:color w:val="000000"/>
          <w:sz w:val="32"/>
          <w:szCs w:val="32"/>
        </w:rPr>
      </w:pPr>
      <w:r>
        <w:rPr>
          <w:rFonts w:hint="eastAsia" w:ascii="仿宋_GB2312" w:eastAsia="仿宋_GB2312"/>
          <w:sz w:val="32"/>
          <w:szCs w:val="32"/>
        </w:rPr>
        <w:t>部门（单位）整体支出规模</w:t>
      </w:r>
      <w:r>
        <w:rPr>
          <w:rFonts w:hint="eastAsia" w:ascii="仿宋_GB2312" w:hAnsi="仿宋_GB2312" w:eastAsia="仿宋_GB2312" w:cs="仿宋_GB2312"/>
          <w:sz w:val="32"/>
          <w:szCs w:val="32"/>
        </w:rPr>
        <w:t>，</w:t>
      </w:r>
      <w:r>
        <w:rPr>
          <w:rFonts w:hint="eastAsia" w:eastAsia="仿宋_GB2312"/>
          <w:color w:val="000000"/>
          <w:sz w:val="32"/>
          <w:szCs w:val="32"/>
        </w:rPr>
        <w:t>包括但不限于部门整体支出情况、部门预算收支决算情况及“三公经费”支出使用和管理情况。</w:t>
      </w:r>
    </w:p>
    <w:p>
      <w:pPr>
        <w:pStyle w:val="5"/>
        <w:keepNext w:val="0"/>
        <w:keepLines w:val="0"/>
        <w:pageBreakBefore w:val="0"/>
        <w:widowControl w:val="0"/>
        <w:kinsoku/>
        <w:wordWrap/>
        <w:overflowPunct/>
        <w:topLinePunct w:val="0"/>
        <w:bidi w:val="0"/>
        <w:adjustRightInd/>
        <w:snapToGrid w:val="0"/>
        <w:spacing w:line="360" w:lineRule="auto"/>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三公经费预算为8.05万元，支出决算为8.05万元，其中：</w:t>
      </w:r>
    </w:p>
    <w:p>
      <w:pPr>
        <w:pStyle w:val="5"/>
        <w:keepNext w:val="0"/>
        <w:keepLines w:val="0"/>
        <w:pageBreakBefore w:val="0"/>
        <w:widowControl w:val="0"/>
        <w:kinsoku/>
        <w:wordWrap/>
        <w:overflowPunct/>
        <w:topLinePunct w:val="0"/>
        <w:bidi w:val="0"/>
        <w:adjustRightInd/>
        <w:snapToGrid w:val="0"/>
        <w:spacing w:line="360" w:lineRule="auto"/>
        <w:ind w:firstLine="64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auto"/>
          <w:kern w:val="0"/>
          <w:sz w:val="32"/>
          <w:szCs w:val="32"/>
          <w:lang w:val="en-US" w:eastAsia="zh-CN" w:bidi="ar-SA"/>
        </w:rPr>
        <w:t>因公出国（境）费支出预算为0万元，支出决算为0万元，公务接待费支出预算为2.05万元，支出决算为2.05万元，公务用车购置费及运行维护费支出预算为6万元，支出决算为6万元</w:t>
      </w:r>
      <w:r>
        <w:rPr>
          <w:rFonts w:hint="eastAsia" w:ascii="宋体" w:hAnsi="宋体" w:eastAsia="宋体" w:cs="宋体"/>
          <w:color w:val="000000" w:themeColor="text1"/>
          <w:sz w:val="28"/>
          <w:szCs w:val="28"/>
          <w:lang w:eastAsia="zh-CN"/>
          <w14:textFill>
            <w14:solidFill>
              <w14:schemeClr w14:val="tx1"/>
            </w14:solidFill>
          </w14:textFill>
        </w:rPr>
        <w:t>。</w:t>
      </w:r>
    </w:p>
    <w:p>
      <w:pPr>
        <w:pStyle w:val="6"/>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ascii="Times New Roman" w:hAnsi="Times New Roman" w:eastAsia="黑体"/>
          <w:sz w:val="32"/>
          <w:szCs w:val="32"/>
        </w:rPr>
      </w:pPr>
      <w:r>
        <w:rPr>
          <w:rFonts w:ascii="Times New Roman" w:hAnsi="Times New Roman" w:eastAsia="黑体"/>
          <w:sz w:val="32"/>
          <w:szCs w:val="32"/>
        </w:rPr>
        <w:t>二、一般公共预算支出情况</w:t>
      </w:r>
    </w:p>
    <w:p>
      <w:pPr>
        <w:pStyle w:val="6"/>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ascii="Times New Roman" w:hAnsi="Times New Roman" w:eastAsia="仿宋_GB2312"/>
          <w:sz w:val="32"/>
          <w:szCs w:val="32"/>
        </w:rPr>
      </w:pPr>
      <w:r>
        <w:rPr>
          <w:rFonts w:ascii="Times New Roman" w:hAnsi="Times New Roman" w:eastAsia="仿宋_GB2312"/>
          <w:sz w:val="32"/>
          <w:szCs w:val="32"/>
        </w:rPr>
        <w:t>（一）基本支出情况</w:t>
      </w:r>
    </w:p>
    <w:p>
      <w:pPr>
        <w:pStyle w:val="5"/>
        <w:keepNext w:val="0"/>
        <w:keepLines w:val="0"/>
        <w:pageBreakBefore w:val="0"/>
        <w:widowControl w:val="0"/>
        <w:kinsoku/>
        <w:wordWrap/>
        <w:overflowPunct/>
        <w:topLinePunct w:val="0"/>
        <w:bidi w:val="0"/>
        <w:adjustRightInd/>
        <w:snapToGrid w:val="0"/>
        <w:spacing w:line="360" w:lineRule="auto"/>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本年收入合计559.4万元，其中：财政拨款收入559.4万元，占100%；上级补助收入0万元，占0%；事业收入0万元，占0%；经营收入0万元，占0%；附属单位上缴收入0万元，占0%；其他收入0万元，占0%。</w:t>
      </w:r>
    </w:p>
    <w:p>
      <w:pPr>
        <w:pStyle w:val="6"/>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ascii="Times New Roman" w:hAnsi="Times New Roman" w:eastAsia="仿宋_GB2312"/>
          <w:sz w:val="32"/>
          <w:szCs w:val="32"/>
        </w:rPr>
      </w:pPr>
      <w:r>
        <w:rPr>
          <w:rFonts w:hint="eastAsia" w:ascii="Times New Roman" w:hAnsi="Times New Roman" w:eastAsia="仿宋_GB2312" w:cs="Times New Roman"/>
          <w:color w:val="auto"/>
          <w:kern w:val="0"/>
          <w:sz w:val="32"/>
          <w:szCs w:val="32"/>
          <w:lang w:val="en-US" w:eastAsia="zh-CN" w:bidi="ar-SA"/>
        </w:rPr>
        <w:t>本年支出合计559.4元，其中：基本支出376.29万元，占63.18%；项目支出219.31万元，占36.82%；上缴上级支出0万元，占0%；经营支出0万元，占0%；对附属单位补助支出0万元，占0%。</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640"/>
        <w:textAlignment w:val="auto"/>
        <w:rPr>
          <w:rFonts w:ascii="Times New Roman" w:hAnsi="Times New Roman" w:eastAsia="仿宋_GB2312"/>
          <w:sz w:val="32"/>
          <w:szCs w:val="32"/>
        </w:rPr>
      </w:pPr>
      <w:r>
        <w:rPr>
          <w:rFonts w:ascii="Times New Roman" w:hAnsi="Times New Roman" w:eastAsia="仿宋_GB2312"/>
          <w:sz w:val="32"/>
          <w:szCs w:val="32"/>
        </w:rPr>
        <w:t>项目支出情况</w:t>
      </w:r>
    </w:p>
    <w:p>
      <w:pPr>
        <w:pStyle w:val="6"/>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本年度项目支出为219.31万元，其中:肥源林场金陵山管护用房建设项目30万元;生物防火隔离带建设项目40万元;森林防火专项资金18万元;中央财政第二批森林防火补助资金10万元。</w:t>
      </w:r>
    </w:p>
    <w:p>
      <w:pPr>
        <w:pStyle w:val="6"/>
        <w:keepNext w:val="0"/>
        <w:keepLines w:val="0"/>
        <w:pageBreakBefore w:val="0"/>
        <w:widowControl w:val="0"/>
        <w:kinsoku/>
        <w:wordWrap/>
        <w:overflowPunct/>
        <w:topLinePunct w:val="0"/>
        <w:autoSpaceDE/>
        <w:autoSpaceDN/>
        <w:bidi w:val="0"/>
        <w:adjustRightInd/>
        <w:snapToGrid/>
        <w:spacing w:line="460" w:lineRule="exact"/>
        <w:ind w:firstLine="640"/>
        <w:jc w:val="both"/>
        <w:textAlignment w:val="auto"/>
        <w:rPr>
          <w:rFonts w:hint="eastAsia" w:ascii="Times New Roman" w:hAnsi="Times New Roman" w:eastAsia="黑体"/>
          <w:sz w:val="32"/>
          <w:szCs w:val="32"/>
        </w:rPr>
      </w:pPr>
      <w:r>
        <w:rPr>
          <w:rFonts w:ascii="Times New Roman" w:hAnsi="Times New Roman" w:eastAsia="黑体"/>
          <w:sz w:val="32"/>
          <w:szCs w:val="32"/>
        </w:rPr>
        <w:t>三、政府性基金预算支出情况</w:t>
      </w:r>
      <w:r>
        <w:rPr>
          <w:rFonts w:hint="eastAsia" w:ascii="Times New Roman" w:hAnsi="Times New Roman" w:eastAsia="黑体"/>
          <w:sz w:val="32"/>
          <w:szCs w:val="32"/>
        </w:rPr>
        <w:t>。</w:t>
      </w:r>
    </w:p>
    <w:p>
      <w:pPr>
        <w:pStyle w:val="6"/>
        <w:keepNext w:val="0"/>
        <w:keepLines w:val="0"/>
        <w:pageBreakBefore w:val="0"/>
        <w:widowControl w:val="0"/>
        <w:kinsoku/>
        <w:wordWrap/>
        <w:overflowPunct/>
        <w:topLinePunct w:val="0"/>
        <w:autoSpaceDE/>
        <w:autoSpaceDN/>
        <w:bidi w:val="0"/>
        <w:adjustRightInd/>
        <w:snapToGrid/>
        <w:spacing w:line="460" w:lineRule="exact"/>
        <w:ind w:firstLine="64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我单位无政府性基金预算支出情况</w:t>
      </w:r>
    </w:p>
    <w:p>
      <w:pPr>
        <w:pStyle w:val="6"/>
        <w:keepNext w:val="0"/>
        <w:keepLines w:val="0"/>
        <w:pageBreakBefore w:val="0"/>
        <w:widowControl w:val="0"/>
        <w:kinsoku/>
        <w:wordWrap/>
        <w:overflowPunct/>
        <w:topLinePunct w:val="0"/>
        <w:autoSpaceDE/>
        <w:autoSpaceDN/>
        <w:bidi w:val="0"/>
        <w:adjustRightInd/>
        <w:snapToGrid/>
        <w:spacing w:line="460" w:lineRule="exact"/>
        <w:ind w:firstLine="640"/>
        <w:jc w:val="both"/>
        <w:textAlignment w:val="auto"/>
        <w:rPr>
          <w:rFonts w:hint="eastAsia" w:ascii="Times New Roman" w:hAnsi="Times New Roman" w:eastAsia="仿宋_GB2312"/>
          <w:color w:val="000000"/>
          <w:sz w:val="32"/>
          <w:szCs w:val="32"/>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460" w:lineRule="exact"/>
        <w:ind w:left="630" w:leftChars="0"/>
        <w:jc w:val="both"/>
        <w:textAlignment w:val="auto"/>
        <w:rPr>
          <w:rFonts w:hint="eastAsia" w:ascii="Times New Roman" w:hAnsi="Times New Roman" w:eastAsia="仿宋_GB2312"/>
          <w:color w:val="000000"/>
          <w:sz w:val="32"/>
          <w:szCs w:val="32"/>
        </w:rPr>
      </w:pPr>
      <w:r>
        <w:rPr>
          <w:rFonts w:hint="eastAsia" w:ascii="Times New Roman" w:hAnsi="Times New Roman" w:eastAsia="黑体"/>
          <w:sz w:val="32"/>
          <w:szCs w:val="32"/>
          <w:lang w:eastAsia="zh-CN"/>
        </w:rPr>
        <w:t>四、</w:t>
      </w:r>
      <w:r>
        <w:rPr>
          <w:rFonts w:ascii="Times New Roman" w:hAnsi="Times New Roman" w:eastAsia="黑体"/>
          <w:sz w:val="32"/>
          <w:szCs w:val="32"/>
        </w:rPr>
        <w:t>国有资本经营预算支出情况</w:t>
      </w:r>
      <w:r>
        <w:rPr>
          <w:rFonts w:hint="eastAsia" w:ascii="Times New Roman" w:hAnsi="Times New Roman" w:eastAsia="黑体"/>
          <w:sz w:val="32"/>
          <w:szCs w:val="32"/>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60" w:lineRule="exact"/>
        <w:ind w:left="-10" w:leftChars="0" w:firstLine="640" w:firstLineChars="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我单位无国有资本经营预算支出情况</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60" w:lineRule="exact"/>
        <w:ind w:left="-10" w:leftChars="0" w:firstLine="640" w:firstLineChars="0"/>
        <w:jc w:val="both"/>
        <w:textAlignment w:val="auto"/>
        <w:rPr>
          <w:rFonts w:hint="eastAsia" w:ascii="Times New Roman" w:hAnsi="Times New Roman" w:eastAsia="仿宋_GB2312"/>
          <w:color w:val="000000"/>
          <w:sz w:val="32"/>
          <w:szCs w:val="32"/>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460" w:lineRule="exact"/>
        <w:ind w:left="630" w:leftChars="0"/>
        <w:jc w:val="both"/>
        <w:textAlignment w:val="auto"/>
        <w:rPr>
          <w:rFonts w:hint="eastAsia" w:ascii="Times New Roman" w:hAnsi="Times New Roman" w:eastAsia="黑体"/>
          <w:sz w:val="32"/>
          <w:szCs w:val="32"/>
        </w:rPr>
      </w:pPr>
      <w:r>
        <w:rPr>
          <w:rFonts w:hint="eastAsia" w:ascii="Times New Roman" w:hAnsi="Times New Roman" w:eastAsia="黑体"/>
          <w:sz w:val="32"/>
          <w:szCs w:val="32"/>
          <w:lang w:eastAsia="zh-CN"/>
        </w:rPr>
        <w:t>五、</w:t>
      </w:r>
      <w:r>
        <w:rPr>
          <w:rFonts w:ascii="Times New Roman" w:hAnsi="Times New Roman" w:eastAsia="黑体"/>
          <w:sz w:val="32"/>
          <w:szCs w:val="32"/>
        </w:rPr>
        <w:t>社会保险基金预算支出情况</w:t>
      </w:r>
      <w:r>
        <w:rPr>
          <w:rFonts w:hint="eastAsia" w:ascii="Times New Roman" w:hAnsi="Times New Roman" w:eastAsia="黑体"/>
          <w:sz w:val="32"/>
          <w:szCs w:val="32"/>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60" w:lineRule="exact"/>
        <w:ind w:left="630" w:leftChars="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我单位无社会保险基金预算支出情况</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60" w:lineRule="exact"/>
        <w:ind w:left="630" w:leftChars="0"/>
        <w:jc w:val="both"/>
        <w:textAlignment w:val="auto"/>
        <w:rPr>
          <w:rFonts w:hint="eastAsia" w:ascii="Times New Roman" w:hAnsi="Times New Roman"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r>
        <w:rPr>
          <w:rFonts w:eastAsia="黑体"/>
          <w:sz w:val="32"/>
          <w:szCs w:val="32"/>
        </w:rPr>
        <w:t>六、部门整体支出绩效情况</w:t>
      </w:r>
    </w:p>
    <w:p>
      <w:pPr>
        <w:snapToGrid w:val="0"/>
        <w:spacing w:line="520" w:lineRule="exact"/>
        <w:ind w:firstLine="640" w:firstLineChars="200"/>
        <w:rPr>
          <w:rFonts w:hint="eastAsia" w:ascii="Times New Roman" w:hAnsi="Times New Roman" w:eastAsia="仿宋_GB2312" w:cs="Times New Roman"/>
          <w:color w:val="000000"/>
          <w:sz w:val="32"/>
          <w:szCs w:val="32"/>
        </w:rPr>
      </w:pPr>
      <w:r>
        <w:rPr>
          <w:rFonts w:hint="eastAsia" w:eastAsia="仿宋_GB2312"/>
          <w:color w:val="000000"/>
          <w:sz w:val="32"/>
          <w:szCs w:val="32"/>
          <w:lang w:eastAsia="zh-CN"/>
        </w:rPr>
        <w:t>本单位</w:t>
      </w:r>
      <w:r>
        <w:rPr>
          <w:rFonts w:hint="eastAsia" w:ascii="Times New Roman" w:hAnsi="Times New Roman" w:eastAsia="仿宋_GB2312" w:cs="Times New Roman"/>
          <w:color w:val="000000"/>
          <w:sz w:val="32"/>
          <w:szCs w:val="32"/>
        </w:rPr>
        <w:t>202</w:t>
      </w:r>
      <w:r>
        <w:rPr>
          <w:rFonts w:hint="eastAsia" w:eastAsia="仿宋_GB2312" w:cs="Times New Roman"/>
          <w:color w:val="000000"/>
          <w:sz w:val="32"/>
          <w:szCs w:val="32"/>
          <w:lang w:val="en-US" w:eastAsia="zh-CN"/>
        </w:rPr>
        <w:t>4</w:t>
      </w:r>
      <w:r>
        <w:rPr>
          <w:rFonts w:hint="eastAsia" w:ascii="Times New Roman" w:hAnsi="Times New Roman" w:eastAsia="仿宋_GB2312" w:cs="Times New Roman"/>
          <w:color w:val="000000"/>
          <w:sz w:val="32"/>
          <w:szCs w:val="32"/>
        </w:rPr>
        <w:t>年年初预算数</w:t>
      </w:r>
      <w:r>
        <w:rPr>
          <w:rFonts w:hint="eastAsia" w:eastAsia="仿宋_GB2312" w:cs="Times New Roman"/>
          <w:color w:val="000000"/>
          <w:sz w:val="32"/>
          <w:szCs w:val="32"/>
          <w:lang w:val="en-US" w:eastAsia="zh-CN"/>
        </w:rPr>
        <w:t>583.64</w:t>
      </w:r>
      <w:r>
        <w:rPr>
          <w:rFonts w:hint="eastAsia" w:ascii="Times New Roman" w:hAnsi="Times New Roman" w:eastAsia="仿宋_GB2312" w:cs="Times New Roman"/>
          <w:color w:val="000000"/>
          <w:sz w:val="32"/>
          <w:szCs w:val="32"/>
        </w:rPr>
        <w:t>万元，调整后，</w:t>
      </w:r>
      <w:r>
        <w:rPr>
          <w:rFonts w:hint="eastAsia" w:ascii="Times New Roman" w:hAnsi="Times New Roman" w:eastAsia="仿宋_GB2312" w:cs="Times New Roman"/>
          <w:color w:val="000000"/>
          <w:sz w:val="32"/>
          <w:szCs w:val="32"/>
          <w:lang w:eastAsia="zh-CN"/>
        </w:rPr>
        <w:t>202</w:t>
      </w:r>
      <w:r>
        <w:rPr>
          <w:rFonts w:hint="eastAsia" w:eastAsia="仿宋_GB2312" w:cs="Times New Roman"/>
          <w:color w:val="000000"/>
          <w:sz w:val="32"/>
          <w:szCs w:val="32"/>
          <w:lang w:val="en-US" w:eastAsia="zh-CN"/>
        </w:rPr>
        <w:t>4</w:t>
      </w:r>
      <w:r>
        <w:rPr>
          <w:rFonts w:hint="eastAsia" w:ascii="Times New Roman" w:hAnsi="Times New Roman" w:eastAsia="仿宋_GB2312" w:cs="Times New Roman"/>
          <w:color w:val="000000"/>
          <w:sz w:val="32"/>
          <w:szCs w:val="32"/>
        </w:rPr>
        <w:t>年决算数为</w:t>
      </w:r>
      <w:r>
        <w:rPr>
          <w:rFonts w:hint="eastAsia" w:eastAsia="仿宋_GB2312" w:cs="Times New Roman"/>
          <w:color w:val="000000"/>
          <w:sz w:val="32"/>
          <w:szCs w:val="32"/>
          <w:lang w:val="en-US" w:eastAsia="zh-CN"/>
        </w:rPr>
        <w:t>559.4</w:t>
      </w:r>
      <w:r>
        <w:rPr>
          <w:rFonts w:hint="eastAsia" w:ascii="Times New Roman" w:hAnsi="Times New Roman" w:eastAsia="仿宋_GB2312" w:cs="Times New Roman"/>
          <w:color w:val="000000"/>
          <w:sz w:val="32"/>
          <w:szCs w:val="32"/>
        </w:rPr>
        <w:t>元</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收支基本上无误</w:t>
      </w:r>
      <w:r>
        <w:rPr>
          <w:rFonts w:hint="eastAsia" w:ascii="Times New Roman" w:hAnsi="Times New Roman" w:eastAsia="仿宋_GB2312" w:cs="Times New Roman"/>
          <w:color w:val="000000"/>
          <w:sz w:val="32"/>
          <w:szCs w:val="32"/>
          <w:lang w:eastAsia="zh-CN"/>
        </w:rPr>
        <w:t>。本年度项目增多，导致本年预算与决算差距较大。</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eastAsia" w:eastAsia="仿宋_GB2312"/>
          <w:color w:val="000000"/>
          <w:sz w:val="32"/>
          <w:szCs w:val="32"/>
        </w:rPr>
      </w:pPr>
      <w:r>
        <w:rPr>
          <w:rFonts w:hint="eastAsia" w:eastAsia="仿宋_GB2312"/>
          <w:color w:val="000000"/>
          <w:sz w:val="32"/>
          <w:szCs w:val="32"/>
          <w:lang w:eastAsia="zh-CN"/>
        </w:rPr>
        <w:t>本单位</w:t>
      </w:r>
      <w:r>
        <w:rPr>
          <w:rFonts w:hint="eastAsia" w:eastAsia="仿宋_GB2312"/>
          <w:color w:val="000000"/>
          <w:sz w:val="32"/>
          <w:szCs w:val="32"/>
        </w:rPr>
        <w:t>负责管护区域内的森林防火及扑救工作；依法保护国有林木、林地及森林资源，配合有关部门严厉打击偷砍盗伐等违法行为；负责 管护区域内森林资源培育、天然林保护；负责生态公益林管理工作。</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eastAsia" w:eastAsia="仿宋_GB2312"/>
          <w:color w:val="000000"/>
          <w:sz w:val="32"/>
          <w:szCs w:val="32"/>
          <w:lang w:eastAsia="zh-CN"/>
        </w:rPr>
      </w:pPr>
      <w:r>
        <w:rPr>
          <w:rFonts w:hint="eastAsia" w:eastAsia="仿宋_GB2312"/>
          <w:color w:val="000000"/>
          <w:sz w:val="32"/>
          <w:szCs w:val="32"/>
        </w:rPr>
        <w:t>负责生态公益林管护工作，充分发挥公益林的生态效益</w:t>
      </w:r>
      <w:r>
        <w:rPr>
          <w:rFonts w:hint="eastAsia" w:eastAsia="仿宋_GB2312"/>
          <w:color w:val="000000"/>
          <w:sz w:val="32"/>
          <w:szCs w:val="32"/>
          <w:lang w:eastAsia="zh-CN"/>
        </w:rPr>
        <w:t>，</w:t>
      </w:r>
      <w:r>
        <w:rPr>
          <w:rFonts w:hint="eastAsia" w:eastAsia="仿宋_GB2312"/>
          <w:color w:val="000000"/>
          <w:sz w:val="32"/>
          <w:szCs w:val="32"/>
        </w:rPr>
        <w:t>提高的森林覆盖率</w:t>
      </w:r>
      <w:r>
        <w:rPr>
          <w:rFonts w:hint="eastAsia" w:eastAsia="仿宋_GB2312"/>
          <w:color w:val="000000"/>
          <w:sz w:val="32"/>
          <w:szCs w:val="32"/>
          <w:lang w:eastAsia="zh-CN"/>
        </w:rPr>
        <w:t>，</w:t>
      </w:r>
      <w:r>
        <w:rPr>
          <w:rFonts w:hint="eastAsia" w:eastAsia="仿宋_GB2312"/>
          <w:color w:val="000000"/>
          <w:sz w:val="32"/>
          <w:szCs w:val="32"/>
        </w:rPr>
        <w:t>提高生态环境保护</w:t>
      </w:r>
      <w:r>
        <w:rPr>
          <w:rFonts w:hint="eastAsia"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仿宋_GB2312"/>
          <w:color w:val="000000"/>
          <w:sz w:val="32"/>
          <w:szCs w:val="32"/>
        </w:rPr>
      </w:pPr>
      <w:r>
        <w:rPr>
          <w:rFonts w:hint="eastAsia" w:ascii="仿宋_GB2312" w:hAnsi="仿宋" w:eastAsia="仿宋_GB2312"/>
          <w:color w:val="000000" w:themeColor="text1"/>
          <w:sz w:val="32"/>
          <w:szCs w:val="32"/>
          <w14:textFill>
            <w14:solidFill>
              <w14:schemeClr w14:val="tx1"/>
            </w14:solidFill>
          </w14:textFill>
        </w:rPr>
        <w:t>2024年湖南省新田县肥源国有林场中央财政衔接资金建设生物防火隔离带建设项目、国有林场管护用房建设项目，通过项目实施，建立起具有阻火效果好、生态效益高、维护成本低等优势的“绿色防火墙”，在有效阻隔林火蔓延的同时，还能起到保持水土、涵养水源、美化环境等作用，实现生态效益和防火效益的双赢；同时，通过管护用房卫生间、淋浴间建设，着力解决了林场职工洗澡排队的“老难题”，大幅改善了林区职工生产生活条件</w:t>
      </w:r>
    </w:p>
    <w:p>
      <w:pPr>
        <w:pStyle w:val="6"/>
        <w:keepNext w:val="0"/>
        <w:keepLines w:val="0"/>
        <w:pageBreakBefore w:val="0"/>
        <w:widowControl w:val="0"/>
        <w:kinsoku/>
        <w:wordWrap/>
        <w:overflowPunct/>
        <w:topLinePunct w:val="0"/>
        <w:autoSpaceDE/>
        <w:autoSpaceDN/>
        <w:bidi w:val="0"/>
        <w:adjustRightInd/>
        <w:snapToGrid/>
        <w:spacing w:line="460" w:lineRule="exact"/>
        <w:ind w:firstLine="640"/>
        <w:jc w:val="both"/>
        <w:textAlignment w:val="auto"/>
        <w:rPr>
          <w:rFonts w:ascii="Times New Roman" w:hAnsi="Times New Roman" w:eastAsia="黑体"/>
          <w:sz w:val="32"/>
          <w:szCs w:val="32"/>
        </w:rPr>
      </w:pPr>
      <w:r>
        <w:rPr>
          <w:rFonts w:ascii="Times New Roman" w:hAnsi="Times New Roman" w:eastAsia="黑体"/>
          <w:sz w:val="32"/>
          <w:szCs w:val="32"/>
        </w:rPr>
        <w:t>七、存在的问题及原因分析</w:t>
      </w:r>
    </w:p>
    <w:p>
      <w:pPr>
        <w:numPr>
          <w:ilvl w:val="0"/>
          <w:numId w:val="0"/>
        </w:numPr>
        <w:snapToGrid w:val="0"/>
        <w:spacing w:line="520" w:lineRule="exact"/>
        <w:ind w:firstLine="640"/>
        <w:rPr>
          <w:rFonts w:hint="eastAsia" w:ascii="仿宋_GB2312" w:hAnsi="仿宋" w:eastAsia="仿宋_GB2312" w:cs="Times New Roman"/>
          <w:color w:val="000000" w:themeColor="text1"/>
          <w:sz w:val="32"/>
          <w:szCs w:val="32"/>
          <w:lang w:val="en-US" w:eastAsia="zh-CN"/>
          <w14:textFill>
            <w14:solidFill>
              <w14:schemeClr w14:val="tx1"/>
            </w14:solidFill>
          </w14:textFill>
        </w:rPr>
      </w:pPr>
      <w:r>
        <w:rPr>
          <w:rFonts w:hint="eastAsia" w:ascii="仿宋_GB2312" w:hAnsi="仿宋" w:eastAsia="仿宋_GB2312" w:cs="Times New Roman"/>
          <w:color w:val="000000" w:themeColor="text1"/>
          <w:sz w:val="32"/>
          <w:szCs w:val="32"/>
          <w:lang w:val="en-US" w:eastAsia="zh-CN"/>
          <w14:textFill>
            <w14:solidFill>
              <w14:schemeClr w14:val="tx1"/>
            </w14:solidFill>
          </w14:textFill>
        </w:rPr>
        <w:t>1、人员配备不</w:t>
      </w:r>
      <w:r>
        <w:rPr>
          <w:rFonts w:hint="default" w:ascii="仿宋_GB2312" w:hAnsi="仿宋" w:eastAsia="仿宋_GB2312" w:cs="Times New Roman"/>
          <w:color w:val="000000" w:themeColor="text1"/>
          <w:sz w:val="32"/>
          <w:szCs w:val="32"/>
          <w:lang w:eastAsia="zh-CN"/>
          <w14:textFill>
            <w14:solidFill>
              <w14:schemeClr w14:val="tx1"/>
            </w14:solidFill>
          </w14:textFill>
        </w:rPr>
        <w:t>足</w:t>
      </w:r>
      <w:r>
        <w:rPr>
          <w:rFonts w:hint="eastAsia" w:ascii="仿宋_GB2312" w:hAnsi="仿宋" w:eastAsia="仿宋_GB2312" w:cs="Times New Roman"/>
          <w:color w:val="000000" w:themeColor="text1"/>
          <w:sz w:val="32"/>
          <w:szCs w:val="32"/>
          <w:lang w:val="en-US" w:eastAsia="zh-CN"/>
          <w14:textFill>
            <w14:solidFill>
              <w14:schemeClr w14:val="tx1"/>
            </w14:solidFill>
          </w14:textFill>
        </w:rPr>
        <w:t>。</w:t>
      </w:r>
    </w:p>
    <w:p>
      <w:pPr>
        <w:numPr>
          <w:ilvl w:val="0"/>
          <w:numId w:val="0"/>
        </w:numPr>
        <w:snapToGrid w:val="0"/>
        <w:spacing w:line="520" w:lineRule="exact"/>
        <w:ind w:firstLine="640"/>
        <w:rPr>
          <w:rFonts w:hint="eastAsia" w:ascii="仿宋_GB2312" w:hAnsi="仿宋" w:eastAsia="仿宋_GB2312" w:cs="Times New Roman"/>
          <w:color w:val="000000" w:themeColor="text1"/>
          <w:sz w:val="32"/>
          <w:szCs w:val="32"/>
          <w:lang w:val="en-US" w:eastAsia="zh-CN"/>
          <w14:textFill>
            <w14:solidFill>
              <w14:schemeClr w14:val="tx1"/>
            </w14:solidFill>
          </w14:textFill>
        </w:rPr>
      </w:pPr>
      <w:r>
        <w:rPr>
          <w:rFonts w:hint="eastAsia" w:ascii="仿宋_GB2312" w:hAnsi="仿宋" w:eastAsia="仿宋_GB2312" w:cs="Times New Roman"/>
          <w:color w:val="000000" w:themeColor="text1"/>
          <w:sz w:val="32"/>
          <w:szCs w:val="32"/>
          <w:lang w:val="en-US" w:eastAsia="zh-CN"/>
          <w14:textFill>
            <w14:solidFill>
              <w14:schemeClr w14:val="tx1"/>
            </w14:solidFill>
          </w14:textFill>
        </w:rPr>
        <w:t>2、财务知识学习不够，存在报账支付等问题。</w:t>
      </w:r>
    </w:p>
    <w:p>
      <w:pPr>
        <w:numPr>
          <w:ilvl w:val="0"/>
          <w:numId w:val="0"/>
        </w:numPr>
        <w:snapToGrid w:val="0"/>
        <w:spacing w:line="520" w:lineRule="exact"/>
        <w:ind w:firstLine="640"/>
        <w:rPr>
          <w:rFonts w:hint="eastAsia" w:ascii="仿宋_GB2312" w:hAnsi="仿宋" w:eastAsia="仿宋_GB2312" w:cs="Times New Roman"/>
          <w:color w:val="000000" w:themeColor="text1"/>
          <w:sz w:val="32"/>
          <w:szCs w:val="32"/>
          <w:lang w:val="en-US" w:eastAsia="zh-CN"/>
          <w14:textFill>
            <w14:solidFill>
              <w14:schemeClr w14:val="tx1"/>
            </w14:solidFill>
          </w14:textFill>
        </w:rPr>
      </w:pPr>
      <w:r>
        <w:rPr>
          <w:rFonts w:hint="eastAsia" w:ascii="仿宋_GB2312" w:hAnsi="仿宋" w:eastAsia="仿宋_GB2312" w:cs="Times New Roman"/>
          <w:color w:val="000000" w:themeColor="text1"/>
          <w:sz w:val="32"/>
          <w:szCs w:val="32"/>
          <w:lang w:val="en-US" w:eastAsia="zh-CN"/>
          <w14:textFill>
            <w14:solidFill>
              <w14:schemeClr w14:val="tx1"/>
            </w14:solidFill>
          </w14:textFill>
        </w:rPr>
        <w:t>3、严格控制“三公”经费的规模和比例，严格“三公”经费支出的审核、审批，杜绝挪用和挤占其他预算资金行为。</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eastAsia" w:ascii="仿宋_GB2312" w:hAnsi="仿宋"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r>
        <w:rPr>
          <w:rFonts w:eastAsia="黑体"/>
          <w:sz w:val="32"/>
          <w:szCs w:val="32"/>
        </w:rPr>
        <w:t>八、下一步改进措施</w:t>
      </w:r>
    </w:p>
    <w:p>
      <w:pPr>
        <w:numPr>
          <w:ilvl w:val="0"/>
          <w:numId w:val="0"/>
        </w:numPr>
        <w:snapToGrid w:val="0"/>
        <w:spacing w:line="520" w:lineRule="exact"/>
        <w:ind w:firstLine="640"/>
        <w:rPr>
          <w:rFonts w:hint="eastAsia" w:ascii="仿宋_GB2312" w:hAnsi="仿宋" w:eastAsia="仿宋_GB2312" w:cs="Times New Roman"/>
          <w:color w:val="000000" w:themeColor="text1"/>
          <w:sz w:val="32"/>
          <w:szCs w:val="32"/>
          <w:lang w:val="en-US" w:eastAsia="zh-CN"/>
          <w14:textFill>
            <w14:solidFill>
              <w14:schemeClr w14:val="tx1"/>
            </w14:solidFill>
          </w14:textFill>
        </w:rPr>
      </w:pPr>
      <w:r>
        <w:rPr>
          <w:rFonts w:hint="eastAsia" w:ascii="仿宋_GB2312" w:hAnsi="仿宋" w:eastAsia="仿宋_GB2312" w:cs="Times New Roman"/>
          <w:color w:val="000000" w:themeColor="text1"/>
          <w:sz w:val="32"/>
          <w:szCs w:val="32"/>
          <w:lang w:val="en-US" w:eastAsia="zh-CN"/>
          <w14:textFill>
            <w14:solidFill>
              <w14:schemeClr w14:val="tx1"/>
            </w14:solidFill>
          </w14:textFill>
        </w:rPr>
        <w:t>1、需进一步吸引人才，为事业添砖加瓦。</w:t>
      </w:r>
    </w:p>
    <w:p>
      <w:pPr>
        <w:numPr>
          <w:ilvl w:val="0"/>
          <w:numId w:val="0"/>
        </w:numPr>
        <w:snapToGrid w:val="0"/>
        <w:spacing w:line="520" w:lineRule="exact"/>
        <w:ind w:firstLine="640"/>
        <w:rPr>
          <w:rFonts w:hint="eastAsia" w:ascii="仿宋_GB2312" w:hAnsi="仿宋" w:eastAsia="仿宋_GB2312" w:cs="Times New Roman"/>
          <w:color w:val="000000" w:themeColor="text1"/>
          <w:sz w:val="32"/>
          <w:szCs w:val="32"/>
          <w:lang w:val="en-US" w:eastAsia="zh-CN"/>
          <w14:textFill>
            <w14:solidFill>
              <w14:schemeClr w14:val="tx1"/>
            </w14:solidFill>
          </w14:textFill>
        </w:rPr>
      </w:pPr>
      <w:r>
        <w:rPr>
          <w:rFonts w:hint="eastAsia" w:ascii="仿宋_GB2312" w:hAnsi="仿宋" w:eastAsia="仿宋_GB2312" w:cs="Times New Roman"/>
          <w:color w:val="000000" w:themeColor="text1"/>
          <w:sz w:val="32"/>
          <w:szCs w:val="32"/>
          <w:lang w:val="en-US" w:eastAsia="zh-CN"/>
          <w14:textFill>
            <w14:solidFill>
              <w14:schemeClr w14:val="tx1"/>
            </w14:solidFill>
          </w14:textFill>
        </w:rPr>
        <w:t>2、加强财务管理，严格财务审核。在费用报账支付时，按照预算规定的费用项目和用途进行资金使用审核、列报支付、财务核算，杜绝超支现象的发生。</w:t>
      </w:r>
    </w:p>
    <w:p>
      <w:pPr>
        <w:numPr>
          <w:ilvl w:val="0"/>
          <w:numId w:val="0"/>
        </w:numPr>
        <w:snapToGrid w:val="0"/>
        <w:spacing w:line="520" w:lineRule="exact"/>
        <w:ind w:firstLine="640"/>
        <w:rPr>
          <w:rFonts w:hint="eastAsia" w:ascii="仿宋_GB2312" w:hAnsi="仿宋" w:eastAsia="仿宋_GB2312" w:cs="Times New Roman"/>
          <w:color w:val="000000" w:themeColor="text1"/>
          <w:sz w:val="32"/>
          <w:szCs w:val="32"/>
          <w:lang w:val="en-US" w:eastAsia="zh-CN"/>
          <w14:textFill>
            <w14:solidFill>
              <w14:schemeClr w14:val="tx1"/>
            </w14:solidFill>
          </w14:textFill>
        </w:rPr>
      </w:pPr>
      <w:r>
        <w:rPr>
          <w:rFonts w:hint="eastAsia" w:ascii="仿宋_GB2312" w:hAnsi="仿宋" w:eastAsia="仿宋_GB2312" w:cs="Times New Roman"/>
          <w:color w:val="000000" w:themeColor="text1"/>
          <w:sz w:val="32"/>
          <w:szCs w:val="32"/>
          <w:lang w:val="en-US" w:eastAsia="zh-CN"/>
          <w14:textFill>
            <w14:solidFill>
              <w14:schemeClr w14:val="tx1"/>
            </w14:solidFill>
          </w14:textFill>
        </w:rPr>
        <w:t>3、持续抓好“三公”经费控制管理。严格控制“三公”经费的规模和比例，严格“三公”经费支出的审核、审批，杜绝挪用和挤占其他预算资金行为；进一步细化“三公”经费的管理，合理压缩“三公”经费支出。</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eastAsia" w:ascii="仿宋_GB2312" w:hAnsi="仿宋" w:eastAsia="仿宋_GB2312" w:cs="Times New Roman"/>
          <w:color w:val="000000" w:themeColor="text1"/>
          <w:sz w:val="32"/>
          <w:szCs w:val="32"/>
          <w:lang w:val="en-US" w:eastAsia="zh-CN"/>
          <w14:textFill>
            <w14:solidFill>
              <w14:schemeClr w14:val="tx1"/>
            </w14:solidFill>
          </w14:textFill>
        </w:rPr>
      </w:pPr>
      <w:r>
        <w:rPr>
          <w:rFonts w:hint="eastAsia" w:ascii="仿宋_GB2312" w:hAnsi="仿宋" w:eastAsia="仿宋_GB2312" w:cs="Times New Roman"/>
          <w:color w:val="000000" w:themeColor="text1"/>
          <w:sz w:val="32"/>
          <w:szCs w:val="32"/>
          <w:lang w:val="en-US" w:eastAsia="zh-CN"/>
          <w14:textFill>
            <w14:solidFill>
              <w14:schemeClr w14:val="tx1"/>
            </w14:solidFill>
          </w14:textFill>
        </w:rPr>
        <w:t>4、加强本单位实施进度的跟踪，开展项目绩效评价，确保项目绩效目标的完成。</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r>
        <w:rPr>
          <w:rFonts w:eastAsia="黑体"/>
          <w:sz w:val="32"/>
          <w:szCs w:val="32"/>
        </w:rPr>
        <w:t>部门整体支出绩效自评结果拟应用和公开情况</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eastAsia" w:ascii="仿宋_GB2312" w:hAnsi="仿宋" w:eastAsia="仿宋_GB2312" w:cs="Times New Roman"/>
          <w:color w:val="000000" w:themeColor="text1"/>
          <w:sz w:val="32"/>
          <w:szCs w:val="32"/>
          <w:lang w:val="en-US" w:eastAsia="zh-CN"/>
          <w14:textFill>
            <w14:solidFill>
              <w14:schemeClr w14:val="tx1"/>
            </w14:solidFill>
          </w14:textFill>
        </w:rPr>
      </w:pPr>
      <w:r>
        <w:rPr>
          <w:rFonts w:hint="eastAsia" w:ascii="仿宋_GB2312" w:hAnsi="仿宋" w:eastAsia="仿宋_GB2312" w:cs="Times New Roman"/>
          <w:color w:val="000000" w:themeColor="text1"/>
          <w:sz w:val="32"/>
          <w:szCs w:val="32"/>
          <w:lang w:val="en-US" w:eastAsia="zh-CN"/>
          <w14:textFill>
            <w14:solidFill>
              <w14:schemeClr w14:val="tx1"/>
            </w14:solidFill>
          </w14:textFill>
        </w:rPr>
        <w:t>按时完成财务工作，并进行决算信息公开公示，接受社会各界监督，依照财政要求公开2024年决算，公开整体支出绩效自评结果</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eastAsia" w:ascii="仿宋_GB2312" w:hAnsi="仿宋"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640" w:firstLineChars="200"/>
        <w:jc w:val="both"/>
        <w:textAlignment w:val="auto"/>
        <w:rPr>
          <w:rFonts w:eastAsia="黑体"/>
          <w:sz w:val="32"/>
          <w:szCs w:val="32"/>
        </w:rPr>
      </w:pPr>
      <w:r>
        <w:rPr>
          <w:rFonts w:eastAsia="黑体"/>
          <w:sz w:val="32"/>
          <w:szCs w:val="32"/>
        </w:rPr>
        <w:t>其他需要说明的情况</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eastAsia" w:ascii="仿宋_GB2312" w:hAnsi="仿宋" w:eastAsia="仿宋_GB2312" w:cs="Times New Roman"/>
          <w:color w:val="000000" w:themeColor="text1"/>
          <w:sz w:val="32"/>
          <w:szCs w:val="32"/>
          <w:lang w:val="en-US" w:eastAsia="zh-CN"/>
          <w14:textFill>
            <w14:solidFill>
              <w14:schemeClr w14:val="tx1"/>
            </w14:solidFill>
          </w14:textFill>
        </w:rPr>
      </w:pPr>
      <w:r>
        <w:rPr>
          <w:rFonts w:hint="eastAsia" w:ascii="仿宋_GB2312" w:hAnsi="仿宋" w:eastAsia="仿宋_GB2312" w:cs="Times New Roman"/>
          <w:color w:val="000000" w:themeColor="text1"/>
          <w:sz w:val="32"/>
          <w:szCs w:val="32"/>
          <w:lang w:val="en-US" w:eastAsia="zh-CN"/>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77ECEE"/>
    <w:multiLevelType w:val="singleLevel"/>
    <w:tmpl w:val="B777ECEE"/>
    <w:lvl w:ilvl="0" w:tentative="0">
      <w:start w:val="2"/>
      <w:numFmt w:val="chineseCounting"/>
      <w:suff w:val="nothing"/>
      <w:lvlText w:val="（%1）"/>
      <w:lvlJc w:val="left"/>
      <w:rPr>
        <w:rFonts w:hint="eastAsia"/>
      </w:rPr>
    </w:lvl>
  </w:abstractNum>
  <w:abstractNum w:abstractNumId="1">
    <w:nsid w:val="0FE62F47"/>
    <w:multiLevelType w:val="singleLevel"/>
    <w:tmpl w:val="0FE62F47"/>
    <w:lvl w:ilvl="0" w:tentative="0">
      <w:start w:val="9"/>
      <w:numFmt w:val="chineseCounting"/>
      <w:suff w:val="nothing"/>
      <w:lvlText w:val="%1、"/>
      <w:lvlJc w:val="left"/>
      <w:rPr>
        <w:rFonts w:hint="eastAsia"/>
      </w:rPr>
    </w:lvl>
  </w:abstractNum>
  <w:abstractNum w:abstractNumId="2">
    <w:nsid w:val="784EE556"/>
    <w:multiLevelType w:val="singleLevel"/>
    <w:tmpl w:val="784EE556"/>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hOGExMDQzNzAyY2FkMGU0NWQyZGFhMDc1NWVmZjUifQ=="/>
  </w:docVars>
  <w:rsids>
    <w:rsidRoot w:val="102E1038"/>
    <w:rsid w:val="0AB65045"/>
    <w:rsid w:val="102E1038"/>
    <w:rsid w:val="449D5186"/>
    <w:rsid w:val="492A5D45"/>
    <w:rsid w:val="68437173"/>
    <w:rsid w:val="78F82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ascii="Calibri" w:hAnsi="Calibri"/>
      <w:kern w:val="0"/>
      <w:sz w:val="24"/>
    </w:rPr>
  </w:style>
  <w:style w:type="paragraph" w:customStyle="1" w:styleId="5">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6">
    <w:name w:val="List Paragraph"/>
    <w:basedOn w:val="1"/>
    <w:qFormat/>
    <w:uiPriority w:val="99"/>
    <w:pPr>
      <w:ind w:firstLine="420" w:firstLineChars="200"/>
    </w:pPr>
    <w:rPr>
      <w:rFonts w:ascii="Calibri" w:hAnsi="Calibri"/>
      <w:kern w:val="0"/>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1839</Words>
  <Characters>1932</Characters>
  <Lines>0</Lines>
  <Paragraphs>0</Paragraphs>
  <TotalTime>26</TotalTime>
  <ScaleCrop>false</ScaleCrop>
  <LinksUpToDate>false</LinksUpToDate>
  <CharactersWithSpaces>1936</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2024-05-30T00:38:00Z</dcterms:created>
  <dc:creator>WPS_1615479247</dc:creator>
  <cp:lastModifiedBy>1</cp:lastModifiedBy>
  <dcterms:modified xsi:type="dcterms:W3CDTF">2025-10-29T08:28:07Z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y fmtid="{D5CDD505-2E9C-101B-9397-08002B2CF9AE}" pid="3" name="ICV">
    <vt:lpwstr>49B5B532CCDD4EB1BE332AB79A6F7226_13</vt:lpwstr>
  </property>
  <property fmtid="{D5CDD505-2E9C-101B-9397-08002B2CF9AE}" pid="4" name="KSOTemplateDocerSaveRecord">
    <vt:lpwstr>eyJoZGlkIjoiYzJiNGZkNTNmOTc2MzExODU2MDRhOThkYjk1YWIzMDkiLCJ1c2VySWQiOiIyNjMxMDA4NTIifQ==</vt:lpwstr>
  </property>
</Properties>
</file>