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828E2">
      <w:pPr>
        <w:spacing w:line="600" w:lineRule="exact"/>
        <w:rPr>
          <w:rFonts w:eastAsia="黑体"/>
          <w:sz w:val="32"/>
          <w:szCs w:val="32"/>
          <w:highlight w:val="none"/>
        </w:rPr>
      </w:pPr>
    </w:p>
    <w:p w14:paraId="0E882DF6">
      <w:pPr>
        <w:jc w:val="center"/>
        <w:outlineLvl w:val="1"/>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202</w:t>
      </w:r>
      <w:r>
        <w:rPr>
          <w:rFonts w:hint="eastAsia" w:ascii="方正小标宋简体" w:eastAsia="方正小标宋简体"/>
          <w:sz w:val="52"/>
          <w:szCs w:val="52"/>
          <w:highlight w:val="none"/>
          <w:lang w:val="en-US" w:eastAsia="zh-CN"/>
        </w:rPr>
        <w:t>4</w:t>
      </w:r>
      <w:r>
        <w:rPr>
          <w:rFonts w:hint="eastAsia" w:ascii="方正小标宋简体" w:eastAsia="方正小标宋简体"/>
          <w:sz w:val="52"/>
          <w:szCs w:val="52"/>
          <w:highlight w:val="none"/>
        </w:rPr>
        <w:t>年度</w:t>
      </w:r>
      <w:r>
        <w:rPr>
          <w:rFonts w:hint="eastAsia" w:ascii="方正小标宋简体" w:eastAsia="方正小标宋简体"/>
          <w:sz w:val="52"/>
          <w:szCs w:val="52"/>
          <w:highlight w:val="none"/>
          <w:lang w:eastAsia="zh-CN"/>
        </w:rPr>
        <w:t>文化市场综合行政执法</w:t>
      </w:r>
    </w:p>
    <w:p w14:paraId="695FE7C6">
      <w:pPr>
        <w:jc w:val="center"/>
        <w:outlineLvl w:val="1"/>
        <w:rPr>
          <w:rFonts w:hint="eastAsia" w:ascii="方正小标宋简体" w:eastAsia="方正小标宋简体"/>
          <w:sz w:val="52"/>
          <w:szCs w:val="52"/>
          <w:highlight w:val="none"/>
        </w:rPr>
      </w:pPr>
      <w:r>
        <w:rPr>
          <w:rFonts w:hint="eastAsia" w:ascii="方正小标宋简体" w:eastAsia="方正小标宋简体"/>
          <w:sz w:val="52"/>
          <w:szCs w:val="52"/>
          <w:highlight w:val="none"/>
          <w:lang w:eastAsia="zh-CN"/>
        </w:rPr>
        <w:t>大队</w:t>
      </w:r>
      <w:r>
        <w:rPr>
          <w:rFonts w:hint="eastAsia" w:ascii="方正小标宋简体" w:eastAsia="方正小标宋简体"/>
          <w:sz w:val="52"/>
          <w:szCs w:val="52"/>
          <w:highlight w:val="none"/>
        </w:rPr>
        <w:t>整体支出</w:t>
      </w:r>
    </w:p>
    <w:p w14:paraId="7CADBD3E">
      <w:pPr>
        <w:jc w:val="center"/>
        <w:outlineLvl w:val="1"/>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绩效自评报告</w:t>
      </w:r>
    </w:p>
    <w:p w14:paraId="7C15300F">
      <w:pPr>
        <w:jc w:val="center"/>
        <w:rPr>
          <w:rFonts w:eastAsia="方正小标宋_GBK"/>
          <w:b/>
          <w:sz w:val="52"/>
          <w:szCs w:val="52"/>
          <w:highlight w:val="none"/>
        </w:rPr>
      </w:pPr>
    </w:p>
    <w:p w14:paraId="2037028E">
      <w:pPr>
        <w:jc w:val="center"/>
        <w:rPr>
          <w:rFonts w:eastAsia="楷体_GB2312"/>
          <w:b/>
          <w:sz w:val="32"/>
          <w:szCs w:val="32"/>
          <w:highlight w:val="none"/>
        </w:rPr>
      </w:pPr>
    </w:p>
    <w:p w14:paraId="3094DBA2">
      <w:pPr>
        <w:jc w:val="center"/>
        <w:rPr>
          <w:rFonts w:eastAsia="黑体"/>
          <w:sz w:val="32"/>
          <w:szCs w:val="32"/>
          <w:highlight w:val="none"/>
        </w:rPr>
      </w:pPr>
    </w:p>
    <w:p w14:paraId="6098EDA7">
      <w:pPr>
        <w:jc w:val="center"/>
        <w:rPr>
          <w:rFonts w:eastAsia="黑体"/>
          <w:sz w:val="32"/>
          <w:szCs w:val="32"/>
          <w:highlight w:val="none"/>
        </w:rPr>
      </w:pPr>
    </w:p>
    <w:p w14:paraId="5F7DF78B">
      <w:pPr>
        <w:jc w:val="center"/>
        <w:rPr>
          <w:rFonts w:eastAsia="黑体"/>
          <w:sz w:val="32"/>
          <w:szCs w:val="32"/>
          <w:highlight w:val="none"/>
        </w:rPr>
      </w:pPr>
    </w:p>
    <w:p w14:paraId="04375257">
      <w:pPr>
        <w:rPr>
          <w:rFonts w:eastAsia="黑体"/>
          <w:sz w:val="32"/>
          <w:szCs w:val="32"/>
          <w:highlight w:val="none"/>
        </w:rPr>
      </w:pPr>
    </w:p>
    <w:p w14:paraId="20495C5E">
      <w:pPr>
        <w:jc w:val="center"/>
        <w:rPr>
          <w:rFonts w:eastAsia="黑体"/>
          <w:sz w:val="32"/>
          <w:szCs w:val="32"/>
          <w:highlight w:val="none"/>
        </w:rPr>
      </w:pPr>
    </w:p>
    <w:p w14:paraId="14949871">
      <w:pPr>
        <w:jc w:val="center"/>
        <w:rPr>
          <w:rFonts w:eastAsia="黑体"/>
          <w:sz w:val="32"/>
          <w:szCs w:val="32"/>
          <w:highlight w:val="none"/>
        </w:rPr>
      </w:pPr>
    </w:p>
    <w:p w14:paraId="4FF5EC1F">
      <w:pPr>
        <w:jc w:val="center"/>
        <w:rPr>
          <w:rFonts w:eastAsia="黑体"/>
          <w:sz w:val="32"/>
          <w:szCs w:val="32"/>
          <w:highlight w:val="none"/>
        </w:rPr>
      </w:pPr>
    </w:p>
    <w:p w14:paraId="3F9D46B1">
      <w:pPr>
        <w:jc w:val="center"/>
        <w:rPr>
          <w:rFonts w:eastAsia="黑体"/>
          <w:sz w:val="32"/>
          <w:szCs w:val="32"/>
          <w:highlight w:val="none"/>
        </w:rPr>
      </w:pPr>
    </w:p>
    <w:p w14:paraId="3401A834">
      <w:pPr>
        <w:jc w:val="center"/>
        <w:rPr>
          <w:rFonts w:eastAsia="黑体"/>
          <w:sz w:val="32"/>
          <w:szCs w:val="32"/>
          <w:highlight w:val="none"/>
        </w:rPr>
      </w:pPr>
    </w:p>
    <w:p w14:paraId="4F91BEBD">
      <w:pPr>
        <w:jc w:val="center"/>
        <w:rPr>
          <w:rFonts w:eastAsia="黑体"/>
          <w:sz w:val="32"/>
          <w:szCs w:val="32"/>
          <w:highlight w:val="none"/>
        </w:rPr>
      </w:pPr>
    </w:p>
    <w:p w14:paraId="23189EF0">
      <w:pPr>
        <w:spacing w:line="600" w:lineRule="exact"/>
        <w:ind w:firstLine="2880" w:firstLineChars="900"/>
        <w:rPr>
          <w:rFonts w:eastAsia="仿宋_GB2312"/>
          <w:sz w:val="32"/>
          <w:szCs w:val="32"/>
          <w:highlight w:val="none"/>
          <w:u w:val="single"/>
        </w:rPr>
      </w:pPr>
      <w:r>
        <w:rPr>
          <w:rFonts w:eastAsia="仿宋_GB2312"/>
          <w:sz w:val="32"/>
          <w:szCs w:val="32"/>
          <w:highlight w:val="none"/>
        </w:rPr>
        <w:t>单位名称：</w:t>
      </w:r>
      <w:r>
        <w:rPr>
          <w:rFonts w:eastAsia="仿宋_GB2312"/>
          <w:sz w:val="32"/>
          <w:szCs w:val="32"/>
          <w:highlight w:val="none"/>
          <w:u w:val="single"/>
        </w:rPr>
        <w:t>（盖章）</w:t>
      </w:r>
    </w:p>
    <w:p w14:paraId="02CED6FA">
      <w:pPr>
        <w:spacing w:line="600" w:lineRule="exact"/>
        <w:ind w:firstLine="2880" w:firstLineChars="900"/>
        <w:rPr>
          <w:rFonts w:eastAsia="楷体_GB2312"/>
          <w:sz w:val="32"/>
          <w:szCs w:val="32"/>
          <w:highlight w:val="none"/>
        </w:rPr>
      </w:pPr>
      <w:r>
        <w:rPr>
          <w:rFonts w:hint="eastAsia" w:eastAsia="楷体_GB2312"/>
          <w:sz w:val="32"/>
          <w:szCs w:val="32"/>
          <w:highlight w:val="none"/>
          <w:lang w:val="en-US" w:eastAsia="zh-CN"/>
        </w:rPr>
        <w:t>2025</w:t>
      </w:r>
      <w:r>
        <w:rPr>
          <w:rFonts w:eastAsia="楷体_GB2312"/>
          <w:sz w:val="32"/>
          <w:szCs w:val="32"/>
          <w:highlight w:val="none"/>
        </w:rPr>
        <w:t xml:space="preserve">年 </w:t>
      </w:r>
      <w:r>
        <w:rPr>
          <w:rFonts w:hint="eastAsia" w:eastAsia="楷体_GB2312"/>
          <w:sz w:val="32"/>
          <w:szCs w:val="32"/>
          <w:highlight w:val="none"/>
          <w:lang w:val="en-US" w:eastAsia="zh-CN"/>
        </w:rPr>
        <w:t>6</w:t>
      </w:r>
      <w:r>
        <w:rPr>
          <w:rFonts w:eastAsia="楷体_GB2312"/>
          <w:sz w:val="32"/>
          <w:szCs w:val="32"/>
          <w:highlight w:val="none"/>
        </w:rPr>
        <w:t xml:space="preserve"> 月 </w:t>
      </w:r>
      <w:r>
        <w:rPr>
          <w:rFonts w:hint="eastAsia" w:eastAsia="楷体_GB2312"/>
          <w:sz w:val="32"/>
          <w:szCs w:val="32"/>
          <w:highlight w:val="none"/>
          <w:lang w:val="en-US" w:eastAsia="zh-CN"/>
        </w:rPr>
        <w:t>18</w:t>
      </w:r>
      <w:r>
        <w:rPr>
          <w:rFonts w:eastAsia="楷体_GB2312"/>
          <w:sz w:val="32"/>
          <w:szCs w:val="32"/>
          <w:highlight w:val="none"/>
        </w:rPr>
        <w:t xml:space="preserve"> 日</w:t>
      </w:r>
    </w:p>
    <w:p w14:paraId="7BB1C7C8">
      <w:pPr>
        <w:jc w:val="center"/>
        <w:rPr>
          <w:rFonts w:eastAsia="黑体"/>
          <w:sz w:val="32"/>
          <w:szCs w:val="32"/>
          <w:highlight w:val="none"/>
        </w:rPr>
      </w:pPr>
    </w:p>
    <w:p w14:paraId="3F4B9EED">
      <w:pPr>
        <w:numPr>
          <w:ilvl w:val="0"/>
          <w:numId w:val="1"/>
        </w:numPr>
        <w:spacing w:line="570" w:lineRule="exact"/>
        <w:outlineLvl w:val="0"/>
        <w:rPr>
          <w:rFonts w:eastAsia="黑体"/>
          <w:sz w:val="32"/>
          <w:szCs w:val="32"/>
          <w:highlight w:val="none"/>
        </w:rPr>
      </w:pPr>
      <w:r>
        <w:rPr>
          <w:rFonts w:eastAsia="仿宋_GB2312"/>
          <w:sz w:val="32"/>
          <w:szCs w:val="32"/>
          <w:highlight w:val="none"/>
        </w:rPr>
        <w:br w:type="page"/>
      </w:r>
      <w:r>
        <w:rPr>
          <w:rFonts w:eastAsia="黑体"/>
          <w:sz w:val="32"/>
          <w:szCs w:val="32"/>
          <w:highlight w:val="none"/>
        </w:rPr>
        <w:t>部门（单位）基本情况</w:t>
      </w:r>
    </w:p>
    <w:p w14:paraId="6B83448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_GB2312" w:eastAsia="仿宋_GB2312"/>
          <w:sz w:val="32"/>
          <w:szCs w:val="32"/>
          <w:shd w:val="clear" w:color="auto" w:fill="auto"/>
        </w:rPr>
        <w:t>部门（单位）职能职责、机构编制、人员构成等。</w:t>
      </w:r>
    </w:p>
    <w:p w14:paraId="3555DAA6">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1．主要职能。</w:t>
      </w:r>
    </w:p>
    <w:p w14:paraId="0CCB7EC6">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（一）贯彻执行党和国家有关文化、广播电影电视、新闻出版、版权管理的法律、法规和方针、政策。</w:t>
      </w:r>
    </w:p>
    <w:p w14:paraId="1411C5AB">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（二）负责拟定全县文化市场综合执法工作的规范性文件、总体规划和年度计划，并组织实施。</w:t>
      </w:r>
    </w:p>
    <w:p w14:paraId="292372B6">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（三）负责行使对娱乐场所、营业性演出、互联网上网服务营业场所、美术品销售、社会艺术水平考级及其它文化市场管理方面的法律法规和规章规定的行政处罚权。</w:t>
      </w:r>
    </w:p>
    <w:p w14:paraId="29303E34">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负责行使广播电影电视播出和传输机构、传输网络、信息网络视听节目、广播电视设施、卫星电视广播地面接收设施及其他广播电影电视管理方面的法律、法规和规章规定的行政处罚权；负责查处电影制片、进口、发行和放映等活动中的违法违规行为。</w:t>
      </w:r>
    </w:p>
    <w:p w14:paraId="7A337E30">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（五）负责行使图书、报纸、期刊、音像制品、电子出版物、计算机软件的出版、印刷、复制、发行活动及其他新闻出版管理方面的法律法规和规章规定的行政处罚权。</w:t>
      </w:r>
    </w:p>
    <w:p w14:paraId="7154E7F3">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（六）负责著作权法律法规和规章规定的行政处罚，受理出版物鉴定相关工作。</w:t>
      </w:r>
    </w:p>
    <w:p w14:paraId="1CE986B4">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（七）负责做好“扫黄打非”相关执法工作。</w:t>
      </w:r>
    </w:p>
    <w:p w14:paraId="2B9B5BE3">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（八）组织开展全县文化、新闻出版、版权、广播电影电视等文化市场专项治理和重大执法行动。</w:t>
      </w:r>
    </w:p>
    <w:p w14:paraId="6055DDE9">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九）按权限负责跨区域违法经营活动的协调与查处；对执法人员进行法律法规、业务技能的培训和考核评比；负责对全县文化、新闻出版、版权、广播电影电视等文化市场经营业主（单位）进行法律法规教育培训。</w:t>
      </w:r>
    </w:p>
    <w:p w14:paraId="5EF865F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（十）负责对全县文化市场综合执法工作的监督检查，受理相关投诉、举报，对行政处罚不当和行政不作为行为进行纠正或处理；负责全县文化市场综合执法案件的备案管理。</w:t>
      </w:r>
    </w:p>
    <w:p w14:paraId="4351626F">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（十一）负责全县文化市场综合执法的资金、设施装备的申报、管理、调配。</w:t>
      </w:r>
    </w:p>
    <w:p w14:paraId="543E523A">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（十二）负责建立文化市场综合执法与相关部门之间的协调机制。</w:t>
      </w:r>
    </w:p>
    <w:p w14:paraId="1544C040">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(十三)承办县委、县政府交办的其他事项。</w:t>
      </w:r>
    </w:p>
    <w:p w14:paraId="73E33E8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 w:eastAsia="仿宋_GB2312"/>
          <w:b/>
          <w:bCs/>
          <w:sz w:val="32"/>
          <w:szCs w:val="32"/>
        </w:rPr>
      </w:pPr>
      <w:r>
        <w:rPr>
          <w:rFonts w:hint="eastAsia" w:ascii="仿宋_GB2312" w:hAnsi="仿宋" w:eastAsia="仿宋_GB2312"/>
          <w:b/>
          <w:bCs/>
          <w:sz w:val="32"/>
          <w:szCs w:val="32"/>
        </w:rPr>
        <w:t>2．机构情况，包括当年变动情况及原因。</w:t>
      </w:r>
    </w:p>
    <w:p w14:paraId="73A366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rPr>
      </w:pPr>
      <w:r>
        <w:rPr>
          <w:rFonts w:hint="eastAsia" w:ascii="仿宋" w:hAnsi="仿宋" w:eastAsia="仿宋" w:cs="仿宋"/>
          <w:sz w:val="32"/>
          <w:szCs w:val="32"/>
        </w:rPr>
        <w:t>本单位</w:t>
      </w:r>
      <w:r>
        <w:rPr>
          <w:rFonts w:hint="eastAsia" w:ascii="仿宋" w:hAnsi="仿宋" w:eastAsia="仿宋" w:cs="仿宋"/>
          <w:sz w:val="32"/>
          <w:szCs w:val="32"/>
          <w:u w:val="single"/>
        </w:rPr>
        <w:t>为</w:t>
      </w:r>
      <w:r>
        <w:rPr>
          <w:rFonts w:hint="eastAsia" w:ascii="仿宋" w:hAnsi="仿宋" w:eastAsia="仿宋" w:cs="仿宋"/>
          <w:sz w:val="32"/>
          <w:szCs w:val="32"/>
          <w:u w:val="single"/>
          <w:lang w:eastAsia="zh-CN"/>
        </w:rPr>
        <w:t>正</w:t>
      </w:r>
      <w:r>
        <w:rPr>
          <w:rFonts w:hint="eastAsia" w:ascii="仿宋" w:hAnsi="仿宋" w:eastAsia="仿宋" w:cs="仿宋"/>
          <w:sz w:val="32"/>
          <w:szCs w:val="32"/>
          <w:u w:val="single"/>
        </w:rPr>
        <w:t>科</w:t>
      </w:r>
      <w:r>
        <w:rPr>
          <w:rFonts w:hint="eastAsia" w:ascii="仿宋" w:hAnsi="仿宋" w:eastAsia="仿宋" w:cs="仿宋"/>
          <w:sz w:val="32"/>
          <w:szCs w:val="32"/>
        </w:rPr>
        <w:t>级财政全额拨款</w:t>
      </w:r>
      <w:r>
        <w:rPr>
          <w:rFonts w:hint="eastAsia" w:ascii="仿宋" w:hAnsi="仿宋" w:eastAsia="仿宋" w:cs="仿宋"/>
          <w:sz w:val="32"/>
          <w:szCs w:val="32"/>
          <w:u w:val="single"/>
        </w:rPr>
        <w:t>事业</w:t>
      </w:r>
      <w:r>
        <w:rPr>
          <w:rFonts w:hint="eastAsia" w:ascii="仿宋" w:hAnsi="仿宋" w:eastAsia="仿宋" w:cs="仿宋"/>
          <w:sz w:val="32"/>
          <w:szCs w:val="32"/>
        </w:rPr>
        <w:t>单位。单位内设机构</w:t>
      </w:r>
      <w:r>
        <w:rPr>
          <w:rFonts w:hint="eastAsia" w:ascii="仿宋" w:hAnsi="仿宋" w:eastAsia="仿宋" w:cs="仿宋"/>
          <w:sz w:val="32"/>
          <w:szCs w:val="32"/>
          <w:u w:val="single"/>
        </w:rPr>
        <w:t>5</w:t>
      </w:r>
      <w:r>
        <w:rPr>
          <w:rFonts w:hint="eastAsia" w:ascii="仿宋" w:hAnsi="仿宋" w:eastAsia="仿宋" w:cs="仿宋"/>
          <w:sz w:val="32"/>
          <w:szCs w:val="32"/>
        </w:rPr>
        <w:t>个，归ロ管理下属单位</w:t>
      </w:r>
      <w:r>
        <w:rPr>
          <w:rFonts w:hint="eastAsia" w:ascii="仿宋" w:hAnsi="仿宋" w:eastAsia="仿宋" w:cs="仿宋"/>
          <w:sz w:val="32"/>
          <w:szCs w:val="32"/>
          <w:u w:val="single"/>
        </w:rPr>
        <w:t>0</w:t>
      </w:r>
      <w:r>
        <w:rPr>
          <w:rFonts w:hint="eastAsia" w:ascii="仿宋" w:hAnsi="仿宋" w:eastAsia="仿宋" w:cs="仿宋"/>
          <w:sz w:val="32"/>
          <w:szCs w:val="32"/>
        </w:rPr>
        <w:t>个。</w:t>
      </w:r>
    </w:p>
    <w:p w14:paraId="09F9CF7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 w:eastAsia="仿宋_GB2312"/>
          <w:b/>
          <w:bCs/>
          <w:sz w:val="32"/>
          <w:szCs w:val="32"/>
        </w:rPr>
      </w:pPr>
      <w:r>
        <w:rPr>
          <w:rFonts w:hint="eastAsia" w:ascii="仿宋_GB2312" w:hAnsi="仿宋" w:eastAsia="仿宋_GB2312"/>
          <w:b/>
          <w:bCs/>
          <w:sz w:val="32"/>
          <w:szCs w:val="32"/>
        </w:rPr>
        <w:t>3．人员情况，包括当年变动情况及原因。</w:t>
      </w:r>
    </w:p>
    <w:p w14:paraId="000557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
          <w:sz w:val="32"/>
          <w:szCs w:val="32"/>
          <w:highlight w:val="none"/>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年单位编制人数</w:t>
      </w:r>
      <w:r>
        <w:rPr>
          <w:rFonts w:hint="eastAsia" w:ascii="仿宋" w:hAnsi="仿宋" w:eastAsia="仿宋" w:cs="仿宋"/>
          <w:sz w:val="32"/>
          <w:szCs w:val="32"/>
          <w:u w:val="single"/>
          <w:lang w:val="en-US" w:eastAsia="zh-CN"/>
        </w:rPr>
        <w:t>19</w:t>
      </w:r>
      <w:r>
        <w:rPr>
          <w:rFonts w:hint="eastAsia" w:ascii="仿宋" w:hAnsi="仿宋" w:eastAsia="仿宋" w:cs="仿宋"/>
          <w:sz w:val="32"/>
          <w:szCs w:val="32"/>
        </w:rPr>
        <w:t>人，实有在职人数</w:t>
      </w:r>
      <w:r>
        <w:rPr>
          <w:rFonts w:hint="eastAsia" w:ascii="仿宋" w:hAnsi="仿宋" w:eastAsia="仿宋" w:cs="仿宋"/>
          <w:sz w:val="32"/>
          <w:szCs w:val="32"/>
          <w:u w:val="single"/>
          <w:lang w:val="en-US" w:eastAsia="zh-CN"/>
        </w:rPr>
        <w:t>13</w:t>
      </w:r>
      <w:r>
        <w:rPr>
          <w:rFonts w:hint="eastAsia" w:ascii="仿宋" w:hAnsi="仿宋" w:eastAsia="仿宋" w:cs="仿宋"/>
          <w:sz w:val="32"/>
          <w:szCs w:val="32"/>
        </w:rPr>
        <w:t>人</w:t>
      </w:r>
      <w:r>
        <w:rPr>
          <w:rFonts w:hint="eastAsia" w:ascii="仿宋" w:hAnsi="仿宋" w:eastAsia="仿宋" w:cs="仿宋"/>
          <w:sz w:val="32"/>
          <w:szCs w:val="32"/>
          <w:lang w:eastAsia="zh-CN"/>
        </w:rPr>
        <w:t>，有一名职工退休。</w:t>
      </w:r>
    </w:p>
    <w:p w14:paraId="52DBCE82">
      <w:pPr>
        <w:numPr>
          <w:ilvl w:val="0"/>
          <w:numId w:val="0"/>
        </w:numPr>
        <w:spacing w:line="570" w:lineRule="exact"/>
        <w:ind w:leftChars="0" w:firstLine="640" w:firstLineChars="200"/>
        <w:outlineLvl w:val="1"/>
        <w:rPr>
          <w:rFonts w:hint="default" w:eastAsia="仿宋_GB2312"/>
          <w:color w:val="000000"/>
          <w:sz w:val="32"/>
          <w:szCs w:val="32"/>
          <w:highlight w:val="none"/>
          <w:lang w:val="en-US" w:eastAsia="zh-CN"/>
        </w:rPr>
      </w:pPr>
      <w:r>
        <w:rPr>
          <w:rFonts w:hint="eastAsia" w:ascii="仿宋_GB2312" w:eastAsia="仿宋_GB2312"/>
          <w:sz w:val="32"/>
          <w:szCs w:val="32"/>
          <w:highlight w:val="none"/>
        </w:rPr>
        <w:t>部门（单位）整体支出规模</w:t>
      </w:r>
      <w:r>
        <w:rPr>
          <w:rFonts w:hint="eastAsia" w:ascii="仿宋_GB2312" w:hAnsi="仿宋_GB2312" w:eastAsia="仿宋_GB2312" w:cs="仿宋_GB2312"/>
          <w:sz w:val="32"/>
          <w:szCs w:val="32"/>
          <w:highlight w:val="none"/>
        </w:rPr>
        <w:t>，</w:t>
      </w:r>
      <w:r>
        <w:rPr>
          <w:rFonts w:hint="eastAsia" w:eastAsia="仿宋_GB2312"/>
          <w:color w:val="000000"/>
          <w:sz w:val="32"/>
          <w:szCs w:val="32"/>
          <w:highlight w:val="none"/>
        </w:rPr>
        <w:t>包括但不限于部门整体支出情况、部门预算收支决算情况及“三公经费”支出使用和管理情况。</w:t>
      </w:r>
    </w:p>
    <w:p w14:paraId="5C9A5726">
      <w:pPr>
        <w:numPr>
          <w:ilvl w:val="0"/>
          <w:numId w:val="0"/>
        </w:numPr>
        <w:spacing w:line="570" w:lineRule="exact"/>
        <w:ind w:leftChars="0" w:firstLine="640" w:firstLineChars="200"/>
        <w:outlineLvl w:val="1"/>
        <w:rPr>
          <w:rFonts w:hint="default" w:eastAsia="仿宋_GB2312"/>
          <w:color w:val="000000"/>
          <w:sz w:val="32"/>
          <w:szCs w:val="32"/>
          <w:highlight w:val="none"/>
          <w:lang w:val="en-US" w:eastAsia="zh-CN"/>
        </w:rPr>
      </w:pPr>
      <w:r>
        <w:rPr>
          <w:rFonts w:hint="eastAsia" w:eastAsia="仿宋_GB2312"/>
          <w:color w:val="000000"/>
          <w:sz w:val="32"/>
          <w:szCs w:val="32"/>
          <w:highlight w:val="none"/>
          <w:lang w:eastAsia="zh-CN"/>
        </w:rPr>
        <w:t>本单位</w:t>
      </w:r>
      <w:r>
        <w:rPr>
          <w:rFonts w:hint="eastAsia" w:eastAsia="仿宋_GB2312"/>
          <w:color w:val="000000"/>
          <w:sz w:val="32"/>
          <w:szCs w:val="32"/>
          <w:highlight w:val="none"/>
          <w:lang w:val="en-US" w:eastAsia="zh-CN"/>
        </w:rPr>
        <w:t>2024年支出合计224.2万元，基本支出204.11万元，项目支出20.09万元</w:t>
      </w:r>
      <w:r>
        <w:rPr>
          <w:rFonts w:hint="eastAsia" w:ascii="仿宋" w:hAnsi="仿宋" w:eastAsia="仿宋" w:cs="仿宋"/>
          <w:sz w:val="32"/>
          <w:szCs w:val="32"/>
        </w:rPr>
        <w:t>。</w:t>
      </w:r>
    </w:p>
    <w:p w14:paraId="1361CDB1">
      <w:pPr>
        <w:pStyle w:val="5"/>
        <w:spacing w:line="570" w:lineRule="exact"/>
        <w:ind w:firstLine="640"/>
        <w:outlineLvl w:val="0"/>
        <w:rPr>
          <w:rFonts w:ascii="Times New Roman" w:hAnsi="Times New Roman" w:eastAsia="黑体"/>
          <w:sz w:val="32"/>
          <w:szCs w:val="32"/>
          <w:highlight w:val="none"/>
        </w:rPr>
      </w:pPr>
      <w:r>
        <w:rPr>
          <w:rFonts w:ascii="Times New Roman" w:hAnsi="Times New Roman" w:eastAsia="黑体"/>
          <w:sz w:val="32"/>
          <w:szCs w:val="32"/>
          <w:highlight w:val="none"/>
        </w:rPr>
        <w:t>二、一般公共预算支出情况</w:t>
      </w:r>
    </w:p>
    <w:p w14:paraId="0A35C443">
      <w:pPr>
        <w:pStyle w:val="5"/>
        <w:spacing w:line="570" w:lineRule="exact"/>
        <w:ind w:firstLine="640"/>
        <w:outlineLvl w:val="1"/>
        <w:rPr>
          <w:rFonts w:ascii="Times New Roman" w:hAnsi="Times New Roman" w:eastAsia="仿宋_GB2312"/>
          <w:sz w:val="32"/>
          <w:szCs w:val="32"/>
          <w:highlight w:val="none"/>
        </w:rPr>
      </w:pPr>
      <w:r>
        <w:rPr>
          <w:rFonts w:ascii="Times New Roman" w:hAnsi="Times New Roman" w:eastAsia="仿宋_GB2312"/>
          <w:sz w:val="32"/>
          <w:szCs w:val="32"/>
          <w:highlight w:val="none"/>
        </w:rPr>
        <w:t>（一）基本支出情况</w:t>
      </w:r>
    </w:p>
    <w:p w14:paraId="06B775BF">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2024</w:t>
      </w:r>
      <w:r>
        <w:rPr>
          <w:rFonts w:hint="eastAsia" w:ascii="仿宋_GB2312" w:hAnsi="仿宋" w:eastAsia="仿宋_GB2312"/>
          <w:sz w:val="32"/>
          <w:szCs w:val="32"/>
        </w:rPr>
        <w:t>年支出</w:t>
      </w:r>
      <w:r>
        <w:rPr>
          <w:rFonts w:hint="eastAsia" w:ascii="仿宋" w:hAnsi="仿宋" w:eastAsia="仿宋" w:cs="仿宋"/>
          <w:sz w:val="32"/>
          <w:szCs w:val="32"/>
          <w:lang w:val="en-US" w:eastAsia="zh-CN"/>
        </w:rPr>
        <w:t>224.20</w:t>
      </w:r>
      <w:r>
        <w:rPr>
          <w:rFonts w:hint="eastAsia" w:ascii="仿宋_GB2312" w:hAnsi="仿宋" w:eastAsia="仿宋_GB2312"/>
          <w:sz w:val="32"/>
          <w:szCs w:val="32"/>
        </w:rPr>
        <w:t>万元，其中工资福利支出</w:t>
      </w:r>
      <w:r>
        <w:rPr>
          <w:rFonts w:hint="eastAsia" w:ascii="仿宋_GB2312" w:hAnsi="仿宋" w:eastAsia="仿宋_GB2312"/>
          <w:sz w:val="32"/>
          <w:szCs w:val="32"/>
          <w:lang w:val="en-US" w:eastAsia="zh-CN"/>
        </w:rPr>
        <w:t>145.87</w:t>
      </w:r>
      <w:r>
        <w:rPr>
          <w:rFonts w:hint="eastAsia" w:ascii="仿宋_GB2312" w:hAnsi="仿宋" w:eastAsia="仿宋_GB2312"/>
          <w:sz w:val="32"/>
          <w:szCs w:val="32"/>
        </w:rPr>
        <w:t>万元，占总支出的</w:t>
      </w:r>
      <w:r>
        <w:rPr>
          <w:rFonts w:hint="eastAsia" w:ascii="仿宋_GB2312" w:hAnsi="仿宋" w:eastAsia="仿宋_GB2312"/>
          <w:sz w:val="32"/>
          <w:szCs w:val="32"/>
          <w:lang w:val="en-US" w:eastAsia="zh-CN"/>
        </w:rPr>
        <w:t>65.05</w:t>
      </w:r>
      <w:r>
        <w:rPr>
          <w:rFonts w:hint="eastAsia" w:ascii="仿宋_GB2312" w:hAnsi="仿宋" w:eastAsia="仿宋_GB2312"/>
          <w:sz w:val="32"/>
          <w:szCs w:val="32"/>
        </w:rPr>
        <w:t>%：基本工资</w:t>
      </w:r>
      <w:r>
        <w:rPr>
          <w:rFonts w:hint="eastAsia" w:ascii="仿宋_GB2312" w:hAnsi="仿宋" w:eastAsia="仿宋_GB2312"/>
          <w:sz w:val="32"/>
          <w:szCs w:val="32"/>
          <w:lang w:val="en-US" w:eastAsia="zh-CN"/>
        </w:rPr>
        <w:t>49.75</w:t>
      </w:r>
      <w:r>
        <w:rPr>
          <w:rFonts w:hint="eastAsia" w:ascii="仿宋_GB2312" w:hAnsi="仿宋" w:eastAsia="仿宋_GB2312"/>
          <w:sz w:val="32"/>
          <w:szCs w:val="32"/>
        </w:rPr>
        <w:t>万元，奖金</w:t>
      </w:r>
      <w:r>
        <w:rPr>
          <w:rFonts w:hint="eastAsia" w:ascii="仿宋_GB2312" w:hAnsi="仿宋" w:eastAsia="仿宋_GB2312"/>
          <w:sz w:val="32"/>
          <w:szCs w:val="32"/>
          <w:lang w:val="en-US" w:eastAsia="zh-CN"/>
        </w:rPr>
        <w:t>27.98</w:t>
      </w:r>
      <w:r>
        <w:rPr>
          <w:rFonts w:hint="eastAsia" w:ascii="仿宋_GB2312" w:hAnsi="仿宋" w:eastAsia="仿宋_GB2312"/>
          <w:sz w:val="32"/>
          <w:szCs w:val="32"/>
        </w:rPr>
        <w:t>万元，津补贴</w:t>
      </w:r>
      <w:r>
        <w:rPr>
          <w:rFonts w:hint="eastAsia" w:ascii="仿宋_GB2312" w:hAnsi="仿宋" w:eastAsia="仿宋_GB2312"/>
          <w:sz w:val="32"/>
          <w:szCs w:val="32"/>
          <w:lang w:val="en-US" w:eastAsia="zh-CN"/>
        </w:rPr>
        <w:t>33.41</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rPr>
        <w:t>基本养老保险缴费</w:t>
      </w:r>
      <w:r>
        <w:rPr>
          <w:rFonts w:hint="eastAsia" w:ascii="仿宋_GB2312" w:hAnsi="仿宋" w:eastAsia="仿宋_GB2312"/>
          <w:sz w:val="32"/>
          <w:szCs w:val="32"/>
          <w:lang w:val="en-US" w:eastAsia="zh-CN"/>
        </w:rPr>
        <w:t>15.11</w:t>
      </w:r>
      <w:r>
        <w:rPr>
          <w:rFonts w:hint="eastAsia" w:ascii="仿宋_GB2312" w:hAnsi="仿宋" w:eastAsia="仿宋_GB2312"/>
          <w:sz w:val="32"/>
          <w:szCs w:val="32"/>
        </w:rPr>
        <w:t>万元，住房公积金</w:t>
      </w:r>
      <w:r>
        <w:rPr>
          <w:rFonts w:hint="eastAsia" w:ascii="仿宋_GB2312" w:hAnsi="仿宋" w:eastAsia="仿宋_GB2312"/>
          <w:sz w:val="32"/>
          <w:szCs w:val="32"/>
          <w:lang w:val="en-US" w:eastAsia="zh-CN"/>
        </w:rPr>
        <w:t>11.33</w:t>
      </w:r>
      <w:r>
        <w:rPr>
          <w:rFonts w:hint="eastAsia" w:ascii="仿宋_GB2312" w:hAnsi="仿宋" w:eastAsia="仿宋_GB2312"/>
          <w:sz w:val="32"/>
          <w:szCs w:val="32"/>
        </w:rPr>
        <w:t>万，基本医疗保险缴费</w:t>
      </w:r>
      <w:r>
        <w:rPr>
          <w:rFonts w:hint="eastAsia" w:ascii="仿宋_GB2312" w:hAnsi="仿宋" w:eastAsia="仿宋_GB2312"/>
          <w:sz w:val="32"/>
          <w:szCs w:val="32"/>
          <w:lang w:val="en-US" w:eastAsia="zh-CN"/>
        </w:rPr>
        <w:t>7.93</w:t>
      </w:r>
      <w:r>
        <w:rPr>
          <w:rFonts w:hint="eastAsia" w:ascii="仿宋_GB2312" w:hAnsi="仿宋" w:eastAsia="仿宋_GB2312"/>
          <w:sz w:val="32"/>
          <w:szCs w:val="32"/>
        </w:rPr>
        <w:t>万元，其他社会保障缴费</w:t>
      </w:r>
      <w:r>
        <w:rPr>
          <w:rFonts w:hint="eastAsia" w:ascii="仿宋_GB2312" w:hAnsi="仿宋" w:eastAsia="仿宋_GB2312"/>
          <w:sz w:val="32"/>
          <w:szCs w:val="32"/>
          <w:lang w:val="en-US" w:eastAsia="zh-CN"/>
        </w:rPr>
        <w:t>0.33</w:t>
      </w:r>
      <w:r>
        <w:rPr>
          <w:rFonts w:hint="eastAsia" w:ascii="仿宋_GB2312" w:hAnsi="仿宋" w:eastAsia="仿宋_GB2312"/>
          <w:sz w:val="32"/>
          <w:szCs w:val="32"/>
        </w:rPr>
        <w:t>万元；</w:t>
      </w:r>
    </w:p>
    <w:p w14:paraId="33D180F4">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w:t>
      </w:r>
      <w:r>
        <w:rPr>
          <w:rFonts w:hint="eastAsia" w:ascii="仿宋_GB2312" w:hAnsi="仿宋" w:eastAsia="仿宋_GB2312"/>
          <w:sz w:val="32"/>
          <w:szCs w:val="32"/>
          <w:lang w:val="en-US" w:eastAsia="zh-CN"/>
        </w:rPr>
        <w:t>50.42</w:t>
      </w:r>
      <w:r>
        <w:rPr>
          <w:rFonts w:hint="eastAsia" w:ascii="仿宋_GB2312" w:hAnsi="仿宋" w:eastAsia="仿宋_GB2312"/>
          <w:sz w:val="32"/>
          <w:szCs w:val="32"/>
        </w:rPr>
        <w:t>万元，占总支出的</w:t>
      </w:r>
      <w:r>
        <w:rPr>
          <w:rFonts w:hint="eastAsia" w:ascii="仿宋_GB2312" w:hAnsi="仿宋" w:eastAsia="仿宋_GB2312"/>
          <w:sz w:val="32"/>
          <w:szCs w:val="32"/>
          <w:lang w:val="en-US" w:eastAsia="zh-CN"/>
        </w:rPr>
        <w:t>22.49</w:t>
      </w:r>
      <w:r>
        <w:rPr>
          <w:rFonts w:hint="eastAsia" w:ascii="仿宋_GB2312" w:hAnsi="仿宋" w:eastAsia="仿宋_GB2312"/>
          <w:sz w:val="32"/>
          <w:szCs w:val="32"/>
        </w:rPr>
        <w:t>%</w:t>
      </w:r>
      <w:r>
        <w:rPr>
          <w:rFonts w:hint="eastAsia" w:ascii="仿宋_GB2312" w:hAnsi="仿宋" w:eastAsia="仿宋_GB2312"/>
          <w:sz w:val="32"/>
          <w:szCs w:val="32"/>
        </w:rPr>
        <w:tab/>
      </w:r>
      <w:r>
        <w:rPr>
          <w:rFonts w:hint="eastAsia" w:ascii="仿宋_GB2312" w:hAnsi="仿宋" w:eastAsia="仿宋_GB2312"/>
          <w:sz w:val="32"/>
          <w:szCs w:val="32"/>
        </w:rPr>
        <w:t>：办公费</w:t>
      </w:r>
      <w:r>
        <w:rPr>
          <w:rFonts w:hint="eastAsia" w:ascii="仿宋_GB2312" w:hAnsi="仿宋" w:eastAsia="仿宋_GB2312"/>
          <w:sz w:val="32"/>
          <w:szCs w:val="32"/>
          <w:lang w:val="en-US" w:eastAsia="zh-CN"/>
        </w:rPr>
        <w:t>16.16</w:t>
      </w:r>
      <w:r>
        <w:rPr>
          <w:rFonts w:hint="eastAsia" w:ascii="仿宋_GB2312" w:hAnsi="仿宋" w:eastAsia="仿宋_GB2312"/>
          <w:sz w:val="32"/>
          <w:szCs w:val="32"/>
        </w:rPr>
        <w:t>万元，印刷</w:t>
      </w:r>
      <w:r>
        <w:rPr>
          <w:rFonts w:hint="eastAsia" w:ascii="仿宋_GB2312" w:hAnsi="仿宋" w:eastAsia="仿宋_GB2312"/>
          <w:sz w:val="32"/>
          <w:szCs w:val="32"/>
          <w:lang w:val="en-US" w:eastAsia="zh-CN"/>
        </w:rPr>
        <w:t>1.85</w:t>
      </w:r>
      <w:r>
        <w:rPr>
          <w:rFonts w:hint="eastAsia" w:ascii="仿宋_GB2312" w:hAnsi="仿宋" w:eastAsia="仿宋_GB2312"/>
          <w:sz w:val="32"/>
          <w:szCs w:val="32"/>
        </w:rPr>
        <w:t>万元，差旅费</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万元，维修（护）费</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w:t>
      </w:r>
      <w:r>
        <w:rPr>
          <w:rFonts w:hint="eastAsia" w:ascii="仿宋_GB2312" w:hAnsi="仿宋" w:eastAsia="仿宋_GB2312"/>
          <w:sz w:val="32"/>
          <w:szCs w:val="32"/>
          <w:lang w:eastAsia="zh-CN"/>
        </w:rPr>
        <w:t>培训费</w:t>
      </w:r>
      <w:r>
        <w:rPr>
          <w:rFonts w:hint="eastAsia" w:ascii="仿宋_GB2312" w:hAnsi="仿宋" w:eastAsia="仿宋_GB2312"/>
          <w:sz w:val="32"/>
          <w:szCs w:val="32"/>
          <w:lang w:val="en-US" w:eastAsia="zh-CN"/>
        </w:rPr>
        <w:t>1万元</w:t>
      </w:r>
      <w:r>
        <w:rPr>
          <w:rFonts w:hint="eastAsia" w:ascii="仿宋_GB2312" w:hAnsi="仿宋" w:eastAsia="仿宋_GB2312"/>
          <w:sz w:val="32"/>
          <w:szCs w:val="32"/>
        </w:rPr>
        <w:t>，工会经费</w:t>
      </w:r>
      <w:r>
        <w:rPr>
          <w:rFonts w:hint="eastAsia" w:ascii="仿宋_GB2312" w:hAnsi="仿宋" w:eastAsia="仿宋_GB2312"/>
          <w:sz w:val="32"/>
          <w:szCs w:val="32"/>
          <w:lang w:val="en-US" w:eastAsia="zh-CN"/>
        </w:rPr>
        <w:t>9</w:t>
      </w:r>
      <w:r>
        <w:rPr>
          <w:rFonts w:hint="eastAsia" w:ascii="仿宋_GB2312" w:hAnsi="仿宋" w:eastAsia="仿宋_GB2312"/>
          <w:sz w:val="32"/>
          <w:szCs w:val="32"/>
        </w:rPr>
        <w:t>万元，其他交通</w:t>
      </w:r>
      <w:r>
        <w:rPr>
          <w:rFonts w:hint="eastAsia" w:ascii="仿宋_GB2312" w:hAnsi="仿宋" w:eastAsia="仿宋_GB2312"/>
          <w:sz w:val="32"/>
          <w:szCs w:val="32"/>
          <w:lang w:val="en-US" w:eastAsia="zh-CN"/>
        </w:rPr>
        <w:t>0.12</w:t>
      </w:r>
      <w:r>
        <w:rPr>
          <w:rFonts w:hint="eastAsia" w:ascii="仿宋_GB2312" w:hAnsi="仿宋" w:eastAsia="仿宋_GB2312"/>
          <w:sz w:val="32"/>
          <w:szCs w:val="32"/>
        </w:rPr>
        <w:t>万元，其他商品和服务支出</w:t>
      </w:r>
      <w:r>
        <w:rPr>
          <w:rFonts w:hint="eastAsia" w:ascii="仿宋_GB2312" w:hAnsi="仿宋" w:eastAsia="仿宋_GB2312"/>
          <w:sz w:val="32"/>
          <w:szCs w:val="32"/>
          <w:lang w:val="en-US" w:eastAsia="zh-CN"/>
        </w:rPr>
        <w:t>14.29</w:t>
      </w:r>
      <w:r>
        <w:rPr>
          <w:rFonts w:hint="eastAsia" w:ascii="仿宋_GB2312" w:hAnsi="仿宋" w:eastAsia="仿宋_GB2312"/>
          <w:sz w:val="32"/>
          <w:szCs w:val="32"/>
        </w:rPr>
        <w:t>万元；</w:t>
      </w:r>
    </w:p>
    <w:p w14:paraId="2A897BCA">
      <w:pPr>
        <w:snapToGrid w:val="0"/>
        <w:spacing w:line="52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 w:eastAsia="仿宋_GB2312"/>
          <w:sz w:val="32"/>
          <w:szCs w:val="32"/>
        </w:rPr>
        <w:t>对个人和家庭的补助支出</w:t>
      </w:r>
      <w:r>
        <w:rPr>
          <w:rFonts w:hint="eastAsia" w:ascii="仿宋_GB2312" w:hAnsi="仿宋" w:eastAsia="仿宋_GB2312"/>
          <w:sz w:val="32"/>
          <w:szCs w:val="32"/>
          <w:lang w:val="en-US" w:eastAsia="zh-CN"/>
        </w:rPr>
        <w:t>27.94</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占总支出的</w:t>
      </w:r>
      <w:r>
        <w:rPr>
          <w:rFonts w:hint="eastAsia" w:ascii="仿宋_GB2312" w:hAnsi="仿宋" w:eastAsia="仿宋_GB2312"/>
          <w:sz w:val="32"/>
          <w:szCs w:val="32"/>
          <w:lang w:val="en-US" w:eastAsia="zh-CN"/>
        </w:rPr>
        <w:t>12.46</w:t>
      </w:r>
      <w:r>
        <w:rPr>
          <w:rFonts w:hint="eastAsia" w:ascii="仿宋_GB2312" w:hAnsi="仿宋" w:eastAsia="仿宋_GB2312"/>
          <w:sz w:val="32"/>
          <w:szCs w:val="32"/>
        </w:rPr>
        <w:t>%</w:t>
      </w:r>
      <w:r>
        <w:rPr>
          <w:rFonts w:hint="eastAsia" w:ascii="仿宋_GB2312" w:hAnsi="仿宋" w:eastAsia="仿宋_GB2312"/>
          <w:sz w:val="32"/>
          <w:szCs w:val="32"/>
          <w:lang w:eastAsia="zh-CN"/>
        </w:rPr>
        <w:t>，其中退休费</w:t>
      </w:r>
      <w:r>
        <w:rPr>
          <w:rFonts w:hint="eastAsia" w:ascii="仿宋_GB2312" w:hAnsi="仿宋" w:eastAsia="仿宋_GB2312"/>
          <w:sz w:val="32"/>
          <w:szCs w:val="32"/>
          <w:lang w:val="en-US" w:eastAsia="zh-CN"/>
        </w:rPr>
        <w:t>1.4万元，抚恤金25.71万元，生活补助0.83万元。</w:t>
      </w:r>
    </w:p>
    <w:p w14:paraId="768BEFD8">
      <w:pPr>
        <w:pStyle w:val="5"/>
        <w:numPr>
          <w:ilvl w:val="0"/>
          <w:numId w:val="0"/>
        </w:numPr>
        <w:spacing w:line="570" w:lineRule="exact"/>
        <w:ind w:left="0" w:leftChars="0" w:firstLine="640" w:firstLineChars="200"/>
        <w:outlineLvl w:val="1"/>
        <w:rPr>
          <w:rFonts w:ascii="Times New Roman" w:hAnsi="Times New Roman" w:eastAsia="仿宋_GB2312"/>
          <w:sz w:val="32"/>
          <w:szCs w:val="32"/>
          <w:highlight w:val="none"/>
        </w:rPr>
      </w:pP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sz w:val="32"/>
          <w:szCs w:val="32"/>
          <w:highlight w:val="none"/>
        </w:rPr>
        <w:t>项目支出情况</w:t>
      </w:r>
    </w:p>
    <w:p w14:paraId="449CB555">
      <w:pPr>
        <w:pStyle w:val="5"/>
        <w:numPr>
          <w:ilvl w:val="0"/>
          <w:numId w:val="0"/>
        </w:numPr>
        <w:spacing w:line="570" w:lineRule="exact"/>
        <w:ind w:firstLine="640" w:firstLineChars="200"/>
        <w:jc w:val="left"/>
        <w:outlineLvl w:val="0"/>
        <w:rPr>
          <w:rFonts w:hint="default" w:ascii="Times New Roman" w:hAnsi="Times New Roman" w:eastAsia="黑体"/>
          <w:sz w:val="32"/>
          <w:szCs w:val="32"/>
          <w:highlight w:val="none"/>
          <w:lang w:val="en-US"/>
        </w:rPr>
      </w:pPr>
      <w:r>
        <w:rPr>
          <w:rFonts w:hint="eastAsia" w:ascii="Times New Roman" w:hAnsi="Times New Roman" w:eastAsia="仿宋_GB2312"/>
          <w:sz w:val="32"/>
          <w:szCs w:val="32"/>
          <w:highlight w:val="none"/>
          <w:lang w:val="en-US" w:eastAsia="zh-CN"/>
        </w:rPr>
        <w:t>2024年项目支出20.09万元，主要用于维护公共文化环境服务。</w:t>
      </w:r>
    </w:p>
    <w:p w14:paraId="0994D781">
      <w:pPr>
        <w:pStyle w:val="5"/>
        <w:numPr>
          <w:ilvl w:val="0"/>
          <w:numId w:val="0"/>
        </w:numPr>
        <w:spacing w:line="570" w:lineRule="exact"/>
        <w:ind w:left="640" w:leftChars="0"/>
        <w:jc w:val="left"/>
        <w:outlineLvl w:val="0"/>
        <w:rPr>
          <w:rFonts w:hint="eastAsia" w:ascii="Times New Roman" w:hAnsi="Times New Roman" w:eastAsia="黑体"/>
          <w:sz w:val="32"/>
          <w:szCs w:val="32"/>
          <w:highlight w:val="none"/>
        </w:rPr>
      </w:pPr>
      <w:r>
        <w:rPr>
          <w:rFonts w:hint="eastAsia" w:ascii="Times New Roman" w:hAnsi="Times New Roman" w:eastAsia="黑体"/>
          <w:sz w:val="32"/>
          <w:szCs w:val="32"/>
          <w:highlight w:val="none"/>
          <w:lang w:eastAsia="zh-CN"/>
        </w:rPr>
        <w:t>三、</w:t>
      </w:r>
      <w:r>
        <w:rPr>
          <w:rFonts w:ascii="Times New Roman" w:hAnsi="Times New Roman" w:eastAsia="黑体"/>
          <w:sz w:val="32"/>
          <w:szCs w:val="32"/>
          <w:highlight w:val="none"/>
        </w:rPr>
        <w:t>政府性基金预算支出情况</w:t>
      </w:r>
      <w:r>
        <w:rPr>
          <w:rFonts w:hint="eastAsia" w:ascii="Times New Roman" w:hAnsi="Times New Roman" w:eastAsia="黑体"/>
          <w:sz w:val="32"/>
          <w:szCs w:val="32"/>
          <w:highlight w:val="none"/>
        </w:rPr>
        <w:t>。</w:t>
      </w:r>
    </w:p>
    <w:p w14:paraId="008F1674">
      <w:pPr>
        <w:pStyle w:val="5"/>
        <w:numPr>
          <w:ilvl w:val="0"/>
          <w:numId w:val="0"/>
        </w:numPr>
        <w:spacing w:line="570" w:lineRule="exact"/>
        <w:ind w:firstLine="640" w:firstLineChars="200"/>
        <w:jc w:val="left"/>
        <w:outlineLvl w:val="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我单位无政府性基金预算支出情况</w:t>
      </w:r>
      <w:r>
        <w:rPr>
          <w:rFonts w:hint="eastAsia" w:ascii="Times New Roman" w:hAnsi="Times New Roman" w:eastAsia="仿宋_GB2312"/>
          <w:sz w:val="32"/>
          <w:szCs w:val="32"/>
          <w:highlight w:val="none"/>
          <w:lang w:val="en-US" w:eastAsia="zh-CN"/>
        </w:rPr>
        <w:t>。</w:t>
      </w:r>
    </w:p>
    <w:p w14:paraId="2F5105EA">
      <w:pPr>
        <w:pStyle w:val="5"/>
        <w:numPr>
          <w:ilvl w:val="0"/>
          <w:numId w:val="2"/>
        </w:numPr>
        <w:spacing w:line="570" w:lineRule="exact"/>
        <w:ind w:firstLine="640"/>
        <w:jc w:val="left"/>
        <w:outlineLvl w:val="0"/>
        <w:rPr>
          <w:rFonts w:hint="eastAsia" w:ascii="Times New Roman" w:hAnsi="Times New Roman" w:eastAsia="仿宋_GB2312"/>
          <w:color w:val="000000"/>
          <w:sz w:val="32"/>
          <w:szCs w:val="32"/>
          <w:highlight w:val="none"/>
        </w:rPr>
      </w:pPr>
      <w:r>
        <w:rPr>
          <w:rFonts w:ascii="Times New Roman" w:hAnsi="Times New Roman" w:eastAsia="黑体"/>
          <w:sz w:val="32"/>
          <w:szCs w:val="32"/>
          <w:highlight w:val="none"/>
        </w:rPr>
        <w:t>国有资本经营预算支出情况</w:t>
      </w:r>
      <w:r>
        <w:rPr>
          <w:rFonts w:hint="eastAsia" w:ascii="Times New Roman" w:hAnsi="Times New Roman" w:eastAsia="黑体"/>
          <w:sz w:val="32"/>
          <w:szCs w:val="32"/>
          <w:highlight w:val="none"/>
        </w:rPr>
        <w:t>。</w:t>
      </w:r>
    </w:p>
    <w:p w14:paraId="5DF59790">
      <w:pPr>
        <w:pStyle w:val="5"/>
        <w:numPr>
          <w:ilvl w:val="0"/>
          <w:numId w:val="0"/>
        </w:numPr>
        <w:spacing w:line="570" w:lineRule="exact"/>
        <w:ind w:firstLine="640" w:firstLineChars="200"/>
        <w:jc w:val="left"/>
        <w:outlineLvl w:val="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我单位无国有资本经营预算支出情况</w:t>
      </w:r>
      <w:r>
        <w:rPr>
          <w:rFonts w:hint="eastAsia" w:ascii="Times New Roman" w:hAnsi="Times New Roman" w:eastAsia="仿宋_GB2312"/>
          <w:sz w:val="32"/>
          <w:szCs w:val="32"/>
          <w:highlight w:val="none"/>
          <w:lang w:val="en-US" w:eastAsia="zh-CN"/>
        </w:rPr>
        <w:t>。</w:t>
      </w:r>
    </w:p>
    <w:p w14:paraId="13E13C1C">
      <w:pPr>
        <w:pStyle w:val="5"/>
        <w:spacing w:line="570" w:lineRule="exact"/>
        <w:ind w:firstLine="640"/>
        <w:jc w:val="left"/>
        <w:outlineLvl w:val="0"/>
        <w:rPr>
          <w:rFonts w:hint="eastAsia" w:ascii="Times New Roman" w:hAnsi="Times New Roman" w:eastAsia="黑体"/>
          <w:sz w:val="32"/>
          <w:szCs w:val="32"/>
          <w:highlight w:val="none"/>
        </w:rPr>
      </w:pPr>
      <w:r>
        <w:rPr>
          <w:rFonts w:ascii="Times New Roman" w:hAnsi="Times New Roman" w:eastAsia="黑体"/>
          <w:sz w:val="32"/>
          <w:szCs w:val="32"/>
          <w:highlight w:val="none"/>
        </w:rPr>
        <w:t>五、社会保险基金预算支出情况</w:t>
      </w:r>
      <w:r>
        <w:rPr>
          <w:rFonts w:hint="eastAsia" w:ascii="Times New Roman" w:hAnsi="Times New Roman" w:eastAsia="黑体"/>
          <w:sz w:val="32"/>
          <w:szCs w:val="32"/>
          <w:highlight w:val="none"/>
        </w:rPr>
        <w:t>。</w:t>
      </w:r>
    </w:p>
    <w:p w14:paraId="2E37C2D1">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基本养老保险缴费</w:t>
      </w:r>
      <w:r>
        <w:rPr>
          <w:rFonts w:hint="eastAsia" w:ascii="仿宋_GB2312" w:hAnsi="仿宋" w:eastAsia="仿宋_GB2312"/>
          <w:sz w:val="32"/>
          <w:szCs w:val="32"/>
          <w:lang w:val="en-US" w:eastAsia="zh-CN"/>
        </w:rPr>
        <w:t>15.11</w:t>
      </w:r>
      <w:r>
        <w:rPr>
          <w:rFonts w:hint="eastAsia" w:ascii="仿宋_GB2312" w:hAnsi="仿宋" w:eastAsia="仿宋_GB2312"/>
          <w:sz w:val="32"/>
          <w:szCs w:val="32"/>
        </w:rPr>
        <w:t>万元，住房公积金</w:t>
      </w:r>
      <w:r>
        <w:rPr>
          <w:rFonts w:hint="eastAsia" w:ascii="仿宋_GB2312" w:hAnsi="仿宋" w:eastAsia="仿宋_GB2312"/>
          <w:sz w:val="32"/>
          <w:szCs w:val="32"/>
          <w:lang w:val="en-US" w:eastAsia="zh-CN"/>
        </w:rPr>
        <w:t>11.33</w:t>
      </w:r>
      <w:r>
        <w:rPr>
          <w:rFonts w:hint="eastAsia" w:ascii="仿宋_GB2312" w:hAnsi="仿宋" w:eastAsia="仿宋_GB2312"/>
          <w:sz w:val="32"/>
          <w:szCs w:val="32"/>
        </w:rPr>
        <w:t>万，基本医疗保险缴费</w:t>
      </w:r>
      <w:r>
        <w:rPr>
          <w:rFonts w:hint="eastAsia" w:ascii="仿宋_GB2312" w:hAnsi="仿宋" w:eastAsia="仿宋_GB2312"/>
          <w:sz w:val="32"/>
          <w:szCs w:val="32"/>
          <w:lang w:val="en-US" w:eastAsia="zh-CN"/>
        </w:rPr>
        <w:t>7.93</w:t>
      </w:r>
      <w:r>
        <w:rPr>
          <w:rFonts w:hint="eastAsia" w:ascii="仿宋_GB2312" w:hAnsi="仿宋" w:eastAsia="仿宋_GB2312"/>
          <w:sz w:val="32"/>
          <w:szCs w:val="32"/>
        </w:rPr>
        <w:t>万元，其他社会保障缴费</w:t>
      </w:r>
      <w:r>
        <w:rPr>
          <w:rFonts w:hint="eastAsia" w:ascii="仿宋_GB2312" w:hAnsi="仿宋" w:eastAsia="仿宋_GB2312"/>
          <w:sz w:val="32"/>
          <w:szCs w:val="32"/>
          <w:lang w:val="en-US" w:eastAsia="zh-CN"/>
        </w:rPr>
        <w:t>0.33</w:t>
      </w:r>
      <w:r>
        <w:rPr>
          <w:rFonts w:hint="eastAsia" w:ascii="仿宋_GB2312" w:hAnsi="仿宋" w:eastAsia="仿宋_GB2312"/>
          <w:sz w:val="32"/>
          <w:szCs w:val="32"/>
        </w:rPr>
        <w:t>万元；</w:t>
      </w:r>
    </w:p>
    <w:p w14:paraId="1D1CD5F5">
      <w:pPr>
        <w:spacing w:line="520" w:lineRule="exac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收支平衡</w:t>
      </w:r>
      <w:r>
        <w:rPr>
          <w:rFonts w:hint="eastAsia" w:ascii="Times New Roman" w:hAnsi="Times New Roman" w:eastAsia="仿宋_GB2312"/>
          <w:sz w:val="32"/>
          <w:szCs w:val="32"/>
          <w:highlight w:val="none"/>
          <w:lang w:val="en-US" w:eastAsia="zh-CN"/>
        </w:rPr>
        <w:t>。</w:t>
      </w:r>
    </w:p>
    <w:p w14:paraId="1A0FC391">
      <w:pPr>
        <w:spacing w:line="570" w:lineRule="exact"/>
        <w:ind w:firstLine="645"/>
        <w:jc w:val="left"/>
        <w:outlineLvl w:val="0"/>
        <w:rPr>
          <w:rFonts w:eastAsia="黑体"/>
          <w:sz w:val="32"/>
          <w:szCs w:val="32"/>
          <w:highlight w:val="none"/>
        </w:rPr>
      </w:pPr>
      <w:r>
        <w:rPr>
          <w:rFonts w:eastAsia="黑体"/>
          <w:sz w:val="32"/>
          <w:szCs w:val="32"/>
          <w:highlight w:val="none"/>
        </w:rPr>
        <w:t>六、部门整体支出绩效情况</w:t>
      </w:r>
    </w:p>
    <w:p w14:paraId="6B1D6BB4">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年整体支出资金使用符合政策要求，合理合法，使用有效，管理较规范，本单位绩效管理工作开展情况良好，整体绩效评价每年完成任务较好，准时认真完成绩效评价工作，资金使用率较高。</w:t>
      </w:r>
    </w:p>
    <w:p w14:paraId="2162A19F">
      <w:pPr>
        <w:pStyle w:val="5"/>
        <w:numPr>
          <w:ilvl w:val="0"/>
          <w:numId w:val="3"/>
        </w:numPr>
        <w:spacing w:line="570" w:lineRule="exact"/>
        <w:ind w:firstLine="640"/>
        <w:jc w:val="left"/>
        <w:outlineLvl w:val="0"/>
        <w:rPr>
          <w:rFonts w:ascii="Times New Roman" w:hAnsi="Times New Roman" w:eastAsia="黑体"/>
          <w:sz w:val="32"/>
          <w:szCs w:val="32"/>
          <w:highlight w:val="none"/>
        </w:rPr>
      </w:pPr>
      <w:r>
        <w:rPr>
          <w:rFonts w:ascii="Times New Roman" w:hAnsi="Times New Roman" w:eastAsia="黑体"/>
          <w:sz w:val="32"/>
          <w:szCs w:val="32"/>
          <w:highlight w:val="none"/>
        </w:rPr>
        <w:t>存在的问题及原因分析</w:t>
      </w:r>
    </w:p>
    <w:p w14:paraId="157B6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1、预算编制不全面；</w:t>
      </w:r>
    </w:p>
    <w:p w14:paraId="46E9F3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2、因财政紧张，经费不足，相对影响执法力度；</w:t>
      </w:r>
    </w:p>
    <w:p w14:paraId="510D86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3.文化市场监督执法力度有待进一步加大；</w:t>
      </w:r>
    </w:p>
    <w:p w14:paraId="204FB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4.执法服务水平有待进一步提高。</w:t>
      </w:r>
    </w:p>
    <w:p w14:paraId="10005AC1">
      <w:pPr>
        <w:numPr>
          <w:ilvl w:val="0"/>
          <w:numId w:val="3"/>
        </w:numPr>
        <w:spacing w:line="570" w:lineRule="exact"/>
        <w:ind w:left="0" w:leftChars="0" w:firstLine="640" w:firstLineChars="200"/>
        <w:jc w:val="left"/>
        <w:outlineLvl w:val="0"/>
        <w:rPr>
          <w:rFonts w:eastAsia="黑体"/>
          <w:sz w:val="32"/>
          <w:szCs w:val="32"/>
          <w:highlight w:val="none"/>
        </w:rPr>
      </w:pPr>
      <w:r>
        <w:rPr>
          <w:rFonts w:eastAsia="黑体"/>
          <w:sz w:val="32"/>
          <w:szCs w:val="32"/>
          <w:highlight w:val="none"/>
        </w:rPr>
        <w:t>下一步改进措施</w:t>
      </w:r>
    </w:p>
    <w:p w14:paraId="0DC9BCC7">
      <w:pPr>
        <w:widowControl/>
        <w:wordWrap w:val="0"/>
        <w:snapToGrid w:val="0"/>
        <w:spacing w:line="360" w:lineRule="auto"/>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做好、做细预算编制工作。严格审核预算方案，科学编制预算方案，认真执行，强化监督。严格按制度办事，防止经费支出中的“跑、冒、滴、漏”,最大限度地发挥各项财政资金的功能，强化支出计划，严格经费支出管理。在确保人员经费开支，必要的办公经费需要的前提下制定切实可行的预算支出计划，严格执行，保证计划的有效性。</w:t>
      </w:r>
    </w:p>
    <w:p w14:paraId="16DC7195">
      <w:pPr>
        <w:widowControl/>
        <w:wordWrap w:val="0"/>
        <w:snapToGrid w:val="0"/>
        <w:spacing w:line="360" w:lineRule="auto"/>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建立健全资金管理制度。要建立严格的经费开支审批制度和严格的经费开支报销程序，加强经费开支的监督，控制经费支出，保证财政资金发挥应起的作用。非税收入是政府财政收入的重要组成部分，行政事业单位的各级收入应当由财会部门归口管理并进行会计核算，严禁设立账外账，如有非税收入的，按照规定开具财政票据，做到收缴分离、票款一致，并及时、足额上缴国库或财政专户。</w:t>
      </w:r>
    </w:p>
    <w:p w14:paraId="7626414D">
      <w:pPr>
        <w:widowControl/>
        <w:wordWrap w:val="0"/>
        <w:snapToGrid w:val="0"/>
        <w:spacing w:line="360" w:lineRule="auto"/>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适时公开相关信息。预决算信息公开是保障人民群众民主权利的客观需要，是有效防治腐败的重要举措，是对行政权力进行监督的有效途径。应加强领导组织，制定科学的预决信息公开实施方案，可以通过网站或纸制媒体、通过大厅电子显示屏播放、制订小册子放置公共场所供群众查看等方式建立预决算公布平台。</w:t>
      </w:r>
    </w:p>
    <w:p w14:paraId="7D7BFE91">
      <w:pPr>
        <w:widowControl/>
        <w:wordWrap w:val="0"/>
        <w:snapToGrid w:val="0"/>
        <w:spacing w:line="360" w:lineRule="auto"/>
        <w:ind w:firstLine="645"/>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）严格执行资产管理、使用等规章制度，发挥资产效能。</w:t>
      </w:r>
    </w:p>
    <w:p w14:paraId="2C649D54">
      <w:pPr>
        <w:adjustRightInd w:val="0"/>
        <w:snapToGrid w:val="0"/>
        <w:spacing w:line="500" w:lineRule="exact"/>
        <w:ind w:firstLine="640" w:firstLineChars="200"/>
        <w:rPr>
          <w:rFonts w:hint="eastAsia" w:ascii="仿宋" w:hAnsi="仿宋" w:eastAsia="仿宋" w:cs="仿宋"/>
          <w:b/>
          <w:bCs/>
          <w:sz w:val="30"/>
          <w:szCs w:val="30"/>
        </w:rPr>
      </w:pPr>
      <w:r>
        <w:rPr>
          <w:rFonts w:hint="eastAsia" w:ascii="仿宋_GB2312" w:hAnsi="仿宋_GB2312" w:eastAsia="仿宋_GB2312" w:cs="仿宋_GB2312"/>
          <w:color w:val="000000"/>
          <w:kern w:val="0"/>
          <w:sz w:val="32"/>
          <w:szCs w:val="32"/>
        </w:rPr>
        <w:t>加强事业单位资产管理与清查，明晰产权关系，实施产权管理，保障资产的安全和完整，推动资产的合理配置和节约、有效使用，对经营性资产实行有偿使用并监督其实现保值增值。国有资产配置应当遵循以下原则：严格执行法律、法规和有关规章制度；与事业单位履行职能需要相适应；科学合理，优化资产结构，勤俭节约，从严控制。对有配备标准的资产，应当按照标准进行配备，对没有配备标准的资产，应当从实际需要出发</w:t>
      </w:r>
      <w:bookmarkStart w:id="0" w:name="_GoBack"/>
      <w:bookmarkEnd w:id="0"/>
      <w:r>
        <w:rPr>
          <w:rFonts w:hint="eastAsia" w:ascii="仿宋_GB2312" w:hAnsi="仿宋_GB2312" w:eastAsia="仿宋_GB2312" w:cs="仿宋_GB2312"/>
          <w:color w:val="000000"/>
          <w:kern w:val="0"/>
          <w:sz w:val="32"/>
          <w:szCs w:val="32"/>
        </w:rPr>
        <w:t>，从严控制，合理配备，对要求配置的资产，能通过调剂解决的，不重新购置。</w:t>
      </w:r>
    </w:p>
    <w:p w14:paraId="4A57F4A9">
      <w:pPr>
        <w:numPr>
          <w:ilvl w:val="0"/>
          <w:numId w:val="0"/>
        </w:numPr>
        <w:spacing w:line="570" w:lineRule="exact"/>
        <w:ind w:leftChars="200"/>
        <w:jc w:val="left"/>
        <w:outlineLvl w:val="0"/>
        <w:rPr>
          <w:rFonts w:eastAsia="黑体"/>
          <w:sz w:val="32"/>
          <w:szCs w:val="32"/>
          <w:highlight w:val="none"/>
        </w:rPr>
      </w:pPr>
    </w:p>
    <w:p w14:paraId="3E64D590">
      <w:pPr>
        <w:numPr>
          <w:ilvl w:val="0"/>
          <w:numId w:val="3"/>
        </w:numPr>
        <w:spacing w:line="570" w:lineRule="exact"/>
        <w:ind w:left="0" w:leftChars="0" w:firstLine="640" w:firstLineChars="200"/>
        <w:jc w:val="left"/>
        <w:outlineLvl w:val="0"/>
        <w:rPr>
          <w:rFonts w:eastAsia="黑体"/>
          <w:sz w:val="32"/>
          <w:szCs w:val="32"/>
          <w:highlight w:val="none"/>
        </w:rPr>
      </w:pPr>
      <w:r>
        <w:rPr>
          <w:rFonts w:eastAsia="黑体"/>
          <w:sz w:val="32"/>
          <w:szCs w:val="32"/>
          <w:highlight w:val="none"/>
        </w:rPr>
        <w:t>部门整体支出绩效自评结果拟应用和公开情况</w:t>
      </w:r>
    </w:p>
    <w:p w14:paraId="41FBD799">
      <w:pPr>
        <w:numPr>
          <w:ilvl w:val="0"/>
          <w:numId w:val="0"/>
        </w:numPr>
        <w:spacing w:line="570" w:lineRule="exact"/>
        <w:ind w:leftChars="200" w:firstLine="320" w:firstLineChars="100"/>
        <w:jc w:val="left"/>
        <w:outlineLvl w:val="0"/>
        <w:rPr>
          <w:rFonts w:hint="eastAsia" w:eastAsia="黑体"/>
          <w:sz w:val="32"/>
          <w:szCs w:val="32"/>
          <w:highlight w:val="none"/>
          <w:lang w:eastAsia="zh-CN"/>
        </w:rPr>
      </w:pPr>
      <w:r>
        <w:rPr>
          <w:rFonts w:hint="eastAsia" w:eastAsia="黑体"/>
          <w:sz w:val="32"/>
          <w:szCs w:val="32"/>
          <w:highlight w:val="none"/>
          <w:lang w:eastAsia="zh-CN"/>
        </w:rPr>
        <w:t>无</w:t>
      </w:r>
    </w:p>
    <w:p w14:paraId="7E147AF2">
      <w:pPr>
        <w:spacing w:line="570" w:lineRule="exact"/>
        <w:ind w:firstLine="645"/>
        <w:jc w:val="left"/>
        <w:rPr>
          <w:rFonts w:eastAsia="黑体"/>
          <w:sz w:val="32"/>
          <w:szCs w:val="32"/>
          <w:highlight w:val="none"/>
        </w:rPr>
      </w:pPr>
      <w:r>
        <w:rPr>
          <w:rFonts w:hint="eastAsia" w:eastAsia="黑体"/>
          <w:sz w:val="32"/>
          <w:szCs w:val="32"/>
          <w:highlight w:val="none"/>
          <w:lang w:eastAsia="zh-CN"/>
        </w:rPr>
        <w:t>十、</w:t>
      </w:r>
      <w:r>
        <w:rPr>
          <w:rFonts w:eastAsia="黑体"/>
          <w:sz w:val="32"/>
          <w:szCs w:val="32"/>
          <w:highlight w:val="none"/>
        </w:rPr>
        <w:t>其他需要说明的情况</w:t>
      </w:r>
    </w:p>
    <w:p w14:paraId="7CE2BBF1">
      <w:pPr>
        <w:spacing w:line="570" w:lineRule="exact"/>
        <w:ind w:firstLine="645"/>
        <w:jc w:val="left"/>
        <w:rPr>
          <w:rFonts w:hint="eastAsia" w:eastAsia="黑体"/>
          <w:sz w:val="32"/>
          <w:szCs w:val="32"/>
          <w:highlight w:val="none"/>
          <w:lang w:eastAsia="zh-CN"/>
        </w:rPr>
      </w:pPr>
      <w:r>
        <w:rPr>
          <w:rFonts w:hint="eastAsia" w:eastAsia="黑体"/>
          <w:sz w:val="32"/>
          <w:szCs w:val="32"/>
          <w:highlight w:val="none"/>
          <w:lang w:eastAsia="zh-CN"/>
        </w:rPr>
        <w:t>无</w:t>
      </w:r>
    </w:p>
    <w:p w14:paraId="1C08AA8A">
      <w:pPr>
        <w:spacing w:after="120" w:afterLines="50" w:line="600" w:lineRule="exact"/>
        <w:rPr>
          <w:rFonts w:eastAsia="黑体"/>
          <w:sz w:val="32"/>
          <w:szCs w:val="32"/>
          <w:highlight w:val="none"/>
        </w:rPr>
      </w:pPr>
    </w:p>
    <w:p w14:paraId="77051934">
      <w:pPr>
        <w:spacing w:after="120" w:afterLines="50" w:line="600" w:lineRule="exact"/>
        <w:rPr>
          <w:rFonts w:eastAsia="黑体"/>
          <w:sz w:val="32"/>
          <w:szCs w:val="32"/>
          <w:highlight w:val="none"/>
        </w:rPr>
      </w:pPr>
    </w:p>
    <w:p w14:paraId="34DF8358">
      <w:pPr>
        <w:spacing w:after="120" w:afterLines="50" w:line="600" w:lineRule="exact"/>
        <w:rPr>
          <w:rFonts w:eastAsia="黑体"/>
          <w:sz w:val="32"/>
          <w:szCs w:val="32"/>
          <w:highlight w:val="none"/>
        </w:rPr>
      </w:pPr>
    </w:p>
    <w:p w14:paraId="64C878AA">
      <w:pPr>
        <w:spacing w:after="120" w:afterLines="50" w:line="600" w:lineRule="exact"/>
        <w:rPr>
          <w:rFonts w:eastAsia="黑体"/>
          <w:sz w:val="32"/>
          <w:szCs w:val="32"/>
          <w:highlight w:val="none"/>
        </w:rPr>
      </w:pPr>
    </w:p>
    <w:p w14:paraId="477618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7D5B4"/>
    <w:multiLevelType w:val="singleLevel"/>
    <w:tmpl w:val="E7A7D5B4"/>
    <w:lvl w:ilvl="0" w:tentative="0">
      <w:start w:val="7"/>
      <w:numFmt w:val="chineseCounting"/>
      <w:suff w:val="nothing"/>
      <w:lvlText w:val="%1、"/>
      <w:lvlJc w:val="left"/>
      <w:rPr>
        <w:rFonts w:hint="eastAsia"/>
      </w:rPr>
    </w:lvl>
  </w:abstractNum>
  <w:abstractNum w:abstractNumId="1">
    <w:nsid w:val="025A9D20"/>
    <w:multiLevelType w:val="singleLevel"/>
    <w:tmpl w:val="025A9D20"/>
    <w:lvl w:ilvl="0" w:tentative="0">
      <w:start w:val="4"/>
      <w:numFmt w:val="chineseCounting"/>
      <w:suff w:val="nothing"/>
      <w:lvlText w:val="%1、"/>
      <w:lvlJc w:val="left"/>
      <w:rPr>
        <w:rFonts w:hint="eastAsia"/>
      </w:rPr>
    </w:lvl>
  </w:abstractNum>
  <w:abstractNum w:abstractNumId="2">
    <w:nsid w:val="57EB91F6"/>
    <w:multiLevelType w:val="singleLevel"/>
    <w:tmpl w:val="57EB91F6"/>
    <w:lvl w:ilvl="0" w:tentative="0">
      <w:start w:val="1"/>
      <w:numFmt w:val="chineseCounting"/>
      <w:suff w:val="nothing"/>
      <w:lvlText w:val="%1、"/>
      <w:lvlJc w:val="left"/>
      <w:pPr>
        <w:ind w:left="64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5696"/>
    <w:rsid w:val="0E862E41"/>
    <w:rsid w:val="13EF16D2"/>
    <w:rsid w:val="1FAD490B"/>
    <w:rsid w:val="27F906C8"/>
    <w:rsid w:val="3A045513"/>
    <w:rsid w:val="3DB22E01"/>
    <w:rsid w:val="3F940D9B"/>
    <w:rsid w:val="58C27A92"/>
    <w:rsid w:val="5AF93BF7"/>
    <w:rsid w:val="5F2664AB"/>
    <w:rsid w:val="6A6E66DF"/>
    <w:rsid w:val="6B8D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2305</Words>
  <Characters>2444</Characters>
  <Lines>0</Lines>
  <Paragraphs>0</Paragraphs>
  <TotalTime>5</TotalTime>
  <ScaleCrop>false</ScaleCrop>
  <LinksUpToDate>false</LinksUpToDate>
  <CharactersWithSpaces>2449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2025-06-18T07:17:00Z</dcterms:created>
  <dc:creator>Administrator</dc:creator>
  <cp:lastModifiedBy>xi</cp:lastModifiedBy>
  <dcterms:modified xsi:type="dcterms:W3CDTF">2025-06-18T10:23:45Z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eyJoZGlkIjoiYmM5NWIxZmZjZmE5YzFiMjdlNTc5YzQ4MGIxMGNkZTQiLCJ1c2VySWQiOiI3NjY2OTI4MTEifQ==</vt:lpwstr>
  </property>
  <property fmtid="{D5CDD505-2E9C-101B-9397-08002B2CF9AE}" pid="4" name="ICV">
    <vt:lpwstr>E8BFDE7F13B84D4AA17C795FFB67EA4A_12</vt:lpwstr>
  </property>
</Properties>
</file>