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BDD74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68338411">
      <w:pPr>
        <w:spacing w:line="600" w:lineRule="exact"/>
        <w:rPr>
          <w:rFonts w:eastAsia="黑体"/>
          <w:sz w:val="32"/>
          <w:szCs w:val="32"/>
        </w:rPr>
      </w:pPr>
    </w:p>
    <w:p w14:paraId="6D84B4E9">
      <w:pPr>
        <w:spacing w:line="600" w:lineRule="exact"/>
        <w:rPr>
          <w:rFonts w:eastAsia="黑体"/>
          <w:sz w:val="32"/>
          <w:szCs w:val="32"/>
        </w:rPr>
      </w:pPr>
    </w:p>
    <w:p w14:paraId="03B92850">
      <w:pPr>
        <w:spacing w:line="600" w:lineRule="exact"/>
        <w:rPr>
          <w:rFonts w:eastAsia="黑体"/>
          <w:sz w:val="32"/>
          <w:szCs w:val="32"/>
        </w:rPr>
      </w:pPr>
    </w:p>
    <w:p w14:paraId="78A5ED56">
      <w:pPr>
        <w:jc w:val="center"/>
        <w:outlineLvl w:val="1"/>
        <w:rPr>
          <w:rFonts w:hint="eastAsia" w:ascii="宋体" w:hAnsi="宋体" w:eastAsia="宋体" w:cs="宋体"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52"/>
          <w:szCs w:val="52"/>
        </w:rPr>
        <w:t>202</w:t>
      </w:r>
      <w:r>
        <w:rPr>
          <w:rFonts w:hint="eastAsia" w:ascii="宋体" w:hAnsi="宋体" w:cs="宋体"/>
          <w:sz w:val="52"/>
          <w:szCs w:val="52"/>
          <w:lang w:val="en-US" w:eastAsia="zh-CN"/>
        </w:rPr>
        <w:t>4</w:t>
      </w:r>
      <w:r>
        <w:rPr>
          <w:rFonts w:hint="eastAsia" w:ascii="宋体" w:hAnsi="宋体" w:eastAsia="宋体" w:cs="宋体"/>
          <w:sz w:val="52"/>
          <w:szCs w:val="52"/>
        </w:rPr>
        <w:t>年度</w:t>
      </w:r>
      <w:r>
        <w:rPr>
          <w:rFonts w:hint="eastAsia" w:ascii="宋体" w:hAnsi="宋体" w:eastAsia="宋体" w:cs="宋体"/>
          <w:sz w:val="52"/>
          <w:szCs w:val="52"/>
          <w:highlight w:val="none"/>
          <w:lang w:val="en-US" w:eastAsia="zh-CN"/>
        </w:rPr>
        <w:t>机关事务服务中心</w:t>
      </w:r>
    </w:p>
    <w:p w14:paraId="057FFC4E">
      <w:pPr>
        <w:jc w:val="center"/>
        <w:outlineLvl w:val="1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highlight w:val="none"/>
        </w:rPr>
        <w:t>整体支出绩效自评报告</w:t>
      </w:r>
    </w:p>
    <w:p w14:paraId="08636144">
      <w:pPr>
        <w:jc w:val="center"/>
        <w:rPr>
          <w:rFonts w:eastAsia="方正小标宋_GBK"/>
          <w:b/>
          <w:sz w:val="52"/>
          <w:szCs w:val="52"/>
        </w:rPr>
      </w:pPr>
    </w:p>
    <w:p w14:paraId="7F254D26">
      <w:pPr>
        <w:jc w:val="center"/>
        <w:rPr>
          <w:rFonts w:eastAsia="楷体_GB2312"/>
          <w:b/>
          <w:sz w:val="32"/>
          <w:szCs w:val="32"/>
        </w:rPr>
      </w:pPr>
    </w:p>
    <w:p w14:paraId="52335F27">
      <w:pPr>
        <w:jc w:val="center"/>
        <w:rPr>
          <w:rFonts w:eastAsia="楷体_GB2312"/>
          <w:b/>
          <w:sz w:val="32"/>
          <w:szCs w:val="32"/>
        </w:rPr>
      </w:pPr>
    </w:p>
    <w:p w14:paraId="6EBF7DFE">
      <w:pPr>
        <w:jc w:val="center"/>
        <w:rPr>
          <w:rFonts w:eastAsia="楷体_GB2312"/>
          <w:b/>
          <w:sz w:val="32"/>
          <w:szCs w:val="32"/>
        </w:rPr>
      </w:pPr>
    </w:p>
    <w:p w14:paraId="4C7AD41B">
      <w:pPr>
        <w:jc w:val="center"/>
        <w:rPr>
          <w:rFonts w:eastAsia="楷体_GB2312"/>
          <w:b/>
          <w:sz w:val="32"/>
          <w:szCs w:val="32"/>
        </w:rPr>
      </w:pPr>
    </w:p>
    <w:p w14:paraId="0996A7BF">
      <w:pPr>
        <w:jc w:val="center"/>
        <w:rPr>
          <w:rFonts w:eastAsia="楷体_GB2312"/>
          <w:b/>
          <w:sz w:val="32"/>
          <w:szCs w:val="32"/>
        </w:rPr>
      </w:pPr>
    </w:p>
    <w:p w14:paraId="5C516A3E">
      <w:pPr>
        <w:jc w:val="center"/>
        <w:rPr>
          <w:rFonts w:eastAsia="楷体_GB2312"/>
          <w:b/>
          <w:sz w:val="32"/>
          <w:szCs w:val="32"/>
        </w:rPr>
      </w:pPr>
    </w:p>
    <w:p w14:paraId="2499732B">
      <w:pPr>
        <w:jc w:val="center"/>
        <w:rPr>
          <w:rFonts w:eastAsia="黑体"/>
          <w:sz w:val="32"/>
          <w:szCs w:val="32"/>
        </w:rPr>
      </w:pPr>
    </w:p>
    <w:p w14:paraId="73C2FB02">
      <w:pPr>
        <w:jc w:val="center"/>
        <w:rPr>
          <w:rFonts w:eastAsia="黑体"/>
          <w:sz w:val="32"/>
          <w:szCs w:val="32"/>
        </w:rPr>
      </w:pPr>
    </w:p>
    <w:p w14:paraId="1850345C"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>（盖章）</w:t>
      </w:r>
    </w:p>
    <w:p w14:paraId="5B8A6376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6</w:t>
      </w:r>
      <w:r>
        <w:rPr>
          <w:rFonts w:eastAsia="楷体_GB2312"/>
          <w:sz w:val="32"/>
          <w:szCs w:val="32"/>
        </w:rPr>
        <w:t xml:space="preserve"> 月 </w:t>
      </w:r>
      <w:r>
        <w:rPr>
          <w:rFonts w:hint="eastAsia" w:eastAsia="楷体_GB2312"/>
          <w:sz w:val="32"/>
          <w:szCs w:val="32"/>
          <w:lang w:val="en-US" w:eastAsia="zh-CN"/>
        </w:rPr>
        <w:t>13</w:t>
      </w:r>
      <w:r>
        <w:rPr>
          <w:rFonts w:eastAsia="楷体_GB2312"/>
          <w:sz w:val="32"/>
          <w:szCs w:val="32"/>
        </w:rPr>
        <w:t xml:space="preserve"> 日</w:t>
      </w:r>
    </w:p>
    <w:p w14:paraId="6AF6D643">
      <w:pPr>
        <w:jc w:val="center"/>
        <w:rPr>
          <w:rFonts w:eastAsia="黑体"/>
          <w:sz w:val="32"/>
          <w:szCs w:val="32"/>
        </w:rPr>
      </w:pPr>
    </w:p>
    <w:p w14:paraId="74032C14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3C187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45395A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主要职能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贯彻落实机关事务工作的有关规定，负责机关事务服务保障工作；2、做好全县单位公务用车服务保障工作，承担县直部门（单位）办公用房日常管理服务及信息化集中管理平台有关工作；3、承担集中管理的办公用房维修和改造等项目的组织实施；4、参与县级有关重要会议，重大活动的会务服务工作；5、承担县级机关后勤服务保障工作。负责集中管理的县级机关办公公共区域及相关场所的日常管理工作，履行安全保卫，物业管理等职责，维护机关单位正常的办公秩序负责县级重要会议会务保障等工作；6、承办县委、县政府交办的其他事项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0C198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机构情况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，县</w:t>
      </w:r>
      <w:r>
        <w:rPr>
          <w:rFonts w:hint="eastAsia" w:ascii="仿宋" w:hAnsi="仿宋" w:eastAsia="仿宋" w:cs="仿宋"/>
          <w:sz w:val="32"/>
          <w:szCs w:val="32"/>
        </w:rPr>
        <w:t>机关事务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服务中心</w:t>
      </w:r>
      <w:bookmarkStart w:id="1" w:name="OLE_LINK2"/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政府组成部门，内设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1个，综合室，负责单位日常运转工作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。下设县公共机构节能管理站、县公车管理中心2个股级公益一类事业单位（财务没独立，由局机关统一管理）</w:t>
      </w:r>
      <w:bookmarkEnd w:id="1"/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0B36A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 w:firstLineChars="200"/>
        <w:jc w:val="left"/>
        <w:textAlignment w:val="auto"/>
        <w:rPr>
          <w:rFonts w:hint="default" w:ascii="Calibri" w:hAnsi="Calibri" w:eastAsia="宋体" w:cs="Calibri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人员情况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，县</w:t>
      </w:r>
      <w:r>
        <w:rPr>
          <w:rFonts w:hint="eastAsia" w:ascii="仿宋" w:hAnsi="仿宋" w:eastAsia="仿宋" w:cs="仿宋"/>
          <w:sz w:val="32"/>
          <w:szCs w:val="32"/>
        </w:rPr>
        <w:t>机关事务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服务中心核定全额拨款事业</w:t>
      </w:r>
      <w:r>
        <w:rPr>
          <w:rFonts w:hint="eastAsia" w:ascii="仿宋" w:hAnsi="仿宋" w:eastAsia="仿宋" w:cs="仿宋"/>
          <w:sz w:val="32"/>
          <w:szCs w:val="32"/>
        </w:rPr>
        <w:t>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县公共机构节能管理站核定全额拨款事业</w:t>
      </w:r>
      <w:r>
        <w:rPr>
          <w:rFonts w:hint="eastAsia" w:ascii="仿宋" w:hAnsi="仿宋" w:eastAsia="仿宋" w:cs="仿宋"/>
          <w:sz w:val="32"/>
          <w:szCs w:val="32"/>
        </w:rPr>
        <w:t>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名，县公车管理中心核定全额拨款事业</w:t>
      </w:r>
      <w:r>
        <w:rPr>
          <w:rFonts w:hint="eastAsia" w:ascii="仿宋" w:hAnsi="仿宋" w:eastAsia="仿宋" w:cs="仿宋"/>
          <w:sz w:val="32"/>
          <w:szCs w:val="32"/>
        </w:rPr>
        <w:t>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名，</w:t>
      </w:r>
      <w:r>
        <w:rPr>
          <w:rFonts w:hint="eastAsia" w:ascii="仿宋" w:hAnsi="仿宋" w:eastAsia="仿宋" w:cs="仿宋"/>
          <w:sz w:val="32"/>
          <w:szCs w:val="32"/>
        </w:rPr>
        <w:t>年未实有人数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D4EA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年度整体支出绩效目标</w:t>
      </w:r>
      <w:bookmarkStart w:id="2" w:name="OLE_LINK3"/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1.管理好县直机关事业单位办公用房。及时处理办公用房和附属设施的权属、使用调配、处置管理工作和大中修改造计划审核工作，办好县直机关事业单位办公用房权证有关管理工作；2.承担县直公共机构节能管理工作，组织开展全县公共机构能耗统计、监测和评价考核工作；负责全县公共机构节能技术改造项目的审核、汇总和申报；3.负责县直机关事业单位公务用车管理。承担公务用车的编制管理、使用调配、更新审核、处置管理工作；负责县直公务用车服务平台的建设、运营和管理工作；4.做好行政中心、政务中心、人防大楼和武装部大院等的行政后勤保障管理工作。加强资产管理调配工作，组织相关建设与维修改造工作，承担生活服务和物业监管工作；统筹管理和指导协调相关集中办公区的文明创建、爱国卫生、安全生产、综合治理等工作</w:t>
      </w:r>
      <w:bookmarkEnd w:id="2"/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 w14:paraId="17A78D89">
      <w:pPr>
        <w:pStyle w:val="6"/>
        <w:numPr>
          <w:ilvl w:val="0"/>
          <w:numId w:val="0"/>
        </w:numPr>
        <w:spacing w:line="570" w:lineRule="exact"/>
        <w:ind w:left="713" w:leftChars="0"/>
        <w:outlineLvl w:val="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二、一般公共预算支出情况</w:t>
      </w:r>
    </w:p>
    <w:p w14:paraId="2B570EA5">
      <w:pPr>
        <w:pStyle w:val="6"/>
        <w:spacing w:line="570" w:lineRule="exact"/>
        <w:ind w:firstLine="640"/>
        <w:outlineLvl w:val="1"/>
        <w:rPr>
          <w:rFonts w:ascii="Times New Roman" w:hAnsi="Times New Roman" w:eastAsia="仿宋_GB2312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年度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机关事务管理局全年预算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收入2251.12万元，其中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一般公共预算收入2239.28万元占当年总收入的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99.47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，其他资金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11.84万元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占当年总收入的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0.53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%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全年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预算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支出2251.12万元，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占当年预算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收入的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100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。</w:t>
      </w:r>
    </w:p>
    <w:p w14:paraId="31CB2E80">
      <w:pPr>
        <w:pStyle w:val="3"/>
        <w:keepNext w:val="0"/>
        <w:keepLines w:val="0"/>
        <w:widowControl/>
        <w:suppressLineNumbers w:val="0"/>
        <w:spacing w:before="0" w:beforeAutospacing="0" w:after="240" w:afterAutospacing="0" w:line="540" w:lineRule="atLeast"/>
        <w:ind w:left="0" w:right="0" w:firstLine="1807"/>
        <w:jc w:val="both"/>
        <w:rPr>
          <w:rFonts w:hint="default" w:ascii="Calibri" w:hAnsi="Calibri" w:cs="Calibri"/>
          <w:sz w:val="32"/>
          <w:szCs w:val="32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BFBFB"/>
        </w:rPr>
        <w:t>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BFBFB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BFBFB"/>
        </w:rPr>
        <w:t>年度部门基本支出明细表（万元）</w:t>
      </w:r>
    </w:p>
    <w:tbl>
      <w:tblPr>
        <w:tblStyle w:val="4"/>
        <w:tblW w:w="8653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2"/>
        <w:gridCol w:w="1185"/>
        <w:gridCol w:w="1735"/>
        <w:gridCol w:w="903"/>
        <w:gridCol w:w="1510"/>
        <w:gridCol w:w="1348"/>
      </w:tblGrid>
      <w:tr w14:paraId="0ADBC3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1BC6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预算项目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A701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上年结转</w:t>
            </w:r>
          </w:p>
        </w:tc>
        <w:tc>
          <w:tcPr>
            <w:tcW w:w="1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110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年初预算</w:t>
            </w:r>
          </w:p>
        </w:tc>
        <w:tc>
          <w:tcPr>
            <w:tcW w:w="9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292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预算追加</w:t>
            </w:r>
          </w:p>
        </w:tc>
        <w:tc>
          <w:tcPr>
            <w:tcW w:w="15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E1BB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本年决算</w:t>
            </w:r>
          </w:p>
        </w:tc>
        <w:tc>
          <w:tcPr>
            <w:tcW w:w="13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3F19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结转下年</w:t>
            </w:r>
          </w:p>
        </w:tc>
      </w:tr>
      <w:tr w14:paraId="24083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1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359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基本支出：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593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4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42E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2113.77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40E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C1A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2113.77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F8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</w:p>
        </w:tc>
      </w:tr>
      <w:tr w14:paraId="490A5D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1C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工资福利支出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FCEE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76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sz w:val="32"/>
                <w:szCs w:val="32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798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148.07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7120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40C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148.07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70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</w:p>
        </w:tc>
      </w:tr>
      <w:tr w14:paraId="4FAB7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72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8D0E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商品和服务支出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3029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76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C4BF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1677.33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18E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195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1677.33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857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</w:p>
        </w:tc>
      </w:tr>
      <w:tr w14:paraId="06FF4B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97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53E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</w:rPr>
              <w:t>对个人和家庭补助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42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76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sz w:val="32"/>
                <w:szCs w:val="32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6CF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0.96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D54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D55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0.96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D5C6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</w:rPr>
            </w:pPr>
          </w:p>
        </w:tc>
      </w:tr>
      <w:tr w14:paraId="69A29A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7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68D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资本性支出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6B4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76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sz w:val="32"/>
                <w:szCs w:val="32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DD3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287.41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54B0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6750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287.41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FA2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</w:rPr>
            </w:pPr>
          </w:p>
        </w:tc>
      </w:tr>
    </w:tbl>
    <w:p w14:paraId="3EFB33A0">
      <w:pPr>
        <w:pStyle w:val="3"/>
        <w:keepNext w:val="0"/>
        <w:keepLines w:val="0"/>
        <w:widowControl/>
        <w:suppressLineNumbers w:val="0"/>
        <w:spacing w:before="0" w:beforeAutospacing="0" w:after="240" w:afterAutospacing="0" w:line="600" w:lineRule="atLeast"/>
        <w:ind w:left="0" w:right="0" w:firstLine="640"/>
        <w:jc w:val="both"/>
        <w:rPr>
          <w:rFonts w:hint="default" w:ascii="Calibri" w:hAnsi="Calibri" w:cs="Calibri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本年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机关事务管理局由于机构改革，</w:t>
      </w:r>
      <w:bookmarkStart w:id="3" w:name="OLE_LINK4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机关管理职能增加，会议费、业务培训费等较上年增加，另从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直单位调入公车平台车辆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增加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，公务用车运行维护费涨幅较大</w:t>
      </w:r>
      <w:bookmarkEnd w:id="3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。</w:t>
      </w:r>
    </w:p>
    <w:p w14:paraId="79A08A03">
      <w:pPr>
        <w:pStyle w:val="3"/>
        <w:keepNext w:val="0"/>
        <w:keepLines w:val="0"/>
        <w:widowControl/>
        <w:suppressLineNumbers w:val="0"/>
        <w:spacing w:before="0" w:beforeAutospacing="0" w:after="240" w:afterAutospacing="0" w:line="600" w:lineRule="atLeast"/>
        <w:ind w:left="0" w:right="0" w:firstLine="640"/>
        <w:jc w:val="both"/>
        <w:rPr>
          <w:rFonts w:hint="default" w:ascii="Calibri" w:hAnsi="Calibri" w:cs="Calibri"/>
          <w:sz w:val="32"/>
          <w:szCs w:val="32"/>
          <w:shd w:val="clear" w:color="auto" w:fill="auto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（二）项目支出情况</w:t>
      </w:r>
    </w:p>
    <w:p w14:paraId="30CD7818">
      <w:pPr>
        <w:pStyle w:val="3"/>
        <w:keepNext w:val="0"/>
        <w:keepLines w:val="0"/>
        <w:widowControl/>
        <w:suppressLineNumbers w:val="0"/>
        <w:spacing w:before="0" w:beforeAutospacing="0" w:after="240" w:afterAutospacing="0" w:line="370" w:lineRule="atLeast"/>
        <w:ind w:left="0" w:right="0" w:firstLine="2108"/>
        <w:jc w:val="both"/>
        <w:rPr>
          <w:rFonts w:hint="default" w:ascii="Calibri" w:hAnsi="Calibri" w:cs="Calibri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auto"/>
        </w:rPr>
        <w:t>年度项目支出明细表（万元）</w:t>
      </w:r>
    </w:p>
    <w:tbl>
      <w:tblPr>
        <w:tblStyle w:val="4"/>
        <w:tblW w:w="863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5"/>
        <w:gridCol w:w="1184"/>
        <w:gridCol w:w="1184"/>
        <w:gridCol w:w="1185"/>
        <w:gridCol w:w="1184"/>
        <w:gridCol w:w="1185"/>
      </w:tblGrid>
      <w:tr w14:paraId="316FEE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B656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76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预算项目</w:t>
            </w:r>
          </w:p>
        </w:tc>
        <w:tc>
          <w:tcPr>
            <w:tcW w:w="11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82F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年初结转</w:t>
            </w:r>
          </w:p>
        </w:tc>
        <w:tc>
          <w:tcPr>
            <w:tcW w:w="11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D38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年初预算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6BC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预算调整</w:t>
            </w:r>
          </w:p>
        </w:tc>
        <w:tc>
          <w:tcPr>
            <w:tcW w:w="11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32A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本年决算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ED9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年末结转</w:t>
            </w:r>
          </w:p>
        </w:tc>
      </w:tr>
      <w:tr w14:paraId="0663BC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19B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部门项目支出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0733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default" w:ascii="Calibri" w:hAnsi="Calibri" w:eastAsia="宋体" w:cs="Calibri"/>
                <w:sz w:val="32"/>
                <w:szCs w:val="32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E42F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eastAsia="宋体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1680.7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3B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1623.45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C02D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1623.45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21EB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</w:p>
        </w:tc>
      </w:tr>
      <w:tr w14:paraId="009A3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4C9D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行政中心运行经费496.5万元（包括农村住房保险29万元、武装部领导宿舍维修经费10万元、中央空调维修经费62.5万元、行政中心、政务中心、人防大楼水电费274万元、行政中心地下停车场建设20万元）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E35A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0635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496.5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DD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496.5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5521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496.5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B7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76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sz w:val="32"/>
                <w:szCs w:val="32"/>
              </w:rPr>
              <w:t> </w:t>
            </w:r>
          </w:p>
        </w:tc>
      </w:tr>
      <w:tr w14:paraId="50E2E4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AE18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行政中心政务服务中心物业外包经费415.2万元（包括食堂工资31.2万元）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AD5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5DC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415.2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7BE9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415.66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84C4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415.66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D1FE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76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sz w:val="32"/>
                <w:szCs w:val="32"/>
              </w:rPr>
              <w:t> </w:t>
            </w:r>
          </w:p>
        </w:tc>
      </w:tr>
      <w:tr w14:paraId="1CC71A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2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806A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政务中心、人防大楼运行经费41万元（包括政务中心运行经费21万元，人防大楼运行经费20万元）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2798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4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A8D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725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D2A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F2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76"/>
              <w:jc w:val="both"/>
              <w:rPr>
                <w:rFonts w:hint="default" w:ascii="Calibri" w:hAnsi="Calibri" w:cs="Calibri"/>
                <w:sz w:val="32"/>
                <w:szCs w:val="32"/>
                <w:lang w:val="en-US"/>
              </w:rPr>
            </w:pPr>
          </w:p>
        </w:tc>
      </w:tr>
      <w:tr w14:paraId="194441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0D9B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县公务用车服务中心经费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3597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4F6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18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516.67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2C0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516.67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690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76"/>
              <w:jc w:val="both"/>
              <w:rPr>
                <w:rFonts w:hint="default" w:ascii="仿宋" w:hAnsi="仿宋" w:eastAsia="仿宋" w:cs="仿宋"/>
                <w:color w:val="222222"/>
                <w:sz w:val="24"/>
                <w:szCs w:val="24"/>
              </w:rPr>
            </w:pPr>
          </w:p>
        </w:tc>
      </w:tr>
      <w:tr w14:paraId="374092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71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53E1B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新增七个社区办公场地装修费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03C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B8D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412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117.46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3F7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117.46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6D6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76"/>
              <w:jc w:val="both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</w:p>
        </w:tc>
      </w:tr>
      <w:tr w14:paraId="61C9E8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71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C641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公务用车购置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FF20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EBC1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D83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33.16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8E3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33.16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9BBF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76"/>
              <w:jc w:val="both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</w:p>
        </w:tc>
      </w:tr>
      <w:tr w14:paraId="645F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71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8921E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乡村振兴驻村后盾单位帮扶工作经费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71EF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2ED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D603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71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ECD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76"/>
              <w:jc w:val="both"/>
              <w:rPr>
                <w:rFonts w:hint="default" w:ascii="仿宋" w:hAnsi="仿宋" w:eastAsia="仿宋" w:cs="仿宋"/>
                <w:color w:val="222222"/>
                <w:sz w:val="24"/>
                <w:szCs w:val="24"/>
                <w:lang w:val="en-US" w:eastAsia="zh-CN"/>
              </w:rPr>
            </w:pPr>
          </w:p>
        </w:tc>
      </w:tr>
    </w:tbl>
    <w:p w14:paraId="1A6DDBB3">
      <w:pPr>
        <w:pStyle w:val="3"/>
        <w:keepNext w:val="0"/>
        <w:keepLines w:val="0"/>
        <w:widowControl/>
        <w:suppressLineNumbers w:val="0"/>
        <w:spacing w:before="0" w:beforeAutospacing="0" w:after="240" w:afterAutospacing="0" w:line="600" w:lineRule="atLeast"/>
        <w:ind w:left="0" w:right="0" w:firstLine="645"/>
        <w:jc w:val="lef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项目支出预算安排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1623.45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万元。主要包括用于行政（政务）中心办公楼财产保险经费支出、行政（政务）中心中央空调维修经费、行政（政务）中心运行经费、武装部领导宿舍维修经费等项目支出。</w:t>
      </w:r>
      <w:bookmarkStart w:id="9" w:name="_GoBack"/>
      <w:bookmarkEnd w:id="9"/>
    </w:p>
    <w:p w14:paraId="42310F85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1668EB5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</w:p>
    <w:p w14:paraId="3A06FB7C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663CE4D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320" w:firstLineChars="1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</w:p>
    <w:p w14:paraId="570BD873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15D138A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320" w:firstLineChars="1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</w:p>
    <w:p w14:paraId="5DC72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3B271B99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bookmarkStart w:id="4" w:name="OLE_LINK5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年度，县机关事务服务中心在高效履职的同时，通过加强资产管理、预算绩效管理及制度建设，较好地完成了各项工作任务，服务对象满意度达95%以上</w:t>
      </w:r>
      <w:bookmarkEnd w:id="4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  <w:bookmarkStart w:id="5" w:name="OLE_LINK6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 1、依托公车平台，公车服务规范高效。</w:t>
      </w:r>
      <w:bookmarkEnd w:id="5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一是智慧化管理。根据全省公车信息平台建设要求，我县建设了公车信息化管理平台，实现省、市、县三级互联互通，公车管理“全省一张网”。根据平台管理标准，保留车辆、司乘人员由平台统一管理，由平台轮流派车、派人，目的在于彻底解决固定用车问题。结合我县实际，为确保公务用车高效、有序保障公务活动，采取抢险处突等应急公务保障、领导出行等重点公务保障和其它一般公务保障三类保障模式。将留存公务用车分为三个车队，一个车队服务抢险处突等应急公务活动，一个车队服务领导出行等重点公务活动，一个车队服务部门一般公务活动。三个车队根据职责由平台轮流派车、派人。按省公务用车服务平台建设的目标要求，将执法执勤车纳入平台，并安装车载终端，实现平台统一调度（按照国家要求，公检法司和纪委监委的执法执勤用车，可以不进行跨部门调度，但要纳入“全省一张网”监管）。同时，对乡镇用车、特种专业技术用车、少量出车频率高的行政执法用车实行委托管理，根据《党政机关公务用车管理办法》规定，严格执行定点加油、定点维修、定点保险、定点停放等相关规定。通过平台建设，发挥公车信息化管理平台智能化优势，实现了移动终端智能预约、平台随机派车、信息化监测车辆运行、大数据考核及费用结算。二是出台激励机制。为调动主观能动性，还专门建立了激励机制。出台了安全行驶奖励、文明行驶奖励等制度。三是强化思想教育。由于司勤人员的岗位特殊，是保密工作的高防点，结合这些实际问题，为强化司勤人员的思想教育，组织开展了《八项规定》专题培训、安全教育培训和保密教育。通过系列措施，确保了我县公务用车高效运行。</w:t>
      </w:r>
    </w:p>
    <w:p w14:paraId="0486DBE8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bookmarkStart w:id="6" w:name="OLE_LINK7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2、采取评价机制，食堂服务不断优化。</w:t>
      </w:r>
      <w:bookmarkEnd w:id="6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食堂的后勤保障，是服务行政中心、政务中心的重要工作之一。众味难调是古话，如何满足绝大多数人的口味，是食堂首先要解决的问题。为此，我中心积极探索适应干部职工需求的供餐服务新机制，实行意见征求机制，不定期向大院的干部职工征求服务、管理及饭菜口味品种的意见，并立改立行，不断提高服务满意度。9月份，为杜绝餐桌浪费行为，由原来的自助就餐方式改为分餐就餐方式，自助就餐的那种选菜、剩菜等不良行为得到有效遏制。为确保食材安全卫生，建立了食材溯源机制，对包装食材严格要求合格产品，散装食材购买台账明晰，可以追溯到购买人、销售人及生产者。建立了卫生巡查机制，不定期对食堂卫生巡查。通过不断的探索管理机制、运营机制，食堂服务进一步优化。</w:t>
      </w:r>
    </w:p>
    <w:p w14:paraId="54EC32E3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bookmarkStart w:id="7" w:name="OLE_LINK8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3、树立精细意识，会务服务周到细致。</w:t>
      </w:r>
      <w:bookmarkEnd w:id="7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为做好会议服务，今年安排两次会务礼仪培训，并专派人员到省参加培训，会务人员素质得到大幅度提升。一年来，对每场会议，都做到超前准备，会场布置、音箱调试、座位排列、茶水供应、清洁卫生、空调温度、室内通风等都达到最佳效果。全年共为360余次重大会议与重点活动提供会务服务保障，实现优质服务、零差错服务。</w:t>
      </w:r>
    </w:p>
    <w:p w14:paraId="06EEA323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bookmarkStart w:id="8" w:name="OLE_LINK9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4、明确区域职责，保洁服务有条有序。</w:t>
      </w:r>
      <w:bookmarkEnd w:id="8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物业保洁服务，以改造提档、美化亮化为突破口，以“小投入、巧安排”，实现“大改观”。利用长假和双休，加班加点对领导办公室、会议室、餐厅、办公室、卫生间进行改造和更新；每年对大楼外墙和办公室进行全方位清洗，对会议室、会议室以及公共区域定点定人进行保洁。机关大院每天安排15名专职保洁人员8小时不间断持续保洁；15名专职保洁人员每周定时一次大扫除，确保了机关大院环境优良，窗明几净。</w:t>
      </w:r>
    </w:p>
    <w:p w14:paraId="4E9CD939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5、强化日常监管，安保服务平安稳定。采取按月维修保养方式，确保电梯、中央空调运行安全。切实加强对供电、照明系统的维护和保养，及时排查处理供电、照明系统故障。按高标准要求对消防设施进行维护和保养。加强重点部位、特殊地段、重要设备的视频监控和巡逻检查力度，各类盗窃、破坏等犯罪活动得到有效防范，确保了全年无任何安全事件发生。对信访维稳工作，通过对安保人员的各项技能、体能培训，进一步提高了安保人员整体素质及形象。全面落实24小时值班制，对外来人员、车辆以及上访群众的疏导、登记、管理工作进一步得到规范。积极配合县政法委、县维稳办、县信访局等部门，做好群众上访工作。在处置群体上访时，保安人员有礼有节，积极融合相关单位做好劝解、引导服务工作，没有与群众发生一起纠纷。</w:t>
      </w:r>
    </w:p>
    <w:p w14:paraId="35E686B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6B316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主要存在的问题一是机关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事务中心</w:t>
      </w:r>
      <w:r>
        <w:rPr>
          <w:rFonts w:hint="eastAsia" w:ascii="仿宋" w:hAnsi="仿宋" w:eastAsia="仿宋" w:cs="仿宋"/>
          <w:sz w:val="32"/>
          <w:szCs w:val="32"/>
        </w:rPr>
        <w:t>基本支出中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公务用车运行维护费</w:t>
      </w:r>
      <w:r>
        <w:rPr>
          <w:rFonts w:hint="eastAsia" w:ascii="仿宋" w:hAnsi="仿宋" w:eastAsia="仿宋" w:cs="仿宋"/>
          <w:sz w:val="32"/>
          <w:szCs w:val="32"/>
        </w:rPr>
        <w:t>虽然比“三公”经费预算数少但仍需加强厉行节约，规范管理，进一步压缩车辆维修费。二是我中心还需进一步加大执行力度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压缩劳务费开支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F6AE13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23AA561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针对上述存在的问题及我中心整体支出管理工作的需要，下一步，我们将采取以下改进措施：</w:t>
      </w:r>
    </w:p>
    <w:p w14:paraId="3871FA4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细化预算编制工作，认真做好预算的编制。进一步加强中心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</w:t>
      </w:r>
    </w:p>
    <w:p w14:paraId="212C42C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2、加强财务管理，严格财务审核。在费用报账支付时，按照预算规定的费用项目和用途进行资金使用审核、列报支付、财务核算，杜绝超支现象的发生。</w:t>
      </w:r>
    </w:p>
    <w:p w14:paraId="5894CE4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、持续抓好“三公”经费控制管理。严格控制“三公”经费的规模和比例，严格“三公”经费支出的审核、审批，杜绝挪用和挤占其他预算资金行为；进一步细化“三公”经费的管理，合理压缩“三公”经费支出。</w:t>
      </w:r>
    </w:p>
    <w:p w14:paraId="3C56F7C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4、加强对机关事务服务工作实施进度的跟踪，开展各机关事务项目绩效评价，确保项目绩效目标的完成。</w:t>
      </w:r>
    </w:p>
    <w:p w14:paraId="0CE80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14:paraId="006FA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通过加强预算收支管理，不断建立健全内部管理制度，梳理内部管理流程，我心中整体支出管理情况得到提升，贯彻落实厉行节约、严控“三公”经费、降低一般运行经费、加强项目支出管理等，成绩显著，依据部门整体支出绩效评价指标体系，本中心202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年度自评得分为9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分。</w:t>
      </w:r>
    </w:p>
    <w:p w14:paraId="36416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5C04614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其他需要说明的情况</w:t>
      </w:r>
    </w:p>
    <w:p w14:paraId="6655BD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7B388A"/>
    <w:multiLevelType w:val="singleLevel"/>
    <w:tmpl w:val="DD7B388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64645B"/>
    <w:multiLevelType w:val="singleLevel"/>
    <w:tmpl w:val="EE64645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ZDA4OTJkYmRkZjU5MjNhZTdmYmE4Y2M4NDFiNDcifQ=="/>
  </w:docVars>
  <w:rsids>
    <w:rsidRoot w:val="00000000"/>
    <w:rsid w:val="2B4B2028"/>
    <w:rsid w:val="422B445A"/>
    <w:rsid w:val="70F73101"/>
    <w:rsid w:val="71F3186F"/>
    <w:rsid w:val="7CF6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3877</Words>
  <Characters>4100</Characters>
  <Lines>0</Lines>
  <Paragraphs>0</Paragraphs>
  <TotalTime>7</TotalTime>
  <ScaleCrop>false</ScaleCrop>
  <LinksUpToDate>false</LinksUpToDate>
  <CharactersWithSpaces>4111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2024-05-26T12:38:00Z</dcterms:created>
  <dc:creator>10958</dc:creator>
  <cp:lastModifiedBy>Administrator</cp:lastModifiedBy>
  <dcterms:modified xsi:type="dcterms:W3CDTF">2025-06-13T08:33:45Z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6A24109491D6444189291F55C8A81AC8_12</vt:lpwstr>
  </property>
  <property fmtid="{D5CDD505-2E9C-101B-9397-08002B2CF9AE}" pid="4" name="KSOTemplateDocerSaveRecord">
    <vt:lpwstr>eyJoZGlkIjoiMDQyNjFmNGQ2MDAyYmMzY2Y2YTFmNWExNzJlZGE3ZDIifQ==</vt:lpwstr>
  </property>
</Properties>
</file>