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016B">
      <w:pPr>
        <w:rPr>
          <w:rFonts w:eastAsia="黑体"/>
          <w:sz w:val="32"/>
          <w:szCs w:val="32"/>
        </w:rPr>
      </w:pPr>
      <w:r>
        <w:rPr>
          <w:rFonts w:eastAsia="黑体"/>
          <w:sz w:val="32"/>
          <w:szCs w:val="32"/>
        </w:rPr>
        <w:t>附件1</w:t>
      </w:r>
    </w:p>
    <w:p w14:paraId="72191DAC">
      <w:pPr>
        <w:spacing w:line="600" w:lineRule="exact"/>
        <w:rPr>
          <w:rFonts w:eastAsia="黑体"/>
          <w:sz w:val="32"/>
          <w:szCs w:val="32"/>
        </w:rPr>
      </w:pPr>
    </w:p>
    <w:p w14:paraId="58497B07">
      <w:pPr>
        <w:spacing w:line="600" w:lineRule="exact"/>
        <w:rPr>
          <w:rFonts w:eastAsia="黑体"/>
          <w:sz w:val="32"/>
          <w:szCs w:val="32"/>
        </w:rPr>
      </w:pPr>
    </w:p>
    <w:p w14:paraId="43587D6E">
      <w:pPr>
        <w:spacing w:line="600" w:lineRule="exact"/>
        <w:rPr>
          <w:rFonts w:eastAsia="黑体"/>
          <w:sz w:val="32"/>
          <w:szCs w:val="32"/>
        </w:rPr>
      </w:pPr>
    </w:p>
    <w:p w14:paraId="5DD3EE6A">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2024</w:t>
      </w:r>
      <w:r>
        <w:rPr>
          <w:rFonts w:hint="eastAsia" w:ascii="方正小标宋简体" w:eastAsia="方正小标宋简体"/>
          <w:sz w:val="52"/>
          <w:szCs w:val="52"/>
        </w:rPr>
        <w:t>年度新田县人事考试中心部门（单位）整体支出绩效自评报告</w:t>
      </w:r>
    </w:p>
    <w:p w14:paraId="25AB290D">
      <w:pPr>
        <w:jc w:val="center"/>
        <w:rPr>
          <w:rFonts w:eastAsia="方正小标宋_GBK"/>
          <w:b/>
          <w:sz w:val="52"/>
          <w:szCs w:val="52"/>
        </w:rPr>
      </w:pPr>
    </w:p>
    <w:p w14:paraId="27A5CA30">
      <w:pPr>
        <w:jc w:val="center"/>
        <w:rPr>
          <w:rFonts w:eastAsia="楷体_GB2312"/>
          <w:b/>
          <w:sz w:val="32"/>
          <w:szCs w:val="32"/>
        </w:rPr>
      </w:pPr>
    </w:p>
    <w:p w14:paraId="43EE2442">
      <w:pPr>
        <w:jc w:val="center"/>
        <w:rPr>
          <w:rFonts w:eastAsia="楷体_GB2312"/>
          <w:b/>
          <w:sz w:val="32"/>
          <w:szCs w:val="32"/>
        </w:rPr>
      </w:pPr>
    </w:p>
    <w:p w14:paraId="2D0B905F">
      <w:pPr>
        <w:jc w:val="center"/>
        <w:rPr>
          <w:rFonts w:eastAsia="楷体_GB2312"/>
          <w:b/>
          <w:sz w:val="32"/>
          <w:szCs w:val="32"/>
        </w:rPr>
      </w:pPr>
    </w:p>
    <w:p w14:paraId="156E0385">
      <w:pPr>
        <w:jc w:val="center"/>
        <w:rPr>
          <w:rFonts w:eastAsia="楷体_GB2312"/>
          <w:b/>
          <w:sz w:val="32"/>
          <w:szCs w:val="32"/>
        </w:rPr>
      </w:pPr>
    </w:p>
    <w:p w14:paraId="765673A4">
      <w:pPr>
        <w:jc w:val="center"/>
        <w:rPr>
          <w:rFonts w:eastAsia="楷体_GB2312"/>
          <w:b/>
          <w:sz w:val="32"/>
          <w:szCs w:val="32"/>
        </w:rPr>
      </w:pPr>
    </w:p>
    <w:p w14:paraId="5C20EC2D">
      <w:pPr>
        <w:jc w:val="center"/>
        <w:rPr>
          <w:rFonts w:eastAsia="楷体_GB2312"/>
          <w:b/>
          <w:sz w:val="32"/>
          <w:szCs w:val="32"/>
        </w:rPr>
      </w:pPr>
    </w:p>
    <w:p w14:paraId="1B08F041">
      <w:pPr>
        <w:jc w:val="center"/>
        <w:rPr>
          <w:rFonts w:eastAsia="黑体"/>
          <w:sz w:val="32"/>
          <w:szCs w:val="32"/>
        </w:rPr>
      </w:pPr>
    </w:p>
    <w:p w14:paraId="677C58AC">
      <w:pPr>
        <w:jc w:val="center"/>
        <w:rPr>
          <w:rFonts w:eastAsia="黑体"/>
          <w:sz w:val="32"/>
          <w:szCs w:val="32"/>
        </w:rPr>
      </w:pPr>
    </w:p>
    <w:p w14:paraId="4806BC6E">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lang w:val="en-US" w:eastAsia="zh-CN"/>
        </w:rPr>
        <w:t>新田县人事考试中心</w:t>
      </w:r>
      <w:r>
        <w:rPr>
          <w:rFonts w:eastAsia="仿宋_GB2312"/>
          <w:sz w:val="32"/>
          <w:szCs w:val="32"/>
          <w:u w:val="single"/>
        </w:rPr>
        <w:t>（盖章）</w:t>
      </w:r>
    </w:p>
    <w:p w14:paraId="28BAB315">
      <w:pPr>
        <w:spacing w:line="600" w:lineRule="exact"/>
        <w:ind w:firstLine="3200" w:firstLineChars="1000"/>
        <w:rPr>
          <w:rFonts w:eastAsia="楷体_GB2312"/>
          <w:sz w:val="32"/>
          <w:szCs w:val="32"/>
        </w:rPr>
      </w:pPr>
      <w:r>
        <w:rPr>
          <w:rFonts w:hint="eastAsia" w:eastAsia="楷体_GB2312"/>
          <w:sz w:val="32"/>
          <w:szCs w:val="32"/>
        </w:rPr>
        <w:t>202</w:t>
      </w:r>
      <w:r>
        <w:rPr>
          <w:rFonts w:hint="eastAsia" w:eastAsia="楷体_GB2312"/>
          <w:sz w:val="32"/>
          <w:szCs w:val="32"/>
          <w:lang w:val="en-US" w:eastAsia="zh-CN"/>
        </w:rPr>
        <w:t>5</w:t>
      </w:r>
      <w:r>
        <w:rPr>
          <w:rFonts w:eastAsia="楷体_GB2312"/>
          <w:sz w:val="32"/>
          <w:szCs w:val="32"/>
        </w:rPr>
        <w:t>年</w:t>
      </w:r>
      <w:r>
        <w:rPr>
          <w:rFonts w:hint="eastAsia" w:eastAsia="楷体_GB2312"/>
          <w:sz w:val="32"/>
          <w:szCs w:val="32"/>
          <w:lang w:val="en-US" w:eastAsia="zh-CN"/>
        </w:rPr>
        <w:t>6</w:t>
      </w:r>
      <w:r>
        <w:rPr>
          <w:rFonts w:eastAsia="楷体_GB2312"/>
          <w:sz w:val="32"/>
          <w:szCs w:val="32"/>
        </w:rPr>
        <w:t>月</w:t>
      </w:r>
      <w:r>
        <w:rPr>
          <w:rFonts w:hint="eastAsia" w:eastAsia="楷体_GB2312"/>
          <w:sz w:val="32"/>
          <w:szCs w:val="32"/>
          <w:lang w:val="en-US" w:eastAsia="zh-CN"/>
        </w:rPr>
        <w:t>13</w:t>
      </w:r>
      <w:r>
        <w:rPr>
          <w:rFonts w:eastAsia="楷体_GB2312"/>
          <w:sz w:val="32"/>
          <w:szCs w:val="32"/>
        </w:rPr>
        <w:t>日</w:t>
      </w:r>
    </w:p>
    <w:p w14:paraId="64412FC9">
      <w:pPr>
        <w:jc w:val="center"/>
        <w:rPr>
          <w:rFonts w:eastAsia="黑体"/>
          <w:sz w:val="32"/>
          <w:szCs w:val="32"/>
        </w:rPr>
      </w:pPr>
      <w:bookmarkStart w:id="0" w:name="_GoBack"/>
      <w:bookmarkEnd w:id="0"/>
    </w:p>
    <w:p w14:paraId="2147DC2A">
      <w:pPr>
        <w:jc w:val="center"/>
        <w:rPr>
          <w:rFonts w:eastAsia="仿宋_GB2312"/>
          <w:sz w:val="32"/>
          <w:szCs w:val="32"/>
        </w:rPr>
      </w:pPr>
      <w:r>
        <w:rPr>
          <w:rFonts w:eastAsia="仿宋_GB2312"/>
          <w:sz w:val="32"/>
          <w:szCs w:val="32"/>
        </w:rPr>
        <w:t>（此页为封面）</w:t>
      </w:r>
    </w:p>
    <w:p w14:paraId="2F3EB078">
      <w:pPr>
        <w:spacing w:line="46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230FB30D">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12ABD7A1">
      <w:pPr>
        <w:spacing w:line="520" w:lineRule="exact"/>
        <w:ind w:firstLine="600" w:firstLineChars="200"/>
        <w:rPr>
          <w:rFonts w:ascii="仿宋_GB2312" w:eastAsia="仿宋_GB2312"/>
          <w:bCs/>
          <w:sz w:val="30"/>
          <w:szCs w:val="30"/>
        </w:rPr>
      </w:pPr>
      <w:r>
        <w:rPr>
          <w:rFonts w:hint="eastAsia" w:ascii="仿宋_GB2312" w:eastAsia="仿宋_GB2312"/>
          <w:bCs/>
          <w:sz w:val="30"/>
          <w:szCs w:val="30"/>
        </w:rPr>
        <w:t>（一）单位职责</w:t>
      </w:r>
    </w:p>
    <w:p w14:paraId="04408BEF">
      <w:pPr>
        <w:ind w:firstLine="640" w:firstLineChars="200"/>
        <w:rPr>
          <w:rFonts w:ascii="仿宋_GB2312" w:eastAsia="仿宋_GB2312"/>
          <w:bCs/>
          <w:sz w:val="32"/>
          <w:szCs w:val="32"/>
        </w:rPr>
      </w:pPr>
      <w:r>
        <w:rPr>
          <w:rFonts w:hint="eastAsia" w:ascii="仿宋_GB2312" w:eastAsia="仿宋_GB2312"/>
          <w:bCs/>
          <w:sz w:val="32"/>
          <w:szCs w:val="32"/>
        </w:rPr>
        <w:t>全县机关事业单位工人技术等级考试（核）考务工作；承办县直事业单位招聘工作人员考试、全县职称外语及全国专业技术人员计算机应用能力考试、由县组织的部分专业技术人员执（职）业资格考试考务组织工作和由市人事考试中心组织的专业技术人员执（职）业资格考试的报名信息的处理工作；承办县人力资源和社会保障局交办的其他工作。</w:t>
      </w:r>
    </w:p>
    <w:p w14:paraId="4B44BAA5">
      <w:pPr>
        <w:ind w:firstLine="640" w:firstLineChars="200"/>
        <w:rPr>
          <w:rFonts w:ascii="仿宋_GB2312" w:eastAsia="仿宋_GB2312"/>
          <w:sz w:val="32"/>
          <w:szCs w:val="32"/>
        </w:rPr>
      </w:pPr>
      <w:r>
        <w:rPr>
          <w:rFonts w:hint="eastAsia" w:ascii="仿宋_GB2312" w:eastAsia="仿宋_GB2312"/>
          <w:sz w:val="32"/>
          <w:szCs w:val="32"/>
        </w:rPr>
        <w:t>新田县人事考试中心是县人力资源和社会保障局下属事业单位，202</w:t>
      </w:r>
      <w:r>
        <w:rPr>
          <w:rFonts w:hint="eastAsia" w:ascii="仿宋_GB2312" w:eastAsia="仿宋_GB2312"/>
          <w:sz w:val="32"/>
          <w:szCs w:val="32"/>
          <w:lang w:val="en-US" w:eastAsia="zh-CN"/>
        </w:rPr>
        <w:t>4</w:t>
      </w:r>
      <w:r>
        <w:rPr>
          <w:rFonts w:hint="eastAsia" w:ascii="仿宋_GB2312" w:eastAsia="仿宋_GB2312"/>
          <w:sz w:val="32"/>
          <w:szCs w:val="32"/>
        </w:rPr>
        <w:t>年底事业编制3人，年末在职人数3人，内设机构1个：办公室</w:t>
      </w:r>
    </w:p>
    <w:p w14:paraId="45FA8109">
      <w:pPr>
        <w:shd w:val="clear" w:color="auto" w:fill="FFFFFF"/>
        <w:spacing w:line="460" w:lineRule="exact"/>
        <w:ind w:firstLine="640" w:firstLineChars="200"/>
        <w:rPr>
          <w:rFonts w:hint="eastAsia" w:ascii="仿宋_GB2312" w:eastAsia="仿宋_GB2312"/>
          <w:sz w:val="32"/>
          <w:szCs w:val="32"/>
        </w:rPr>
      </w:pPr>
    </w:p>
    <w:p w14:paraId="24518A08">
      <w:pPr>
        <w:pStyle w:val="8"/>
        <w:ind w:left="0" w:firstLine="640" w:firstLineChars="200"/>
        <w:jc w:val="both"/>
        <w:rPr>
          <w:rFonts w:hint="eastAsia" w:eastAsia="仿宋_GB2312"/>
          <w:color w:val="000000"/>
          <w:sz w:val="32"/>
          <w:szCs w:val="32"/>
        </w:rPr>
      </w:pPr>
      <w:r>
        <w:rPr>
          <w:rFonts w:hint="eastAsia" w:ascii="仿宋_GB2312" w:eastAsia="仿宋_GB2312"/>
          <w:sz w:val="32"/>
          <w:szCs w:val="32"/>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26E453BE">
      <w:pPr>
        <w:pStyle w:val="8"/>
        <w:ind w:left="0" w:firstLine="600" w:firstLineChars="200"/>
        <w:jc w:val="both"/>
        <w:rPr>
          <w:rFonts w:ascii="仿宋" w:hAnsi="仿宋" w:eastAsia="仿宋" w:cs="仿宋"/>
          <w:sz w:val="30"/>
          <w:szCs w:val="30"/>
        </w:rPr>
      </w:pPr>
      <w:r>
        <w:rPr>
          <w:rFonts w:hint="eastAsia" w:ascii="仿宋" w:hAnsi="仿宋" w:eastAsia="仿宋" w:cs="仿宋"/>
          <w:sz w:val="30"/>
          <w:szCs w:val="30"/>
        </w:rPr>
        <w:t>1、部门整体支出情况：</w:t>
      </w:r>
    </w:p>
    <w:p w14:paraId="269B73FA">
      <w:pPr>
        <w:pStyle w:val="8"/>
        <w:ind w:left="0" w:firstLine="600" w:firstLineChars="200"/>
        <w:jc w:val="both"/>
        <w:rPr>
          <w:rFonts w:ascii="仿宋" w:hAnsi="仿宋" w:eastAsia="仿宋" w:cs="仿宋"/>
          <w:sz w:val="30"/>
          <w:szCs w:val="30"/>
        </w:rPr>
      </w:pPr>
      <w:r>
        <w:rPr>
          <w:rFonts w:hint="eastAsia" w:ascii="仿宋" w:hAnsi="仿宋" w:eastAsia="仿宋" w:cs="仿宋"/>
          <w:sz w:val="30"/>
          <w:szCs w:val="30"/>
          <w:lang w:eastAsia="zh-CN"/>
        </w:rPr>
        <w:t>2024</w:t>
      </w:r>
      <w:r>
        <w:rPr>
          <w:rFonts w:hint="eastAsia" w:ascii="仿宋" w:hAnsi="仿宋" w:eastAsia="仿宋" w:cs="仿宋"/>
          <w:sz w:val="30"/>
          <w:szCs w:val="30"/>
        </w:rPr>
        <w:t>年部门整体支出规模</w:t>
      </w:r>
      <w:r>
        <w:rPr>
          <w:rFonts w:hint="eastAsia" w:ascii="仿宋" w:hAnsi="仿宋" w:eastAsia="仿宋" w:cs="仿宋"/>
          <w:sz w:val="30"/>
          <w:szCs w:val="30"/>
          <w:lang w:val="en-US" w:eastAsia="zh-CN"/>
        </w:rPr>
        <w:t>96.31</w:t>
      </w:r>
      <w:r>
        <w:rPr>
          <w:rFonts w:hint="eastAsia" w:ascii="仿宋" w:hAnsi="仿宋" w:eastAsia="仿宋" w:cs="仿宋"/>
          <w:sz w:val="30"/>
          <w:szCs w:val="30"/>
        </w:rPr>
        <w:t>万元，其中：工资福利支出2</w:t>
      </w:r>
      <w:r>
        <w:rPr>
          <w:rFonts w:hint="eastAsia" w:ascii="仿宋" w:hAnsi="仿宋" w:eastAsia="仿宋" w:cs="仿宋"/>
          <w:sz w:val="30"/>
          <w:szCs w:val="30"/>
          <w:lang w:val="en-US" w:eastAsia="zh-CN"/>
        </w:rPr>
        <w:t>9.74</w:t>
      </w:r>
      <w:r>
        <w:rPr>
          <w:rFonts w:hint="eastAsia" w:ascii="仿宋" w:hAnsi="仿宋" w:eastAsia="仿宋" w:cs="仿宋"/>
          <w:sz w:val="30"/>
          <w:szCs w:val="30"/>
        </w:rPr>
        <w:t>万元、商品和服务支出</w:t>
      </w:r>
      <w:r>
        <w:rPr>
          <w:rFonts w:hint="eastAsia" w:ascii="仿宋" w:hAnsi="仿宋" w:eastAsia="仿宋" w:cs="仿宋"/>
          <w:sz w:val="30"/>
          <w:szCs w:val="30"/>
          <w:lang w:val="en-US" w:eastAsia="zh-CN"/>
        </w:rPr>
        <w:t>55.57</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资本性支出</w:t>
      </w:r>
      <w:r>
        <w:rPr>
          <w:rFonts w:hint="eastAsia" w:ascii="仿宋" w:hAnsi="仿宋" w:eastAsia="仿宋" w:cs="仿宋"/>
          <w:sz w:val="30"/>
          <w:szCs w:val="30"/>
          <w:lang w:val="en-US" w:eastAsia="zh-CN"/>
        </w:rPr>
        <w:t>11</w:t>
      </w:r>
      <w:r>
        <w:rPr>
          <w:rFonts w:hint="eastAsia" w:ascii="仿宋" w:hAnsi="仿宋" w:eastAsia="仿宋" w:cs="仿宋"/>
          <w:sz w:val="30"/>
          <w:szCs w:val="30"/>
        </w:rPr>
        <w:t>万元。</w:t>
      </w:r>
    </w:p>
    <w:p w14:paraId="4D259C51">
      <w:pPr>
        <w:pStyle w:val="9"/>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2、部门预算收支决算情况：</w:t>
      </w:r>
    </w:p>
    <w:p w14:paraId="43AB1AF3">
      <w:pPr>
        <w:pStyle w:val="9"/>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96.31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年度支出总计</w:t>
      </w:r>
      <w:r>
        <w:rPr>
          <w:rFonts w:hint="eastAsia" w:ascii="仿宋_GB2312" w:hAnsi="仿宋_GB2312" w:eastAsia="仿宋_GB2312" w:cs="仿宋_GB2312"/>
          <w:sz w:val="32"/>
          <w:szCs w:val="32"/>
          <w:lang w:val="en-US" w:eastAsia="zh-CN"/>
        </w:rPr>
        <w:t>96.31</w:t>
      </w:r>
      <w:r>
        <w:rPr>
          <w:rFonts w:hint="eastAsia" w:ascii="仿宋_GB2312" w:hAnsi="仿宋_GB2312" w:eastAsia="仿宋_GB2312" w:cs="仿宋_GB2312"/>
          <w:sz w:val="32"/>
          <w:szCs w:val="32"/>
        </w:rPr>
        <w:t>万元。</w:t>
      </w:r>
    </w:p>
    <w:p w14:paraId="5A35D0F7">
      <w:pPr>
        <w:pStyle w:val="9"/>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年“三公经费”支出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公务接待费万元，无公车运行维护费用，无出国（境）费用。</w:t>
      </w:r>
    </w:p>
    <w:p w14:paraId="026ACE97">
      <w:pPr>
        <w:spacing w:line="460" w:lineRule="exact"/>
        <w:ind w:firstLine="640" w:firstLineChars="200"/>
        <w:rPr>
          <w:rFonts w:hint="eastAsia" w:eastAsia="仿宋_GB2312"/>
          <w:color w:val="000000"/>
          <w:sz w:val="32"/>
          <w:szCs w:val="32"/>
        </w:rPr>
      </w:pPr>
    </w:p>
    <w:p w14:paraId="1F32C583">
      <w:pPr>
        <w:pStyle w:val="7"/>
        <w:spacing w:line="4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48F47DF">
      <w:pPr>
        <w:pStyle w:val="6"/>
        <w:spacing w:line="580" w:lineRule="exact"/>
        <w:ind w:firstLine="640"/>
        <w:rPr>
          <w:rFonts w:hint="eastAsia" w:ascii="Times New Roman" w:hAnsi="Times New Roman" w:eastAsia="仿宋_GB2312"/>
          <w:sz w:val="32"/>
          <w:szCs w:val="32"/>
        </w:rPr>
      </w:pPr>
      <w:r>
        <w:rPr>
          <w:rFonts w:ascii="Times New Roman" w:hAnsi="Times New Roman" w:eastAsia="仿宋_GB2312"/>
          <w:sz w:val="32"/>
          <w:szCs w:val="32"/>
        </w:rPr>
        <w:t>（一）基本支出情况</w:t>
      </w:r>
    </w:p>
    <w:p w14:paraId="2D12B981">
      <w:pPr>
        <w:pStyle w:val="6"/>
        <w:spacing w:line="580" w:lineRule="exact"/>
        <w:ind w:firstLine="640"/>
        <w:rPr>
          <w:rFonts w:hint="eastAsia" w:ascii="仿宋_GB2312" w:eastAsia="仿宋_GB2312" w:cs="仿宋_GB2312"/>
          <w:sz w:val="32"/>
          <w:szCs w:val="32"/>
        </w:rPr>
      </w:pPr>
      <w:r>
        <w:rPr>
          <w:rFonts w:hint="eastAsia" w:ascii="仿宋_GB2312" w:eastAsia="仿宋_GB2312" w:cs="仿宋_GB2312"/>
          <w:sz w:val="32"/>
          <w:szCs w:val="32"/>
          <w:lang w:eastAsia="zh-CN"/>
        </w:rPr>
        <w:t>2024</w:t>
      </w:r>
      <w:r>
        <w:rPr>
          <w:rFonts w:hint="eastAsia" w:ascii="仿宋_GB2312" w:eastAsia="仿宋_GB2312" w:cs="仿宋_GB2312"/>
          <w:sz w:val="32"/>
          <w:szCs w:val="32"/>
        </w:rPr>
        <w:t>年度财政拨款基本支出</w:t>
      </w:r>
      <w:r>
        <w:rPr>
          <w:rFonts w:hint="eastAsia" w:ascii="仿宋_GB2312" w:eastAsia="仿宋_GB2312" w:cs="仿宋_GB2312"/>
          <w:sz w:val="32"/>
          <w:szCs w:val="32"/>
          <w:lang w:val="en-US" w:eastAsia="zh-CN"/>
        </w:rPr>
        <w:t>32.67</w:t>
      </w:r>
      <w:r>
        <w:rPr>
          <w:rFonts w:hint="eastAsia" w:ascii="仿宋_GB2312" w:eastAsia="仿宋_GB2312" w:cs="仿宋_GB2312"/>
          <w:sz w:val="32"/>
          <w:szCs w:val="32"/>
        </w:rPr>
        <w:t>万元，其中：人员经费</w:t>
      </w:r>
      <w:r>
        <w:rPr>
          <w:rFonts w:hint="eastAsia" w:ascii="仿宋_GB2312" w:eastAsia="仿宋_GB2312" w:cs="仿宋_GB2312"/>
          <w:sz w:val="32"/>
          <w:szCs w:val="32"/>
          <w:lang w:val="en-US" w:eastAsia="zh-CN"/>
        </w:rPr>
        <w:t>28.66</w:t>
      </w:r>
      <w:r>
        <w:rPr>
          <w:rFonts w:hint="eastAsia" w:ascii="仿宋_GB2312" w:eastAsia="仿宋_GB2312" w:cs="仿宋_GB2312"/>
          <w:sz w:val="32"/>
          <w:szCs w:val="32"/>
        </w:rPr>
        <w:t>万元，占基本支出的</w:t>
      </w:r>
      <w:r>
        <w:rPr>
          <w:rFonts w:hint="eastAsia" w:ascii="仿宋_GB2312" w:eastAsia="仿宋_GB2312" w:cs="仿宋_GB2312"/>
          <w:sz w:val="32"/>
          <w:szCs w:val="32"/>
          <w:lang w:val="en-US" w:eastAsia="zh-CN"/>
        </w:rPr>
        <w:t>88</w:t>
      </w:r>
      <w:r>
        <w:rPr>
          <w:rFonts w:hint="eastAsia" w:ascii="仿宋_GB2312" w:eastAsia="仿宋_GB2312" w:cs="仿宋_GB2312"/>
          <w:sz w:val="32"/>
          <w:szCs w:val="32"/>
        </w:rPr>
        <w:t>%,主要包括基本工资、津贴补贴、奖金、伙食补助费、绩效工资、基本养老保险费、其他工资福利支出；公用经费</w:t>
      </w:r>
      <w:r>
        <w:rPr>
          <w:rFonts w:hint="eastAsia" w:ascii="仿宋_GB2312" w:eastAsia="仿宋_GB2312" w:cs="仿宋_GB2312"/>
          <w:sz w:val="32"/>
          <w:szCs w:val="32"/>
          <w:lang w:val="en-US" w:eastAsia="zh-CN"/>
        </w:rPr>
        <w:t>4.01</w:t>
      </w:r>
      <w:r>
        <w:rPr>
          <w:rFonts w:hint="eastAsia" w:ascii="仿宋_GB2312" w:eastAsia="仿宋_GB2312" w:cs="仿宋_GB2312"/>
          <w:sz w:val="32"/>
          <w:szCs w:val="32"/>
        </w:rPr>
        <w:t>万元，占基本支出的</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%，主要包括办公费、印刷费、水费、电费、邮电费、差旅费、会议费、公务接待费、工会经费、公务用车运行维护费、其他交通费、其他商品和服务费。</w:t>
      </w:r>
    </w:p>
    <w:p w14:paraId="6238E692">
      <w:pPr>
        <w:pStyle w:val="7"/>
        <w:spacing w:line="460" w:lineRule="exact"/>
        <w:ind w:firstLine="640"/>
        <w:rPr>
          <w:rFonts w:ascii="Times New Roman" w:hAnsi="Times New Roman" w:eastAsia="仿宋_GB2312"/>
          <w:sz w:val="32"/>
          <w:szCs w:val="32"/>
        </w:rPr>
      </w:pPr>
    </w:p>
    <w:p w14:paraId="4BAAAD25">
      <w:pPr>
        <w:pStyle w:val="7"/>
        <w:spacing w:line="460" w:lineRule="exact"/>
        <w:ind w:firstLine="640"/>
        <w:rPr>
          <w:rFonts w:ascii="Times New Roman" w:hAnsi="Times New Roman" w:eastAsia="仿宋_GB2312"/>
          <w:sz w:val="32"/>
          <w:szCs w:val="32"/>
        </w:rPr>
      </w:pPr>
      <w:r>
        <w:rPr>
          <w:rFonts w:ascii="Times New Roman" w:hAnsi="Times New Roman" w:eastAsia="仿宋_GB2312"/>
          <w:sz w:val="32"/>
          <w:szCs w:val="32"/>
        </w:rPr>
        <w:t>（二）项目支出情况</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年事业人员招聘经费项目支出</w:t>
      </w:r>
      <w:r>
        <w:rPr>
          <w:rFonts w:hint="eastAsia" w:ascii="Times New Roman" w:hAnsi="Times New Roman" w:eastAsia="仿宋_GB2312"/>
          <w:sz w:val="32"/>
          <w:szCs w:val="32"/>
          <w:lang w:val="en-US" w:eastAsia="zh-CN"/>
        </w:rPr>
        <w:t>63.64</w:t>
      </w:r>
      <w:r>
        <w:rPr>
          <w:rFonts w:hint="eastAsia" w:ascii="Times New Roman" w:hAnsi="Times New Roman" w:eastAsia="仿宋_GB2312"/>
          <w:sz w:val="32"/>
          <w:szCs w:val="32"/>
        </w:rPr>
        <w:t>万元。</w:t>
      </w:r>
    </w:p>
    <w:p w14:paraId="678B6E19">
      <w:pPr>
        <w:pStyle w:val="7"/>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2E3E1A40">
      <w:pPr>
        <w:pStyle w:val="7"/>
        <w:spacing w:line="46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5E017F92">
      <w:pPr>
        <w:pStyle w:val="7"/>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638F3764">
      <w:pPr>
        <w:pStyle w:val="7"/>
        <w:spacing w:line="460" w:lineRule="exact"/>
        <w:ind w:firstLine="64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2911397A">
      <w:pPr>
        <w:pStyle w:val="7"/>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w:t>
      </w:r>
    </w:p>
    <w:p w14:paraId="76560EB9">
      <w:pPr>
        <w:pStyle w:val="7"/>
        <w:spacing w:line="460" w:lineRule="exact"/>
        <w:ind w:firstLine="64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0017B01D">
      <w:pPr>
        <w:spacing w:line="460" w:lineRule="exact"/>
        <w:ind w:firstLine="640" w:firstLineChars="200"/>
        <w:rPr>
          <w:rFonts w:eastAsia="黑体"/>
          <w:sz w:val="32"/>
          <w:szCs w:val="32"/>
        </w:rPr>
      </w:pPr>
      <w:r>
        <w:rPr>
          <w:rFonts w:eastAsia="黑体"/>
          <w:sz w:val="32"/>
          <w:szCs w:val="32"/>
        </w:rPr>
        <w:t>六、部门整体支出绩效情况</w:t>
      </w:r>
    </w:p>
    <w:p w14:paraId="460AD827">
      <w:pPr>
        <w:ind w:firstLine="640" w:firstLineChars="200"/>
        <w:rPr>
          <w:rFonts w:ascii="仿宋" w:hAnsi="仿宋" w:eastAsia="仿宋" w:cs="黑体"/>
          <w:szCs w:val="32"/>
        </w:rPr>
      </w:pPr>
      <w:r>
        <w:rPr>
          <w:rFonts w:hint="eastAsia" w:ascii="仿宋" w:hAnsi="仿宋" w:eastAsia="仿宋" w:cs="黑体"/>
          <w:sz w:val="32"/>
          <w:szCs w:val="32"/>
        </w:rPr>
        <w:t>一、基本情况</w:t>
      </w:r>
    </w:p>
    <w:p w14:paraId="655A6C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kern w:val="2"/>
          <w:sz w:val="32"/>
          <w:szCs w:val="32"/>
          <w:lang w:val="en-US" w:eastAsia="zh-CN" w:bidi="ar-SA"/>
        </w:rPr>
        <w:t>（一）考试工作基本情况</w:t>
      </w:r>
    </w:p>
    <w:p w14:paraId="01DB45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2024年顺利完成了一场事业单位公开招聘工作、两场公开选聘工作。对于考试相关流程严格把关，重点打击考试舞弊行为，制定相应的岗位职责，筑牢考试安全防线。</w:t>
      </w:r>
    </w:p>
    <w:p w14:paraId="302932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事业单位公开招聘共计52个岗位，计划招聘63人，报名人数达3200余人，岗位竞争比例较大，实际招聘到位61人，选聘实际到位25人，有效地缓解了全县用人单位人才紧缺状况。</w:t>
      </w:r>
    </w:p>
    <w:p w14:paraId="0A7B3A17">
      <w:pPr>
        <w:pStyle w:val="3"/>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（二）特色亮点工作</w:t>
      </w:r>
    </w:p>
    <w:p w14:paraId="47BACE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sz w:val="32"/>
          <w:szCs w:val="32"/>
          <w:lang w:val="en-US" w:eastAsia="zh-CN"/>
        </w:rPr>
        <w:t>我们用好用活上级事业单位招聘政策，实施定向招聘，激发人才后劲。在今年的事业单位公开招聘中拿出乡镇管理岗位招聘计划的30%，面向了村（社区）干部、大学生村官、退役士兵、随军家属等各类特殊群体开展定向招聘，通过定向招聘政策，打破了基层人才工作瓶颈，树立了正确的基层人才导向，极大的激发了相关人员的干事创业热情。</w:t>
      </w:r>
    </w:p>
    <w:p w14:paraId="46733F5E">
      <w:pPr>
        <w:spacing w:line="460" w:lineRule="exact"/>
        <w:ind w:firstLine="640" w:firstLineChars="200"/>
        <w:rPr>
          <w:rFonts w:eastAsia="仿宋_GB2312"/>
          <w:color w:val="000000"/>
          <w:sz w:val="32"/>
          <w:szCs w:val="32"/>
        </w:rPr>
      </w:pPr>
    </w:p>
    <w:p w14:paraId="53BFB300">
      <w:pPr>
        <w:pStyle w:val="7"/>
        <w:spacing w:line="46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537E5D91">
      <w:pPr>
        <w:widowControl/>
        <w:shd w:val="clear" w:color="auto" w:fill="FFFFFF"/>
        <w:ind w:firstLine="640" w:firstLineChars="200"/>
        <w:jc w:val="left"/>
        <w:rPr>
          <w:rFonts w:eastAsia="仿宋_GB2312"/>
          <w:sz w:val="32"/>
          <w:szCs w:val="32"/>
        </w:rPr>
      </w:pPr>
      <w:r>
        <w:rPr>
          <w:rFonts w:hint="eastAsia" w:ascii="仿宋" w:hAnsi="仿宋" w:eastAsia="仿宋" w:cs="仿宋"/>
          <w:color w:val="000000"/>
          <w:kern w:val="0"/>
          <w:sz w:val="32"/>
          <w:szCs w:val="32"/>
        </w:rPr>
        <w:t>造成我单位预决算差异大的原因是：</w:t>
      </w:r>
      <w:r>
        <w:rPr>
          <w:rFonts w:hint="eastAsia" w:ascii="仿宋" w:hAnsi="仿宋" w:eastAsia="仿宋" w:cs="仿宋"/>
          <w:color w:val="000000"/>
          <w:kern w:val="0"/>
          <w:sz w:val="32"/>
          <w:szCs w:val="32"/>
          <w:lang w:eastAsia="zh-CN"/>
        </w:rPr>
        <w:t>2024</w:t>
      </w:r>
      <w:r>
        <w:rPr>
          <w:rFonts w:hint="eastAsia" w:ascii="仿宋" w:hAnsi="仿宋" w:eastAsia="仿宋" w:cs="仿宋"/>
          <w:color w:val="000000"/>
          <w:kern w:val="0"/>
          <w:sz w:val="32"/>
          <w:szCs w:val="32"/>
        </w:rPr>
        <w:t>年县人事考试中心的年初预算都是根据县财政局下达的年初预算控制数进行编制，未能将</w:t>
      </w:r>
      <w:r>
        <w:rPr>
          <w:rFonts w:hint="eastAsia" w:ascii="仿宋" w:hAnsi="仿宋" w:eastAsia="仿宋" w:cs="仿宋"/>
          <w:color w:val="000000"/>
          <w:kern w:val="0"/>
          <w:sz w:val="32"/>
          <w:szCs w:val="32"/>
          <w:lang w:eastAsia="zh-CN"/>
        </w:rPr>
        <w:t>2024</w:t>
      </w:r>
      <w:r>
        <w:rPr>
          <w:rFonts w:hint="eastAsia" w:ascii="仿宋" w:hAnsi="仿宋" w:eastAsia="仿宋" w:cs="仿宋"/>
          <w:color w:val="000000"/>
          <w:kern w:val="0"/>
          <w:sz w:val="32"/>
          <w:szCs w:val="32"/>
        </w:rPr>
        <w:t>年新田县事业单位人员招聘工作经费等纳入年初预算，而是在年中根据实际资金使用情况安排调整预算进行资金拨付，导致我局预决算差异较大。</w:t>
      </w:r>
    </w:p>
    <w:p w14:paraId="5E8BC423">
      <w:pPr>
        <w:spacing w:line="460" w:lineRule="exact"/>
        <w:ind w:firstLine="640" w:firstLineChars="200"/>
        <w:rPr>
          <w:rFonts w:eastAsia="仿宋_GB2312"/>
          <w:sz w:val="32"/>
          <w:szCs w:val="32"/>
        </w:rPr>
      </w:pPr>
    </w:p>
    <w:p w14:paraId="7F7A882D">
      <w:pPr>
        <w:spacing w:line="570" w:lineRule="exact"/>
        <w:ind w:firstLine="640" w:firstLineChars="200"/>
        <w:jc w:val="left"/>
        <w:outlineLvl w:val="0"/>
        <w:rPr>
          <w:rFonts w:hint="eastAsia" w:eastAsia="黑体"/>
          <w:sz w:val="32"/>
          <w:szCs w:val="32"/>
        </w:rPr>
      </w:pPr>
      <w:r>
        <w:rPr>
          <w:rFonts w:eastAsia="黑体"/>
          <w:sz w:val="32"/>
          <w:szCs w:val="32"/>
        </w:rPr>
        <w:t>八、下一步改进措施</w:t>
      </w:r>
    </w:p>
    <w:p w14:paraId="22F895E5">
      <w:pPr>
        <w:spacing w:line="570" w:lineRule="exact"/>
        <w:ind w:firstLine="640" w:firstLineChars="200"/>
        <w:jc w:val="left"/>
        <w:outlineLvl w:val="0"/>
        <w:rPr>
          <w:rFonts w:eastAsia="黑体"/>
          <w:sz w:val="32"/>
          <w:szCs w:val="32"/>
        </w:rPr>
      </w:pPr>
      <w:r>
        <w:rPr>
          <w:rFonts w:hint="eastAsia" w:ascii="仿宋" w:hAnsi="仿宋" w:eastAsia="仿宋" w:cs="仿宋"/>
          <w:color w:val="000000"/>
          <w:kern w:val="0"/>
          <w:sz w:val="32"/>
          <w:szCs w:val="32"/>
        </w:rPr>
        <w:t>针对我局预决算收支差异大的问题，今后我局将加强单位预决算管理，按照相关要求，规范预决算编制行为；加强与县财政局的沟通，将单位所有收支纳入年初预算，科学合理地编制本单位预算，尽量减少预决算之间的差异。</w:t>
      </w:r>
    </w:p>
    <w:p w14:paraId="109CDFBA">
      <w:pPr>
        <w:spacing w:line="460" w:lineRule="exact"/>
        <w:ind w:firstLine="640" w:firstLineChars="200"/>
        <w:rPr>
          <w:rFonts w:eastAsia="黑体"/>
          <w:sz w:val="32"/>
          <w:szCs w:val="32"/>
        </w:rPr>
      </w:pPr>
    </w:p>
    <w:p w14:paraId="53F65E49">
      <w:pPr>
        <w:spacing w:line="460" w:lineRule="exact"/>
        <w:ind w:firstLine="640" w:firstLineChars="200"/>
        <w:rPr>
          <w:rFonts w:eastAsia="黑体"/>
          <w:sz w:val="32"/>
          <w:szCs w:val="32"/>
        </w:rPr>
      </w:pPr>
      <w:r>
        <w:rPr>
          <w:rFonts w:eastAsia="黑体"/>
          <w:sz w:val="32"/>
          <w:szCs w:val="32"/>
        </w:rPr>
        <w:t>九、部门整体支出绩效自评结果拟应用和公开情况</w:t>
      </w:r>
    </w:p>
    <w:p w14:paraId="1376966E">
      <w:pPr>
        <w:spacing w:line="46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0878B4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2CD5"/>
    <w:rsid w:val="002C2CD5"/>
    <w:rsid w:val="003B155F"/>
    <w:rsid w:val="32F81D8A"/>
    <w:rsid w:val="4CB64942"/>
    <w:rsid w:val="69CF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
    <w:qFormat/>
    <w:uiPriority w:val="0"/>
    <w:rPr>
      <w:rFonts w:ascii="仿宋" w:eastAsia="仿宋"/>
      <w:kern w:val="0"/>
      <w:sz w:val="24"/>
    </w:rPr>
  </w:style>
  <w:style w:type="paragraph" w:styleId="3">
    <w:name w:val="toc 5"/>
    <w:basedOn w:val="1"/>
    <w:next w:val="1"/>
    <w:autoRedefine/>
    <w:semiHidden/>
    <w:unhideWhenUsed/>
    <w:qFormat/>
    <w:uiPriority w:val="39"/>
    <w:pPr>
      <w:ind w:left="1680" w:leftChars="800"/>
    </w:pPr>
  </w:style>
  <w:style w:type="paragraph" w:customStyle="1" w:styleId="6">
    <w:name w:val="列出段落1"/>
    <w:basedOn w:val="1"/>
    <w:qFormat/>
    <w:uiPriority w:val="34"/>
    <w:pPr>
      <w:ind w:firstLine="420" w:firstLineChars="200"/>
    </w:pPr>
    <w:rPr>
      <w:rFonts w:ascii="仿宋" w:hAnsi="仿宋"/>
      <w:kern w:val="0"/>
      <w:sz w:val="28"/>
    </w:rPr>
  </w:style>
  <w:style w:type="paragraph" w:styleId="7">
    <w:name w:val="List Paragraph"/>
    <w:basedOn w:val="1"/>
    <w:qFormat/>
    <w:uiPriority w:val="99"/>
    <w:pPr>
      <w:ind w:firstLine="420" w:firstLineChars="200"/>
    </w:pPr>
    <w:rPr>
      <w:rFonts w:ascii="Calibri" w:hAnsi="Calibri"/>
      <w:kern w:val="0"/>
      <w:sz w:val="28"/>
      <w:szCs w:val="22"/>
    </w:rPr>
  </w:style>
  <w:style w:type="paragraph" w:customStyle="1" w:styleId="8">
    <w:name w:val="正文首行缩进 211"/>
    <w:qFormat/>
    <w:uiPriority w:val="0"/>
    <w:pPr>
      <w:autoSpaceDE w:val="0"/>
      <w:ind w:left="420" w:firstLine="420"/>
    </w:pPr>
    <w:rPr>
      <w:rFonts w:ascii="Times New Roman" w:hAnsi="Times New Roman" w:eastAsia="Times New Roman" w:cs="Times New Roman"/>
      <w:kern w:val="0"/>
      <w:sz w:val="21"/>
      <w:szCs w:val="20"/>
      <w:lang w:val="en-US" w:eastAsia="zh-CN" w:bidi="ar-SA"/>
    </w:rPr>
  </w:style>
  <w:style w:type="paragraph" w:customStyle="1" w:styleId="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0">
    <w:name w:val="正文文本 Char"/>
    <w:basedOn w:val="5"/>
    <w:link w:val="2"/>
    <w:qFormat/>
    <w:uiPriority w:val="0"/>
    <w:rPr>
      <w:rFonts w:ascii="仿宋" w:hAnsi="Times New Roman" w:eastAsia="仿宋"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1416</Words>
  <Characters>1503</Characters>
  <Lines>16</Lines>
  <Paragraphs>4</Paragraphs>
  <TotalTime>1</TotalTime>
  <ScaleCrop>false</ScaleCrop>
  <LinksUpToDate>false</LinksUpToDate>
  <CharactersWithSpaces>1503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2024-05-28T06:55:00Z</dcterms:created>
  <dc:creator>Administrator</dc:creator>
  <cp:lastModifiedBy>斐哥</cp:lastModifiedBy>
  <dcterms:modified xsi:type="dcterms:W3CDTF">2025-06-17T03:00:13Z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eyJoZGlkIjoiNzkxZWZlODdmZTNhNGJhOWRlZjUxZmUxNTVjMzhlN2IiLCJ1c2VySWQiOiI1MjgwMjEyMzYifQ==</vt:lpwstr>
  </property>
  <property fmtid="{D5CDD505-2E9C-101B-9397-08002B2CF9AE}" pid="3" name="KSOProductBuildVer">
    <vt:lpwstr>2052-12.1.0.21171</vt:lpwstr>
  </property>
  <property fmtid="{D5CDD505-2E9C-101B-9397-08002B2CF9AE}" pid="4" name="ICV">
    <vt:lpwstr>81D899E4DD734487A9B1B953830E5D32_12</vt:lpwstr>
  </property>
</Properties>
</file>