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40" w:afterLines="100" w:line="480" w:lineRule="exact"/>
        <w:jc w:val="center"/>
        <w:textAlignment w:val="auto"/>
        <w:rPr>
          <w:rFonts w:hint="eastAsia" w:ascii="宋体" w:hAnsi="宋体" w:eastAsia="宋体" w:cs="宋体"/>
          <w:color w:val="000000"/>
          <w:sz w:val="36"/>
          <w:szCs w:val="36"/>
        </w:rPr>
      </w:pPr>
      <w:bookmarkStart w:id="0" w:name="_GoBack"/>
      <w:bookmarkEnd w:id="0"/>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 xml:space="preserve">2    </w:t>
      </w:r>
      <w:r>
        <w:rPr>
          <w:rFonts w:hint="eastAsia" w:ascii="宋体" w:hAnsi="宋体" w:eastAsia="宋体" w:cs="宋体"/>
          <w:color w:val="000000"/>
          <w:sz w:val="36"/>
          <w:szCs w:val="36"/>
        </w:rPr>
        <w:t>202</w:t>
      </w:r>
      <w:r>
        <w:rPr>
          <w:rFonts w:hint="eastAsia" w:ascii="宋体" w:hAnsi="宋体" w:cs="宋体"/>
          <w:color w:val="000000"/>
          <w:sz w:val="36"/>
          <w:szCs w:val="36"/>
          <w:lang w:val="en-US" w:eastAsia="zh-CN"/>
        </w:rPr>
        <w:t>4</w:t>
      </w:r>
      <w:r>
        <w:rPr>
          <w:rFonts w:hint="eastAsia" w:ascii="宋体" w:hAnsi="宋体" w:eastAsia="宋体" w:cs="宋体"/>
          <w:color w:val="000000"/>
          <w:sz w:val="36"/>
          <w:szCs w:val="36"/>
        </w:rPr>
        <w:t>年度项目支出绩效自评报告</w:t>
      </w:r>
    </w:p>
    <w:tbl>
      <w:tblPr>
        <w:tblStyle w:val="3"/>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1453"/>
        <w:gridCol w:w="6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794" w:type="dxa"/>
            <w:vMerge w:val="restart"/>
            <w:noWrap w:val="0"/>
            <w:vAlign w:val="center"/>
          </w:tcPr>
          <w:p>
            <w:pPr>
              <w:spacing w:line="240" w:lineRule="auto"/>
              <w:ind w:right="0" w:rightChars="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部门</w:t>
            </w:r>
            <w:r>
              <w:rPr>
                <w:rFonts w:hint="eastAsia" w:ascii="仿宋" w:hAnsi="仿宋" w:eastAsia="仿宋" w:cs="仿宋"/>
                <w:color w:val="000000"/>
                <w:sz w:val="21"/>
                <w:szCs w:val="21"/>
              </w:rPr>
              <w:t>概况</w:t>
            </w:r>
          </w:p>
        </w:tc>
        <w:tc>
          <w:tcPr>
            <w:tcW w:w="1453" w:type="dxa"/>
            <w:noWrap w:val="0"/>
            <w:vAlign w:val="center"/>
          </w:tcPr>
          <w:p>
            <w:pPr>
              <w:spacing w:line="240" w:lineRule="auto"/>
              <w:ind w:right="0" w:right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专项名称</w:t>
            </w:r>
          </w:p>
        </w:tc>
        <w:tc>
          <w:tcPr>
            <w:tcW w:w="6915" w:type="dxa"/>
            <w:noWrap w:val="0"/>
            <w:vAlign w:val="center"/>
          </w:tcPr>
          <w:p>
            <w:pPr>
              <w:spacing w:line="240" w:lineRule="auto"/>
              <w:ind w:right="0" w:rightChars="0" w:firstLine="420" w:firstLineChars="20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农业农村局县级</w:t>
            </w:r>
            <w:r>
              <w:rPr>
                <w:rFonts w:hint="eastAsia" w:ascii="仿宋" w:hAnsi="仿宋" w:eastAsia="仿宋" w:cs="仿宋"/>
                <w:color w:val="000000"/>
                <w:sz w:val="21"/>
                <w:szCs w:val="21"/>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794" w:type="dxa"/>
            <w:vMerge w:val="continue"/>
            <w:noWrap w:val="0"/>
            <w:vAlign w:val="top"/>
          </w:tcPr>
          <w:p>
            <w:pPr>
              <w:spacing w:line="240" w:lineRule="auto"/>
              <w:ind w:right="0" w:rightChars="0" w:firstLine="420" w:firstLineChars="200"/>
              <w:jc w:val="center"/>
              <w:rPr>
                <w:rFonts w:hint="eastAsia" w:ascii="仿宋" w:hAnsi="仿宋" w:eastAsia="仿宋" w:cs="仿宋"/>
                <w:color w:val="000000"/>
                <w:sz w:val="21"/>
                <w:szCs w:val="21"/>
              </w:rPr>
            </w:pPr>
          </w:p>
        </w:tc>
        <w:tc>
          <w:tcPr>
            <w:tcW w:w="1453" w:type="dxa"/>
            <w:noWrap w:val="0"/>
            <w:vAlign w:val="center"/>
          </w:tcPr>
          <w:p>
            <w:pPr>
              <w:spacing w:line="240" w:lineRule="auto"/>
              <w:ind w:right="0" w:right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年度预算金额</w:t>
            </w:r>
          </w:p>
        </w:tc>
        <w:tc>
          <w:tcPr>
            <w:tcW w:w="6915" w:type="dxa"/>
            <w:noWrap w:val="0"/>
            <w:vAlign w:val="center"/>
          </w:tcPr>
          <w:p>
            <w:pPr>
              <w:spacing w:line="240" w:lineRule="auto"/>
              <w:ind w:right="0" w:rightChars="0" w:firstLine="420" w:firstLineChars="20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14898.4万元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794" w:type="dxa"/>
            <w:vMerge w:val="continue"/>
            <w:noWrap w:val="0"/>
            <w:vAlign w:val="top"/>
          </w:tcPr>
          <w:p>
            <w:pPr>
              <w:rPr>
                <w:rFonts w:eastAsia="仿宋_GB2312"/>
                <w:sz w:val="20"/>
                <w:szCs w:val="20"/>
              </w:rPr>
            </w:pPr>
          </w:p>
        </w:tc>
        <w:tc>
          <w:tcPr>
            <w:tcW w:w="1453" w:type="dxa"/>
            <w:noWrap w:val="0"/>
            <w:vAlign w:val="top"/>
          </w:tcPr>
          <w:p>
            <w:pPr>
              <w:spacing w:line="576" w:lineRule="exact"/>
              <w:jc w:val="both"/>
              <w:rPr>
                <w:rFonts w:eastAsia="仿宋_GB2312"/>
                <w:sz w:val="20"/>
                <w:szCs w:val="20"/>
              </w:rPr>
            </w:pPr>
            <w:r>
              <w:rPr>
                <w:rFonts w:hint="eastAsia" w:ascii="Times New Roman" w:hAnsi="Times New Roman" w:eastAsia="仿宋_GB2312" w:cs="Times New Roman"/>
                <w:sz w:val="20"/>
                <w:szCs w:val="20"/>
                <w:highlight w:val="none"/>
              </w:rPr>
              <w:t>项目</w:t>
            </w:r>
            <w:r>
              <w:rPr>
                <w:rFonts w:hint="eastAsia" w:ascii="Times New Roman" w:hAnsi="Times New Roman" w:eastAsia="仿宋_GB2312" w:cs="Times New Roman"/>
                <w:sz w:val="20"/>
                <w:szCs w:val="20"/>
                <w:highlight w:val="none"/>
                <w:lang w:val="en-US" w:eastAsia="zh-CN"/>
              </w:rPr>
              <w:t>主管</w:t>
            </w:r>
            <w:r>
              <w:rPr>
                <w:rFonts w:hint="eastAsia" w:ascii="Times New Roman" w:hAnsi="Times New Roman" w:eastAsia="仿宋_GB2312" w:cs="Times New Roman"/>
                <w:sz w:val="20"/>
                <w:szCs w:val="20"/>
                <w:highlight w:val="none"/>
              </w:rPr>
              <w:t>部门</w:t>
            </w:r>
          </w:p>
        </w:tc>
        <w:tc>
          <w:tcPr>
            <w:tcW w:w="6915" w:type="dxa"/>
            <w:noWrap w:val="0"/>
            <w:vAlign w:val="top"/>
          </w:tcPr>
          <w:p>
            <w:pPr>
              <w:spacing w:line="576" w:lineRule="exact"/>
              <w:ind w:right="880" w:rightChars="419"/>
              <w:jc w:val="both"/>
              <w:rPr>
                <w:rFonts w:hint="eastAsia" w:eastAsia="仿宋"/>
                <w:sz w:val="22"/>
                <w:szCs w:val="22"/>
                <w:lang w:eastAsia="zh-CN"/>
              </w:rPr>
            </w:pPr>
            <w:r>
              <w:rPr>
                <w:rFonts w:hint="eastAsia" w:ascii="仿宋" w:hAnsi="仿宋" w:eastAsia="仿宋" w:cs="仿宋"/>
                <w:color w:val="000000"/>
                <w:sz w:val="21"/>
                <w:szCs w:val="21"/>
              </w:rPr>
              <w:t>新田县</w:t>
            </w:r>
            <w:r>
              <w:rPr>
                <w:rFonts w:hint="eastAsia" w:ascii="仿宋" w:hAnsi="仿宋" w:eastAsia="仿宋" w:cs="仿宋"/>
                <w:color w:val="000000"/>
                <w:sz w:val="21"/>
                <w:szCs w:val="21"/>
                <w:lang w:eastAsia="zh-CN"/>
              </w:rPr>
              <w:t>农业农村局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794" w:type="dxa"/>
            <w:vMerge w:val="continue"/>
            <w:noWrap w:val="0"/>
            <w:vAlign w:val="top"/>
          </w:tcPr>
          <w:p>
            <w:pPr>
              <w:rPr>
                <w:rFonts w:eastAsia="仿宋_GB2312"/>
                <w:sz w:val="20"/>
                <w:szCs w:val="20"/>
              </w:rPr>
            </w:pPr>
          </w:p>
        </w:tc>
        <w:tc>
          <w:tcPr>
            <w:tcW w:w="1453" w:type="dxa"/>
            <w:noWrap w:val="0"/>
            <w:vAlign w:val="center"/>
          </w:tcPr>
          <w:p>
            <w:pPr>
              <w:spacing w:line="240" w:lineRule="auto"/>
              <w:jc w:val="center"/>
              <w:rPr>
                <w:rFonts w:eastAsia="仿宋_GB2312"/>
                <w:sz w:val="20"/>
                <w:szCs w:val="20"/>
              </w:rPr>
            </w:pPr>
            <w:r>
              <w:rPr>
                <w:rFonts w:eastAsia="仿宋_GB2312"/>
                <w:sz w:val="20"/>
                <w:szCs w:val="20"/>
                <w:highlight w:val="none"/>
              </w:rPr>
              <w:t>项目立项目的</w:t>
            </w:r>
          </w:p>
        </w:tc>
        <w:tc>
          <w:tcPr>
            <w:tcW w:w="6915" w:type="dxa"/>
            <w:noWrap w:val="0"/>
            <w:vAlign w:val="center"/>
          </w:tcPr>
          <w:p>
            <w:pPr>
              <w:spacing w:line="240" w:lineRule="auto"/>
              <w:ind w:right="0" w:rightChars="0" w:firstLine="420" w:firstLineChars="200"/>
              <w:jc w:val="left"/>
              <w:rPr>
                <w:sz w:val="22"/>
                <w:szCs w:val="22"/>
              </w:rPr>
            </w:pPr>
            <w:r>
              <w:rPr>
                <w:rFonts w:hint="eastAsia" w:ascii="仿宋" w:hAnsi="仿宋" w:eastAsia="仿宋" w:cs="仿宋"/>
                <w:color w:val="000000"/>
                <w:sz w:val="21"/>
                <w:szCs w:val="21"/>
              </w:rPr>
              <w:t>统筹推进，大力实施乡村振兴战略</w:t>
            </w:r>
            <w:r>
              <w:rPr>
                <w:rFonts w:hint="eastAsia" w:ascii="仿宋" w:hAnsi="仿宋" w:eastAsia="仿宋" w:cs="仿宋"/>
                <w:color w:val="000000"/>
                <w:sz w:val="21"/>
                <w:szCs w:val="21"/>
                <w:lang w:eastAsia="zh-CN"/>
              </w:rPr>
              <w:t>。高标准农田建设与新农村建设现代农业产业园相结合；确保受益村农田能得到改造，达到旱能灌、涝能排；建设高标准农田建设面积1.9万亩，其中发展高效节水3000亩；受益人口30806人。大力开展柑橘黄龙病防控工作，全县柑橘木虱得到有效监测，柑橘黄龙病普查率达到100%，病树砍除率达到100%，美丽乡村建设村公园人行步道、塘道路扩宽、村内公共停车场及陈年垃圾清运等，改善村容村貌。</w:t>
            </w:r>
            <w:r>
              <w:rPr>
                <w:rFonts w:hint="eastAsia" w:ascii="仿宋" w:hAnsi="仿宋" w:eastAsia="仿宋" w:cs="仿宋"/>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794" w:type="dxa"/>
            <w:vMerge w:val="restart"/>
            <w:noWrap w:val="0"/>
            <w:vAlign w:val="center"/>
          </w:tcPr>
          <w:p>
            <w:pPr>
              <w:spacing w:line="576" w:lineRule="exact"/>
              <w:jc w:val="center"/>
              <w:rPr>
                <w:rFonts w:eastAsia="仿宋_GB2312"/>
                <w:sz w:val="20"/>
                <w:szCs w:val="20"/>
              </w:rPr>
            </w:pPr>
            <w:r>
              <w:rPr>
                <w:rFonts w:eastAsia="仿宋_GB2312"/>
                <w:sz w:val="20"/>
                <w:szCs w:val="20"/>
              </w:rPr>
              <w:t>绩效情况</w:t>
            </w:r>
          </w:p>
        </w:tc>
        <w:tc>
          <w:tcPr>
            <w:tcW w:w="1453" w:type="dxa"/>
            <w:noWrap w:val="0"/>
            <w:vAlign w:val="center"/>
          </w:tcPr>
          <w:p>
            <w:pPr>
              <w:spacing w:line="240" w:lineRule="auto"/>
              <w:jc w:val="center"/>
              <w:rPr>
                <w:rFonts w:eastAsia="仿宋_GB2312"/>
                <w:sz w:val="20"/>
                <w:szCs w:val="20"/>
              </w:rPr>
            </w:pPr>
            <w:r>
              <w:rPr>
                <w:rFonts w:eastAsia="仿宋_GB2312"/>
                <w:sz w:val="20"/>
                <w:szCs w:val="20"/>
                <w:highlight w:val="none"/>
              </w:rPr>
              <w:t>项目支出管理和使用基本情况</w:t>
            </w:r>
          </w:p>
        </w:tc>
        <w:tc>
          <w:tcPr>
            <w:tcW w:w="6915" w:type="dxa"/>
            <w:noWrap w:val="0"/>
            <w:vAlign w:val="center"/>
          </w:tcPr>
          <w:p>
            <w:pPr>
              <w:spacing w:line="240" w:lineRule="auto"/>
              <w:ind w:right="0" w:rightChars="0"/>
              <w:jc w:val="left"/>
              <w:rPr>
                <w:rFonts w:hint="default" w:eastAsia="仿宋"/>
                <w:sz w:val="22"/>
                <w:szCs w:val="22"/>
                <w:lang w:val="en-US" w:eastAsia="zh-CN"/>
              </w:rPr>
            </w:pP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rPr>
              <w:t>20</w:t>
            </w:r>
            <w:r>
              <w:rPr>
                <w:rFonts w:hint="eastAsia" w:ascii="仿宋" w:hAnsi="仿宋" w:eastAsia="仿宋" w:cs="仿宋"/>
                <w:color w:val="000000"/>
                <w:sz w:val="21"/>
                <w:szCs w:val="21"/>
                <w:lang w:val="en-US" w:eastAsia="zh-CN"/>
              </w:rPr>
              <w:t>24</w:t>
            </w:r>
            <w:r>
              <w:rPr>
                <w:rFonts w:hint="eastAsia" w:ascii="仿宋" w:hAnsi="仿宋" w:eastAsia="仿宋" w:cs="仿宋"/>
                <w:color w:val="000000"/>
                <w:sz w:val="21"/>
                <w:szCs w:val="21"/>
              </w:rPr>
              <w:t>年</w:t>
            </w:r>
            <w:r>
              <w:rPr>
                <w:rFonts w:hint="eastAsia" w:ascii="仿宋" w:hAnsi="仿宋" w:eastAsia="仿宋" w:cs="仿宋"/>
                <w:color w:val="000000"/>
                <w:sz w:val="21"/>
                <w:szCs w:val="21"/>
                <w:lang w:val="en-US" w:eastAsia="zh-CN"/>
              </w:rPr>
              <w:t>农业农村局专项资金共下达14898.4万元，其中农田建设专项项目资金3846万元，.农业社会化及生产救灾补助资金共420万元，帮扶发展资金10632.4万元，主要用于帮扶产业发展重点项目、省队驻村帮扶项目、设施农业建设项目、脱贫农民技能培训等。各专项资金涉及项目已完工，涉及中央资金和省级资金的项目已单独做绩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3" w:hRule="atLeast"/>
        </w:trPr>
        <w:tc>
          <w:tcPr>
            <w:tcW w:w="794" w:type="dxa"/>
            <w:vMerge w:val="continue"/>
            <w:noWrap w:val="0"/>
            <w:vAlign w:val="top"/>
          </w:tcPr>
          <w:p>
            <w:pPr>
              <w:rPr>
                <w:rFonts w:eastAsia="仿宋_GB2312"/>
                <w:sz w:val="20"/>
                <w:szCs w:val="20"/>
              </w:rPr>
            </w:pPr>
          </w:p>
        </w:tc>
        <w:tc>
          <w:tcPr>
            <w:tcW w:w="1453" w:type="dxa"/>
            <w:noWrap w:val="0"/>
            <w:vAlign w:val="center"/>
          </w:tcPr>
          <w:p>
            <w:pPr>
              <w:spacing w:line="240" w:lineRule="auto"/>
              <w:jc w:val="center"/>
              <w:rPr>
                <w:rFonts w:eastAsia="仿宋_GB2312"/>
                <w:sz w:val="20"/>
                <w:szCs w:val="20"/>
              </w:rPr>
            </w:pPr>
            <w:r>
              <w:rPr>
                <w:rFonts w:eastAsia="仿宋_GB2312"/>
                <w:sz w:val="20"/>
                <w:szCs w:val="20"/>
                <w:highlight w:val="none"/>
              </w:rPr>
              <w:t>项目绩效目标完成情况</w:t>
            </w:r>
          </w:p>
        </w:tc>
        <w:tc>
          <w:tcPr>
            <w:tcW w:w="6915" w:type="dxa"/>
            <w:noWrap w:val="0"/>
            <w:vAlign w:val="center"/>
          </w:tcPr>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   1.项目入库：专项资金项目按照申报、审核、批复等程序进行入库和确定，确保项目的科学性和合理性。</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2.项目个数：2024年共确定专项资金项目62个，主要包括建设项目37个、奖补项目23个、教育培训项目2个等。</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3.项目内容：</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新田县湖南欧龙祥生态茶业有限公司硒山茶加工厂提质改造及茶园架设项目：主要建设内容为厂房1栋、水肥一体化灌溉设施1套、冷库建设1栋、茶叶加工设备若干等，投资县级资金80万元，预计项目实施后新增就业人数30人以上。</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野乐村抗旱救灾项目：电排建设一座、水池建设一座、管道安装1100米等，塘罗村抗旱救灾项目：电排建设二座、管道安装1990米、涵管维修等，石门头村、祖亭下村抗旱救灾项目;电排建设一座、管道安装1900米等,骆铭孙村抗旱救灾项目:水源点石方开挖、水井套管等,白杜村抗旱救灾项目:水池建设一座、管道安装130米等。</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2024年农田建设项目：提升2024年高标准农田建设标准，完善1.9万亩农田的渠道、机耕道、山塘、河坝等基础设施建设。</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小型农业水利设施项目：山塘清淤维修80处，渠道改造7km。</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新田县山田湾村美丽乡村建设项目：美丽屋场建设，村内背街小巷硬化，排水沟修葺，油菜苔蔬菜产业基地基础设施建设，安全饮水工程等。</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新型经营主体贷款贴息：改善农业生产条件所必须的基础设施建设;购买饲料、种苗、化肥、农药等农资;农业生产设施(含畜禽舍、机库棚等)以及农产品加工、储藏、运输等装备设施建设。</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帮扶产业发展重点项目：龙头企业2家、合作社8家，厂房2栋、水肥一体化灌溉设施1套、冷库建设1栋、茶叶加工设备若干等。</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省队驻村帮扶项目：</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设施农业建设项目：2400平方米钢架玻璃大棚及各类种植辅助设施、普通大棚14000平方米及配套水肥一体化设施等。</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雨露计划：技术帮扶资助就读中职、高职、技工、技师学院的脱贫户学生约6000人。</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（五）.项目开工率和完工率：截至2024年底，已开工项目62个，开工率为100%；完工项目62个，完工率为100%。未完工项目主要是由于。</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（六）目标的实现程度，以及影响绩效目标实现的因素</w:t>
            </w:r>
          </w:p>
          <w:p>
            <w:pPr>
              <w:spacing w:line="240" w:lineRule="auto"/>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1.目标实现程度：通过自评，专项资金的绩效目标总体完成情况较好，完成了100%。项目进度100%。</w:t>
            </w:r>
          </w:p>
          <w:p>
            <w:pPr>
              <w:spacing w:line="240" w:lineRule="auto"/>
              <w:ind w:right="0" w:rightChars="0"/>
              <w:jc w:val="left"/>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94" w:type="dxa"/>
            <w:vMerge w:val="restart"/>
            <w:noWrap w:val="0"/>
            <w:vAlign w:val="center"/>
          </w:tcPr>
          <w:p>
            <w:pPr>
              <w:spacing w:line="576" w:lineRule="exact"/>
              <w:jc w:val="center"/>
              <w:rPr>
                <w:rFonts w:eastAsia="仿宋_GB2312"/>
                <w:sz w:val="20"/>
                <w:szCs w:val="20"/>
              </w:rPr>
            </w:pPr>
            <w:r>
              <w:rPr>
                <w:rFonts w:eastAsia="仿宋_GB2312"/>
                <w:sz w:val="20"/>
                <w:szCs w:val="20"/>
              </w:rPr>
              <w:t>存在的问题分析及改进措施</w:t>
            </w:r>
          </w:p>
        </w:tc>
        <w:tc>
          <w:tcPr>
            <w:tcW w:w="1453" w:type="dxa"/>
            <w:noWrap w:val="0"/>
            <w:vAlign w:val="center"/>
          </w:tcPr>
          <w:p>
            <w:pPr>
              <w:spacing w:line="240" w:lineRule="auto"/>
              <w:jc w:val="center"/>
              <w:rPr>
                <w:rFonts w:eastAsia="仿宋_GB2312"/>
                <w:sz w:val="20"/>
                <w:szCs w:val="20"/>
              </w:rPr>
            </w:pPr>
            <w:r>
              <w:rPr>
                <w:rFonts w:eastAsia="仿宋_GB2312"/>
                <w:sz w:val="20"/>
                <w:szCs w:val="20"/>
                <w:highlight w:val="none"/>
              </w:rPr>
              <w:t>存在的问题</w:t>
            </w:r>
          </w:p>
        </w:tc>
        <w:tc>
          <w:tcPr>
            <w:tcW w:w="6915" w:type="dxa"/>
            <w:noWrap w:val="0"/>
            <w:vAlign w:val="center"/>
          </w:tcPr>
          <w:p>
            <w:pPr>
              <w:spacing w:line="240" w:lineRule="auto"/>
              <w:ind w:right="0" w:rightChars="0"/>
              <w:jc w:val="both"/>
              <w:rPr>
                <w:sz w:val="22"/>
                <w:szCs w:val="22"/>
                <w:highlight w:val="none"/>
              </w:rPr>
            </w:pPr>
          </w:p>
          <w:p>
            <w:pPr>
              <w:spacing w:line="240" w:lineRule="auto"/>
              <w:ind w:right="0" w:rightChars="0"/>
              <w:jc w:val="both"/>
              <w:rPr>
                <w:sz w:val="22"/>
                <w:szCs w:val="22"/>
              </w:rPr>
            </w:pPr>
            <w:r>
              <w:rPr>
                <w:rFonts w:hint="eastAsia" w:ascii="仿宋" w:hAnsi="仿宋" w:eastAsia="仿宋" w:cs="仿宋"/>
                <w:color w:val="000000"/>
                <w:sz w:val="21"/>
                <w:szCs w:val="21"/>
                <w:lang w:val="en-US" w:eastAsia="zh-CN"/>
              </w:rPr>
              <w:t>大部分项目实施单位缺乏专业知识和经验，导致资金拨付资料不齐全；小部分项目受到施工环境影响，如气候、地形等，导致项目进度滞后，影响了拨付目标的实现。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9" w:hRule="atLeast"/>
        </w:trPr>
        <w:tc>
          <w:tcPr>
            <w:tcW w:w="794" w:type="dxa"/>
            <w:vMerge w:val="continue"/>
            <w:noWrap w:val="0"/>
            <w:vAlign w:val="top"/>
          </w:tcPr>
          <w:p>
            <w:pPr>
              <w:rPr>
                <w:rFonts w:eastAsia="仿宋_GB2312"/>
                <w:sz w:val="20"/>
                <w:szCs w:val="20"/>
              </w:rPr>
            </w:pPr>
          </w:p>
        </w:tc>
        <w:tc>
          <w:tcPr>
            <w:tcW w:w="1453" w:type="dxa"/>
            <w:noWrap w:val="0"/>
            <w:vAlign w:val="center"/>
          </w:tcPr>
          <w:p>
            <w:pPr>
              <w:spacing w:line="240" w:lineRule="auto"/>
              <w:jc w:val="center"/>
              <w:rPr>
                <w:rFonts w:eastAsia="仿宋_GB2312"/>
                <w:sz w:val="20"/>
                <w:szCs w:val="20"/>
              </w:rPr>
            </w:pPr>
            <w:r>
              <w:rPr>
                <w:rFonts w:eastAsia="仿宋_GB2312"/>
                <w:sz w:val="20"/>
                <w:szCs w:val="20"/>
                <w:highlight w:val="none"/>
              </w:rPr>
              <w:t>改进措施</w:t>
            </w:r>
          </w:p>
        </w:tc>
        <w:tc>
          <w:tcPr>
            <w:tcW w:w="6915" w:type="dxa"/>
            <w:noWrap w:val="0"/>
            <w:vAlign w:val="center"/>
          </w:tcPr>
          <w:p>
            <w:pPr>
              <w:tabs>
                <w:tab w:val="left" w:pos="352"/>
              </w:tabs>
              <w:spacing w:line="240" w:lineRule="auto"/>
              <w:ind w:right="0" w:rightChars="0"/>
              <w:jc w:val="left"/>
              <w:rPr>
                <w:rFonts w:hint="eastAsia" w:eastAsia="仿宋_GB2312"/>
                <w:sz w:val="20"/>
                <w:szCs w:val="20"/>
                <w:highlight w:val="none"/>
                <w:lang w:eastAsia="zh-CN"/>
              </w:rPr>
            </w:pPr>
            <w:r>
              <w:rPr>
                <w:rFonts w:hint="eastAsia" w:eastAsia="仿宋_GB2312"/>
                <w:sz w:val="20"/>
                <w:szCs w:val="20"/>
                <w:highlight w:val="none"/>
                <w:lang w:eastAsia="zh-CN"/>
              </w:rPr>
              <w:tab/>
            </w:r>
            <w:r>
              <w:rPr>
                <w:rFonts w:hint="eastAsia" w:eastAsia="仿宋_GB2312"/>
                <w:sz w:val="20"/>
                <w:szCs w:val="20"/>
                <w:highlight w:val="none"/>
                <w:lang w:eastAsia="zh-CN"/>
              </w:rPr>
              <w:t>1.加强资金管理：提高其预算进一步加强实施单位编制和管理能力，提高资料的精准性，加强预资料收集，确保资金支出进度。对不符合规定资料及时进行纠正和退回，对退回的资料进行催促提交。</w:t>
            </w:r>
          </w:p>
          <w:p>
            <w:pPr>
              <w:tabs>
                <w:tab w:val="left" w:pos="352"/>
              </w:tabs>
              <w:spacing w:line="240" w:lineRule="auto"/>
              <w:ind w:right="0" w:rightChars="0"/>
              <w:jc w:val="left"/>
              <w:rPr>
                <w:rFonts w:hint="eastAsia" w:eastAsia="仿宋_GB2312"/>
                <w:sz w:val="20"/>
                <w:szCs w:val="20"/>
                <w:highlight w:val="none"/>
                <w:lang w:eastAsia="zh-CN"/>
              </w:rPr>
            </w:pPr>
            <w:r>
              <w:rPr>
                <w:rFonts w:hint="eastAsia" w:eastAsia="仿宋_GB2312"/>
                <w:sz w:val="20"/>
                <w:szCs w:val="20"/>
                <w:highlight w:val="none"/>
                <w:lang w:eastAsia="zh-CN"/>
              </w:rPr>
              <w:t>2.规范项目管理：建立健全项目管理体系，明确项目实施过程中的责任分工，加强对项目进度、质量和安全等方面的监督检查，定期进行项目评估和验收。</w:t>
            </w:r>
          </w:p>
          <w:p>
            <w:pPr>
              <w:tabs>
                <w:tab w:val="left" w:pos="352"/>
              </w:tabs>
              <w:spacing w:line="240" w:lineRule="auto"/>
              <w:ind w:right="0" w:rightChars="0"/>
              <w:jc w:val="left"/>
              <w:rPr>
                <w:sz w:val="22"/>
                <w:szCs w:val="22"/>
              </w:rPr>
            </w:pPr>
            <w:r>
              <w:rPr>
                <w:rFonts w:hint="eastAsia" w:eastAsia="仿宋_GB2312"/>
                <w:sz w:val="20"/>
                <w:szCs w:val="20"/>
                <w:highlight w:val="none"/>
                <w:lang w:eastAsia="zh-CN"/>
              </w:rPr>
              <w:t>3.强化政策执行：组织相关人员加强对政策的学习和培训，确保政策理解和执行的一致性。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794" w:type="dxa"/>
            <w:noWrap w:val="0"/>
            <w:vAlign w:val="top"/>
          </w:tcPr>
          <w:p>
            <w:pPr>
              <w:rPr>
                <w:rFonts w:eastAsia="仿宋_GB2312"/>
                <w:sz w:val="20"/>
                <w:szCs w:val="20"/>
              </w:rPr>
            </w:pPr>
          </w:p>
        </w:tc>
        <w:tc>
          <w:tcPr>
            <w:tcW w:w="1453" w:type="dxa"/>
            <w:noWrap w:val="0"/>
            <w:vAlign w:val="center"/>
          </w:tcPr>
          <w:p>
            <w:pPr>
              <w:spacing w:line="240" w:lineRule="auto"/>
              <w:jc w:val="center"/>
              <w:rPr>
                <w:rFonts w:eastAsia="仿宋_GB2312"/>
                <w:kern w:val="2"/>
                <w:sz w:val="20"/>
                <w:szCs w:val="20"/>
                <w:highlight w:val="none"/>
                <w:lang w:val="en-US" w:eastAsia="zh-CN" w:bidi="ar-SA"/>
              </w:rPr>
            </w:pPr>
            <w:r>
              <w:rPr>
                <w:rFonts w:eastAsia="仿宋_GB2312"/>
                <w:sz w:val="20"/>
                <w:szCs w:val="20"/>
                <w:highlight w:val="none"/>
              </w:rPr>
              <w:t>其他需要说明问题</w:t>
            </w:r>
          </w:p>
        </w:tc>
        <w:tc>
          <w:tcPr>
            <w:tcW w:w="6915" w:type="dxa"/>
            <w:noWrap w:val="0"/>
            <w:vAlign w:val="center"/>
          </w:tcPr>
          <w:p>
            <w:pPr>
              <w:spacing w:line="240" w:lineRule="auto"/>
              <w:jc w:val="center"/>
              <w:rPr>
                <w:rFonts w:hint="eastAsia" w:eastAsia="仿宋_GB2312"/>
                <w:sz w:val="20"/>
                <w:szCs w:val="20"/>
                <w:highlight w:val="none"/>
              </w:rPr>
            </w:pPr>
          </w:p>
          <w:p>
            <w:pPr>
              <w:spacing w:line="240" w:lineRule="auto"/>
              <w:jc w:val="center"/>
              <w:rPr>
                <w:rFonts w:hint="eastAsia" w:eastAsia="仿宋_GB2312"/>
                <w:sz w:val="20"/>
                <w:szCs w:val="20"/>
                <w:highlight w:val="none"/>
                <w:lang w:eastAsia="zh-CN"/>
              </w:rPr>
            </w:pPr>
            <w:r>
              <w:rPr>
                <w:rFonts w:hint="eastAsia" w:eastAsia="仿宋_GB2312"/>
                <w:sz w:val="20"/>
                <w:szCs w:val="20"/>
                <w:highlight w:val="none"/>
                <w:lang w:eastAsia="zh-CN"/>
              </w:rPr>
              <w:tab/>
            </w:r>
            <w:r>
              <w:rPr>
                <w:rFonts w:hint="eastAsia" w:eastAsia="仿宋_GB2312"/>
                <w:sz w:val="20"/>
                <w:szCs w:val="20"/>
                <w:highlight w:val="none"/>
                <w:lang w:eastAsia="zh-CN"/>
              </w:rPr>
              <w:t>无其他说明问题</w:t>
            </w:r>
          </w:p>
          <w:p>
            <w:pPr>
              <w:ind w:firstLine="180" w:firstLineChars="100"/>
              <w:rPr>
                <w:rFonts w:hint="eastAsia" w:ascii="宋体" w:hAnsi="宋体" w:eastAsia="宋体" w:cs="宋体"/>
                <w:color w:val="000000"/>
                <w:kern w:val="0"/>
                <w:sz w:val="18"/>
                <w:szCs w:val="18"/>
                <w:lang w:val="en-US" w:eastAsia="zh-CN" w:bidi="ar-SA"/>
              </w:rPr>
            </w:pPr>
          </w:p>
        </w:tc>
      </w:tr>
    </w:tbl>
    <w:p>
      <w:pPr>
        <w:spacing w:line="320" w:lineRule="atLeast"/>
        <w:jc w:val="left"/>
        <w:rPr>
          <w:rFonts w:eastAsia="仿宋_GB2312"/>
          <w:sz w:val="20"/>
          <w:szCs w:val="20"/>
        </w:rPr>
      </w:pPr>
      <w:r>
        <w:rPr>
          <w:rFonts w:eastAsia="仿宋_GB2312"/>
          <w:sz w:val="20"/>
          <w:szCs w:val="20"/>
        </w:rPr>
        <w:t>备注：每个项目支出分别填报自评报告和自评表。</w:t>
      </w:r>
    </w:p>
    <w:p>
      <w:pPr>
        <w:snapToGrid w:val="0"/>
        <w:spacing w:line="380" w:lineRule="atLeast"/>
        <w:rPr>
          <w:rFonts w:hint="eastAsia" w:eastAsia="仿宋_GB2312"/>
          <w:sz w:val="22"/>
          <w:szCs w:val="22"/>
          <w:lang w:val="en-US" w:eastAsia="zh-CN"/>
        </w:rPr>
      </w:pPr>
      <w:r>
        <w:rPr>
          <w:rFonts w:eastAsia="仿宋_GB2312"/>
          <w:sz w:val="20"/>
          <w:szCs w:val="20"/>
        </w:rPr>
        <w:t>填表人：</w:t>
      </w:r>
      <w:r>
        <w:rPr>
          <w:rFonts w:hint="eastAsia" w:eastAsia="仿宋_GB2312"/>
          <w:sz w:val="20"/>
          <w:szCs w:val="20"/>
          <w:lang w:val="en-US" w:eastAsia="zh-CN"/>
        </w:rPr>
        <w:t xml:space="preserve">骆普雄 </w:t>
      </w:r>
      <w:r>
        <w:rPr>
          <w:rFonts w:eastAsia="仿宋_GB2312"/>
          <w:sz w:val="20"/>
          <w:szCs w:val="20"/>
        </w:rPr>
        <w:t xml:space="preserve"> 填报日期：</w:t>
      </w:r>
      <w:r>
        <w:rPr>
          <w:rFonts w:hint="eastAsia" w:eastAsia="仿宋_GB2312"/>
          <w:sz w:val="20"/>
          <w:szCs w:val="20"/>
          <w:lang w:val="en-US" w:eastAsia="zh-CN"/>
        </w:rPr>
        <w:t xml:space="preserve">2025.06.12 </w:t>
      </w:r>
      <w:r>
        <w:rPr>
          <w:rFonts w:eastAsia="仿宋_GB2312"/>
          <w:sz w:val="20"/>
          <w:szCs w:val="20"/>
        </w:rPr>
        <w:t>联系电话：</w:t>
      </w:r>
      <w:r>
        <w:rPr>
          <w:rFonts w:hint="eastAsia" w:eastAsia="仿宋_GB2312"/>
          <w:sz w:val="20"/>
          <w:szCs w:val="20"/>
          <w:lang w:val="en-US" w:eastAsia="zh-CN"/>
        </w:rPr>
        <w:t>13013813329</w:t>
      </w:r>
      <w:r>
        <w:rPr>
          <w:rFonts w:eastAsia="仿宋_GB2312"/>
          <w:sz w:val="20"/>
          <w:szCs w:val="20"/>
        </w:rPr>
        <w:t xml:space="preserve"> </w:t>
      </w:r>
      <w:r>
        <w:rPr>
          <w:rFonts w:hint="eastAsia" w:eastAsia="仿宋_GB2312"/>
          <w:sz w:val="20"/>
          <w:szCs w:val="20"/>
          <w:lang w:val="en-US" w:eastAsia="zh-CN"/>
        </w:rPr>
        <w:t xml:space="preserve"> </w:t>
      </w:r>
      <w:r>
        <w:rPr>
          <w:rFonts w:eastAsia="仿宋_GB2312"/>
          <w:sz w:val="20"/>
          <w:szCs w:val="20"/>
        </w:rPr>
        <w:t>单位负责人签字：</w:t>
      </w:r>
      <w:r>
        <w:rPr>
          <w:rFonts w:hint="eastAsia" w:eastAsia="仿宋_GB2312"/>
          <w:sz w:val="20"/>
          <w:szCs w:val="20"/>
          <w:lang w:val="en-US" w:eastAsia="zh-CN"/>
        </w:rPr>
        <w:t>郑海波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MzU2MmJlNDM0Y2VjYmEwMDFlMDkzZWMwZjgwMWUifQ=="/>
  </w:docVars>
  <w:rsids>
    <w:rsidRoot w:val="00000000"/>
    <w:rsid w:val="045A4FDF"/>
    <w:rsid w:val="112D7B6F"/>
    <w:rsid w:val="1ADD2620"/>
    <w:rsid w:val="22515E50"/>
    <w:rsid w:val="228125A6"/>
    <w:rsid w:val="25975387"/>
    <w:rsid w:val="2F6B687A"/>
    <w:rsid w:val="44C57628"/>
    <w:rsid w:val="4A8925F8"/>
    <w:rsid w:val="71EE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样式2"/>
    <w:basedOn w:val="1"/>
    <w:autoRedefine/>
    <w:qFormat/>
    <w:uiPriority w:val="0"/>
    <w:pPr>
      <w:widowControl/>
      <w:shd w:val="clear" w:color="auto" w:fill="FFFFFF"/>
      <w:spacing w:before="100" w:beforeAutospacing="1" w:after="100" w:afterAutospacing="1"/>
      <w:ind w:left="562"/>
      <w:jc w:val="center"/>
    </w:pPr>
    <w:rPr>
      <w:rFonts w:ascii="宋体" w:hAnsi="宋体"/>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1028</Characters>
  <Lines>0</Lines>
  <Paragraphs>0</Paragraphs>
  <TotalTime>1</TotalTime>
  <ScaleCrop>false</ScaleCrop>
  <LinksUpToDate>false</LinksUpToDate>
  <CharactersWithSpaces>1045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2024-05-25T13:05:00Z</dcterms:created>
  <dc:creator>10958</dc:creator>
  <cp:lastModifiedBy>Harrivansa</cp:lastModifiedBy>
  <cp:lastPrinted>2025-06-18T06:53:47Z</cp:lastPrinted>
  <dcterms:modified xsi:type="dcterms:W3CDTF">2025-06-18T06:54:07Z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CDBBC0F5F72844D1B5F491BC8E4E4A29_13</vt:lpwstr>
  </property>
  <property fmtid="{D5CDD505-2E9C-101B-9397-08002B2CF9AE}" pid="4" name="KSOTemplateDocerSaveRecord">
    <vt:lpwstr>eyJoZGlkIjoiYjA2MmRhMmY4MjQ1YzlmMWMxZjJjZDdjMjJmODQ5YjYiLCJ1c2VySWQiOiIzOTE1MjIwOTcifQ==</vt:lpwstr>
  </property>
</Properties>
</file>