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CB" w:rsidRPr="001447F3" w:rsidRDefault="00167DCB" w:rsidP="00167DCB">
      <w:pPr>
        <w:rPr>
          <w:rFonts w:ascii="仿宋" w:eastAsia="仿宋" w:hAnsi="仿宋"/>
          <w:sz w:val="32"/>
          <w:szCs w:val="32"/>
        </w:rPr>
      </w:pPr>
      <w:r w:rsidRPr="001447F3">
        <w:rPr>
          <w:rFonts w:ascii="仿宋" w:eastAsia="仿宋" w:hAnsi="仿宋"/>
          <w:sz w:val="32"/>
          <w:szCs w:val="32"/>
        </w:rPr>
        <w:t>附件1</w:t>
      </w:r>
    </w:p>
    <w:p w:rsidR="00167DCB" w:rsidRPr="001447F3" w:rsidRDefault="00167DCB" w:rsidP="00167DCB">
      <w:pPr>
        <w:spacing w:line="600" w:lineRule="exact"/>
        <w:rPr>
          <w:rFonts w:ascii="仿宋" w:eastAsia="仿宋" w:hAnsi="仿宋"/>
          <w:sz w:val="32"/>
          <w:szCs w:val="32"/>
        </w:rPr>
      </w:pPr>
    </w:p>
    <w:p w:rsidR="00167DCB" w:rsidRPr="001447F3" w:rsidRDefault="00167DCB" w:rsidP="00167DCB">
      <w:pPr>
        <w:spacing w:line="600" w:lineRule="exact"/>
        <w:rPr>
          <w:rFonts w:ascii="仿宋" w:eastAsia="仿宋" w:hAnsi="仿宋"/>
          <w:sz w:val="32"/>
          <w:szCs w:val="32"/>
        </w:rPr>
      </w:pPr>
    </w:p>
    <w:p w:rsidR="00167DCB" w:rsidRPr="001447F3" w:rsidRDefault="00167DCB" w:rsidP="00167DCB">
      <w:pPr>
        <w:spacing w:line="600" w:lineRule="exact"/>
        <w:rPr>
          <w:rFonts w:ascii="仿宋" w:eastAsia="仿宋" w:hAnsi="仿宋"/>
          <w:sz w:val="32"/>
          <w:szCs w:val="32"/>
        </w:rPr>
      </w:pPr>
    </w:p>
    <w:p w:rsidR="00167DCB" w:rsidRPr="00973210" w:rsidRDefault="00167DCB" w:rsidP="00167DCB">
      <w:pPr>
        <w:jc w:val="center"/>
        <w:rPr>
          <w:rFonts w:ascii="黑体" w:eastAsia="黑体" w:hAnsi="黑体" w:hint="eastAsia"/>
          <w:sz w:val="52"/>
          <w:szCs w:val="52"/>
        </w:rPr>
      </w:pPr>
      <w:r w:rsidRPr="00973210">
        <w:rPr>
          <w:rFonts w:ascii="黑体" w:eastAsia="黑体" w:hAnsi="黑体" w:hint="eastAsia"/>
          <w:sz w:val="52"/>
          <w:szCs w:val="52"/>
        </w:rPr>
        <w:t>2023年度新田县劳动人事争议仲裁院部门（单位）整体支出绩效自评报告</w:t>
      </w:r>
    </w:p>
    <w:p w:rsidR="00167DCB" w:rsidRPr="001447F3" w:rsidRDefault="00167DCB" w:rsidP="00167DCB">
      <w:pPr>
        <w:jc w:val="center"/>
        <w:rPr>
          <w:rFonts w:ascii="仿宋" w:eastAsia="仿宋" w:hAnsi="仿宋"/>
          <w:b/>
          <w:sz w:val="52"/>
          <w:szCs w:val="5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b/>
          <w:sz w:val="32"/>
          <w:szCs w:val="32"/>
        </w:rPr>
      </w:pPr>
    </w:p>
    <w:p w:rsidR="00167DCB" w:rsidRPr="001447F3" w:rsidRDefault="00167DCB" w:rsidP="00167DCB">
      <w:pPr>
        <w:jc w:val="center"/>
        <w:rPr>
          <w:rFonts w:ascii="仿宋" w:eastAsia="仿宋" w:hAnsi="仿宋"/>
          <w:sz w:val="32"/>
          <w:szCs w:val="32"/>
        </w:rPr>
      </w:pPr>
    </w:p>
    <w:p w:rsidR="00167DCB" w:rsidRPr="001447F3" w:rsidRDefault="00167DCB" w:rsidP="00167DCB">
      <w:pPr>
        <w:jc w:val="center"/>
        <w:rPr>
          <w:rFonts w:ascii="仿宋" w:eastAsia="仿宋" w:hAnsi="仿宋"/>
          <w:sz w:val="32"/>
          <w:szCs w:val="32"/>
        </w:rPr>
      </w:pPr>
    </w:p>
    <w:p w:rsidR="00167DCB" w:rsidRPr="001447F3" w:rsidRDefault="00167DCB" w:rsidP="00167DCB">
      <w:pPr>
        <w:spacing w:line="600" w:lineRule="exact"/>
        <w:jc w:val="center"/>
        <w:rPr>
          <w:rFonts w:ascii="仿宋" w:eastAsia="仿宋" w:hAnsi="仿宋"/>
          <w:sz w:val="32"/>
          <w:szCs w:val="32"/>
          <w:u w:val="single"/>
        </w:rPr>
      </w:pPr>
      <w:r w:rsidRPr="001447F3">
        <w:rPr>
          <w:rFonts w:ascii="仿宋" w:eastAsia="仿宋" w:hAnsi="仿宋"/>
          <w:sz w:val="32"/>
          <w:szCs w:val="32"/>
        </w:rPr>
        <w:t>单位名称：</w:t>
      </w:r>
      <w:r w:rsidRPr="001447F3">
        <w:rPr>
          <w:rFonts w:ascii="仿宋" w:eastAsia="仿宋" w:hAnsi="仿宋"/>
          <w:sz w:val="32"/>
          <w:szCs w:val="32"/>
          <w:u w:val="single"/>
        </w:rPr>
        <w:t>（盖章）</w:t>
      </w:r>
    </w:p>
    <w:p w:rsidR="00167DCB" w:rsidRPr="001447F3" w:rsidRDefault="00167DCB" w:rsidP="00167DCB">
      <w:pPr>
        <w:spacing w:line="600" w:lineRule="exact"/>
        <w:ind w:firstLineChars="1000" w:firstLine="3200"/>
        <w:rPr>
          <w:rFonts w:ascii="仿宋" w:eastAsia="仿宋" w:hAnsi="仿宋"/>
          <w:sz w:val="32"/>
          <w:szCs w:val="32"/>
        </w:rPr>
      </w:pPr>
      <w:r w:rsidRPr="001447F3">
        <w:rPr>
          <w:rFonts w:ascii="仿宋" w:eastAsia="仿宋" w:hAnsi="仿宋" w:hint="eastAsia"/>
          <w:sz w:val="32"/>
          <w:szCs w:val="32"/>
        </w:rPr>
        <w:t>2024</w:t>
      </w:r>
      <w:r w:rsidRPr="001447F3">
        <w:rPr>
          <w:rFonts w:ascii="仿宋" w:eastAsia="仿宋" w:hAnsi="仿宋"/>
          <w:sz w:val="32"/>
          <w:szCs w:val="32"/>
        </w:rPr>
        <w:t>年</w:t>
      </w:r>
      <w:r w:rsidRPr="001447F3">
        <w:rPr>
          <w:rFonts w:ascii="仿宋" w:eastAsia="仿宋" w:hAnsi="仿宋" w:hint="eastAsia"/>
          <w:sz w:val="32"/>
          <w:szCs w:val="32"/>
        </w:rPr>
        <w:t>5</w:t>
      </w:r>
      <w:r w:rsidRPr="001447F3">
        <w:rPr>
          <w:rFonts w:ascii="仿宋" w:eastAsia="仿宋" w:hAnsi="仿宋"/>
          <w:sz w:val="32"/>
          <w:szCs w:val="32"/>
        </w:rPr>
        <w:t>月</w:t>
      </w:r>
      <w:r w:rsidRPr="001447F3">
        <w:rPr>
          <w:rFonts w:ascii="仿宋" w:eastAsia="仿宋" w:hAnsi="仿宋" w:hint="eastAsia"/>
          <w:sz w:val="32"/>
          <w:szCs w:val="32"/>
        </w:rPr>
        <w:t>29</w:t>
      </w:r>
      <w:r w:rsidRPr="001447F3">
        <w:rPr>
          <w:rFonts w:ascii="仿宋" w:eastAsia="仿宋" w:hAnsi="仿宋"/>
          <w:sz w:val="32"/>
          <w:szCs w:val="32"/>
        </w:rPr>
        <w:t>日</w:t>
      </w:r>
    </w:p>
    <w:p w:rsidR="00167DCB" w:rsidRPr="001447F3" w:rsidRDefault="00167DCB" w:rsidP="00167DCB">
      <w:pPr>
        <w:jc w:val="center"/>
        <w:rPr>
          <w:rFonts w:ascii="仿宋" w:eastAsia="仿宋" w:hAnsi="仿宋"/>
          <w:sz w:val="32"/>
          <w:szCs w:val="32"/>
        </w:rPr>
      </w:pPr>
    </w:p>
    <w:p w:rsidR="00167DCB" w:rsidRPr="001447F3" w:rsidRDefault="00167DCB" w:rsidP="00167DCB">
      <w:pPr>
        <w:jc w:val="center"/>
        <w:rPr>
          <w:rFonts w:ascii="仿宋" w:eastAsia="仿宋" w:hAnsi="仿宋"/>
          <w:sz w:val="32"/>
          <w:szCs w:val="32"/>
        </w:rPr>
      </w:pPr>
      <w:r w:rsidRPr="001447F3">
        <w:rPr>
          <w:rFonts w:ascii="仿宋" w:eastAsia="仿宋" w:hAnsi="仿宋"/>
          <w:sz w:val="32"/>
          <w:szCs w:val="32"/>
        </w:rPr>
        <w:t>（此页为封面）</w:t>
      </w:r>
    </w:p>
    <w:p w:rsidR="00167DCB" w:rsidRPr="001447F3" w:rsidRDefault="00167DCB" w:rsidP="00167DCB">
      <w:pPr>
        <w:spacing w:line="460" w:lineRule="exact"/>
        <w:ind w:firstLineChars="200" w:firstLine="640"/>
        <w:rPr>
          <w:rFonts w:ascii="仿宋" w:eastAsia="仿宋" w:hAnsi="仿宋"/>
          <w:sz w:val="32"/>
          <w:szCs w:val="32"/>
        </w:rPr>
      </w:pPr>
      <w:r w:rsidRPr="001447F3">
        <w:rPr>
          <w:rFonts w:ascii="仿宋" w:eastAsia="仿宋" w:hAnsi="仿宋"/>
          <w:sz w:val="32"/>
          <w:szCs w:val="32"/>
        </w:rPr>
        <w:br w:type="page"/>
      </w:r>
      <w:r w:rsidRPr="001447F3">
        <w:rPr>
          <w:rFonts w:ascii="仿宋" w:eastAsia="仿宋" w:hAnsi="仿宋" w:cs="黑体" w:hint="eastAsia"/>
          <w:sz w:val="32"/>
          <w:szCs w:val="32"/>
        </w:rPr>
        <w:lastRenderedPageBreak/>
        <w:t>一、</w:t>
      </w:r>
      <w:r w:rsidRPr="001447F3">
        <w:rPr>
          <w:rFonts w:ascii="仿宋" w:eastAsia="仿宋" w:hAnsi="仿宋"/>
          <w:sz w:val="32"/>
          <w:szCs w:val="32"/>
        </w:rPr>
        <w:t>部门（单位）基本情况</w:t>
      </w:r>
    </w:p>
    <w:p w:rsidR="00167DCB" w:rsidRPr="001447F3" w:rsidRDefault="00167DCB" w:rsidP="00167DCB">
      <w:pPr>
        <w:widowControl/>
        <w:wordWrap w:val="0"/>
        <w:spacing w:line="520" w:lineRule="exact"/>
        <w:ind w:firstLineChars="100" w:firstLine="320"/>
        <w:jc w:val="left"/>
        <w:rPr>
          <w:rFonts w:ascii="仿宋" w:eastAsia="仿宋" w:hAnsi="仿宋" w:cs="宋体"/>
          <w:kern w:val="0"/>
          <w:sz w:val="32"/>
          <w:szCs w:val="32"/>
        </w:rPr>
      </w:pPr>
      <w:r w:rsidRPr="001447F3">
        <w:rPr>
          <w:rFonts w:ascii="仿宋" w:eastAsia="仿宋" w:hAnsi="仿宋" w:hint="eastAsia"/>
          <w:sz w:val="32"/>
          <w:szCs w:val="32"/>
        </w:rPr>
        <w:t>（一）部门（单位）职能职责、机构编制、人员构成等。</w:t>
      </w:r>
      <w:r w:rsidRPr="001447F3">
        <w:rPr>
          <w:rFonts w:ascii="仿宋" w:eastAsia="仿宋" w:hAnsi="仿宋" w:cs="宋体" w:hint="eastAsia"/>
          <w:kern w:val="0"/>
          <w:sz w:val="32"/>
          <w:szCs w:val="32"/>
        </w:rPr>
        <w:t>（一）单位职责</w:t>
      </w:r>
    </w:p>
    <w:p w:rsidR="00167DCB" w:rsidRPr="001447F3" w:rsidRDefault="00167DCB" w:rsidP="00167DCB">
      <w:pPr>
        <w:widowControl/>
        <w:wordWrap w:val="0"/>
        <w:spacing w:line="520" w:lineRule="exact"/>
        <w:ind w:firstLineChars="200" w:firstLine="640"/>
        <w:jc w:val="left"/>
        <w:rPr>
          <w:rFonts w:ascii="仿宋" w:eastAsia="仿宋" w:hAnsi="仿宋" w:cs="宋体"/>
          <w:kern w:val="0"/>
          <w:sz w:val="32"/>
          <w:szCs w:val="32"/>
        </w:rPr>
      </w:pPr>
      <w:r w:rsidRPr="001447F3">
        <w:rPr>
          <w:rFonts w:ascii="仿宋" w:eastAsia="仿宋" w:hAnsi="仿宋" w:cs="宋体" w:hint="eastAsia"/>
          <w:kern w:val="0"/>
          <w:sz w:val="32"/>
          <w:szCs w:val="32"/>
        </w:rPr>
        <w:t>1、传达、贯彻人事、劳动保障和人事劳动争议仲裁等法律法规；</w:t>
      </w:r>
    </w:p>
    <w:p w:rsidR="00167DCB" w:rsidRPr="001447F3" w:rsidRDefault="00167DCB" w:rsidP="00167DCB">
      <w:pPr>
        <w:widowControl/>
        <w:wordWrap w:val="0"/>
        <w:spacing w:line="520" w:lineRule="exact"/>
        <w:ind w:firstLineChars="200" w:firstLine="640"/>
        <w:jc w:val="left"/>
        <w:rPr>
          <w:rFonts w:ascii="仿宋" w:eastAsia="仿宋" w:hAnsi="仿宋" w:cs="宋体"/>
          <w:kern w:val="0"/>
          <w:sz w:val="32"/>
          <w:szCs w:val="32"/>
        </w:rPr>
      </w:pPr>
      <w:r w:rsidRPr="001447F3">
        <w:rPr>
          <w:rFonts w:ascii="仿宋" w:eastAsia="仿宋" w:hAnsi="仿宋" w:cs="宋体" w:hint="eastAsia"/>
          <w:kern w:val="0"/>
          <w:sz w:val="32"/>
          <w:szCs w:val="32"/>
        </w:rPr>
        <w:t>2、负责处理注册登记的用人单位的人事劳动争议案件；</w:t>
      </w:r>
    </w:p>
    <w:p w:rsidR="00167DCB" w:rsidRPr="001447F3" w:rsidRDefault="00167DCB" w:rsidP="00167DCB">
      <w:pPr>
        <w:widowControl/>
        <w:wordWrap w:val="0"/>
        <w:spacing w:line="520" w:lineRule="exact"/>
        <w:ind w:firstLineChars="200" w:firstLine="640"/>
        <w:jc w:val="left"/>
        <w:rPr>
          <w:rFonts w:ascii="仿宋" w:eastAsia="仿宋" w:hAnsi="仿宋" w:cs="宋体"/>
          <w:kern w:val="0"/>
          <w:sz w:val="32"/>
          <w:szCs w:val="32"/>
        </w:rPr>
      </w:pPr>
      <w:r w:rsidRPr="001447F3">
        <w:rPr>
          <w:rFonts w:ascii="仿宋" w:eastAsia="仿宋" w:hAnsi="仿宋" w:cs="宋体" w:hint="eastAsia"/>
          <w:kern w:val="0"/>
          <w:sz w:val="32"/>
          <w:szCs w:val="32"/>
        </w:rPr>
        <w:t>3、拟定各项规章制度并监督检查执行情况；</w:t>
      </w:r>
    </w:p>
    <w:p w:rsidR="00167DCB" w:rsidRPr="001447F3" w:rsidRDefault="00167DCB" w:rsidP="00167DCB">
      <w:pPr>
        <w:widowControl/>
        <w:wordWrap w:val="0"/>
        <w:spacing w:line="520" w:lineRule="exact"/>
        <w:ind w:firstLineChars="200" w:firstLine="640"/>
        <w:jc w:val="left"/>
        <w:rPr>
          <w:rFonts w:ascii="仿宋" w:eastAsia="仿宋" w:hAnsi="仿宋" w:cs="宋体"/>
          <w:kern w:val="0"/>
          <w:sz w:val="32"/>
          <w:szCs w:val="32"/>
        </w:rPr>
      </w:pPr>
      <w:r w:rsidRPr="001447F3">
        <w:rPr>
          <w:rFonts w:ascii="仿宋" w:eastAsia="仿宋" w:hAnsi="仿宋" w:cs="宋体" w:hint="eastAsia"/>
          <w:kern w:val="0"/>
          <w:sz w:val="32"/>
          <w:szCs w:val="32"/>
        </w:rPr>
        <w:t>4、提供人事劳动保障法律法规和人事劳动争议调解仲裁咨询；</w:t>
      </w:r>
    </w:p>
    <w:p w:rsidR="00167DCB" w:rsidRPr="001447F3" w:rsidRDefault="00167DCB" w:rsidP="00167DCB">
      <w:pPr>
        <w:widowControl/>
        <w:wordWrap w:val="0"/>
        <w:spacing w:line="520" w:lineRule="exact"/>
        <w:ind w:firstLineChars="200" w:firstLine="640"/>
        <w:jc w:val="left"/>
        <w:rPr>
          <w:rFonts w:ascii="仿宋" w:eastAsia="仿宋" w:hAnsi="仿宋" w:cs="宋体"/>
          <w:kern w:val="0"/>
          <w:sz w:val="32"/>
          <w:szCs w:val="32"/>
        </w:rPr>
      </w:pPr>
      <w:r w:rsidRPr="001447F3">
        <w:rPr>
          <w:rFonts w:ascii="仿宋" w:eastAsia="仿宋" w:hAnsi="仿宋" w:cs="宋体" w:hint="eastAsia"/>
          <w:kern w:val="0"/>
          <w:sz w:val="32"/>
          <w:szCs w:val="32"/>
        </w:rPr>
        <w:t>5、负责专兼职仲裁员的培训、考核、聘用和管理工作；</w:t>
      </w:r>
    </w:p>
    <w:p w:rsidR="00167DCB" w:rsidRPr="001447F3" w:rsidRDefault="00167DCB" w:rsidP="00167DCB">
      <w:pPr>
        <w:ind w:firstLineChars="200" w:firstLine="640"/>
        <w:rPr>
          <w:rFonts w:ascii="仿宋" w:eastAsia="仿宋" w:hAnsi="仿宋" w:cs="宋体"/>
          <w:kern w:val="0"/>
          <w:sz w:val="32"/>
          <w:szCs w:val="32"/>
        </w:rPr>
      </w:pPr>
      <w:r w:rsidRPr="001447F3">
        <w:rPr>
          <w:rFonts w:ascii="仿宋" w:eastAsia="仿宋" w:hAnsi="仿宋" w:cs="宋体" w:hint="eastAsia"/>
          <w:kern w:val="0"/>
          <w:sz w:val="32"/>
          <w:szCs w:val="32"/>
        </w:rPr>
        <w:t>6、负责办理人事劳动争议仲裁委员会的日常工作。</w:t>
      </w:r>
    </w:p>
    <w:p w:rsidR="00167DCB" w:rsidRPr="001447F3" w:rsidRDefault="00167DCB" w:rsidP="00167DCB">
      <w:pPr>
        <w:ind w:firstLineChars="200" w:firstLine="640"/>
        <w:rPr>
          <w:rFonts w:ascii="仿宋" w:eastAsia="仿宋" w:hAnsi="仿宋" w:cs="仿宋"/>
          <w:sz w:val="32"/>
          <w:szCs w:val="32"/>
        </w:rPr>
      </w:pPr>
      <w:r w:rsidRPr="001447F3">
        <w:rPr>
          <w:rFonts w:ascii="仿宋" w:eastAsia="仿宋" w:hAnsi="仿宋" w:cs="仿宋" w:hint="eastAsia"/>
          <w:sz w:val="32"/>
          <w:szCs w:val="32"/>
        </w:rPr>
        <w:t>新田县劳动人事争议仲裁院是县人力资源和社会保障局的下属事业单位。2023年底单位事业编制人数11人，年末在职人数5人。单位内设机构2个：办公室、仲裁庭</w:t>
      </w:r>
    </w:p>
    <w:p w:rsidR="00167DCB" w:rsidRPr="001447F3" w:rsidRDefault="00167DCB" w:rsidP="00167DCB">
      <w:pPr>
        <w:shd w:val="clear" w:color="auto" w:fill="FFFFFF"/>
        <w:spacing w:line="460" w:lineRule="exact"/>
        <w:ind w:firstLineChars="200" w:firstLine="640"/>
        <w:rPr>
          <w:rFonts w:ascii="仿宋" w:eastAsia="仿宋" w:hAnsi="仿宋" w:hint="eastAsia"/>
          <w:sz w:val="32"/>
          <w:szCs w:val="32"/>
        </w:rPr>
      </w:pPr>
    </w:p>
    <w:p w:rsidR="00167DCB" w:rsidRPr="001447F3" w:rsidRDefault="00167DCB" w:rsidP="00167DCB">
      <w:pPr>
        <w:pStyle w:val="211"/>
        <w:ind w:left="0" w:firstLineChars="200" w:firstLine="640"/>
        <w:jc w:val="both"/>
        <w:rPr>
          <w:rFonts w:ascii="仿宋" w:eastAsia="仿宋" w:hAnsi="仿宋" w:hint="eastAsia"/>
          <w:color w:val="000000"/>
          <w:sz w:val="32"/>
          <w:szCs w:val="32"/>
        </w:rPr>
      </w:pPr>
      <w:r w:rsidRPr="001447F3">
        <w:rPr>
          <w:rFonts w:ascii="仿宋" w:eastAsia="仿宋" w:hAnsi="仿宋" w:hint="eastAsia"/>
          <w:sz w:val="32"/>
          <w:szCs w:val="32"/>
        </w:rPr>
        <w:t>（二）部门（单位）整体支出规模</w:t>
      </w:r>
      <w:r w:rsidRPr="001447F3">
        <w:rPr>
          <w:rFonts w:ascii="仿宋" w:eastAsia="仿宋" w:hAnsi="仿宋" w:cs="仿宋_GB2312" w:hint="eastAsia"/>
          <w:sz w:val="32"/>
          <w:szCs w:val="32"/>
        </w:rPr>
        <w:t>，</w:t>
      </w:r>
      <w:r w:rsidRPr="001447F3">
        <w:rPr>
          <w:rFonts w:ascii="仿宋" w:eastAsia="仿宋" w:hAnsi="仿宋" w:hint="eastAsia"/>
          <w:color w:val="000000"/>
          <w:sz w:val="32"/>
          <w:szCs w:val="32"/>
        </w:rPr>
        <w:t>包括但不限于部门整体支出情况、部门预算收支决算情况及“三公经费”支出使用和管理情况。</w:t>
      </w:r>
    </w:p>
    <w:p w:rsidR="00167DCB" w:rsidRPr="001447F3" w:rsidRDefault="00167DCB" w:rsidP="00167DCB">
      <w:pPr>
        <w:pStyle w:val="211"/>
        <w:ind w:left="0" w:firstLineChars="200" w:firstLine="600"/>
        <w:jc w:val="both"/>
        <w:rPr>
          <w:rFonts w:ascii="仿宋" w:eastAsia="仿宋" w:hAnsi="仿宋" w:cs="仿宋"/>
          <w:sz w:val="30"/>
          <w:szCs w:val="30"/>
        </w:rPr>
      </w:pPr>
      <w:r w:rsidRPr="001447F3">
        <w:rPr>
          <w:rFonts w:ascii="仿宋" w:eastAsia="仿宋" w:hAnsi="仿宋" w:cs="仿宋" w:hint="eastAsia"/>
          <w:sz w:val="30"/>
          <w:szCs w:val="30"/>
        </w:rPr>
        <w:t>1、部门整体支出情况：</w:t>
      </w:r>
    </w:p>
    <w:p w:rsidR="00167DCB" w:rsidRPr="001447F3" w:rsidRDefault="00167DCB" w:rsidP="00167DCB">
      <w:pPr>
        <w:pStyle w:val="211"/>
        <w:ind w:left="0" w:firstLineChars="200" w:firstLine="600"/>
        <w:jc w:val="both"/>
        <w:rPr>
          <w:rFonts w:ascii="仿宋" w:eastAsia="仿宋" w:hAnsi="仿宋" w:cs="仿宋"/>
          <w:sz w:val="30"/>
          <w:szCs w:val="30"/>
        </w:rPr>
      </w:pPr>
      <w:r w:rsidRPr="001447F3">
        <w:rPr>
          <w:rFonts w:ascii="仿宋" w:eastAsia="仿宋" w:hAnsi="仿宋" w:cs="仿宋" w:hint="eastAsia"/>
          <w:sz w:val="30"/>
          <w:szCs w:val="30"/>
        </w:rPr>
        <w:t>2</w:t>
      </w:r>
      <w:r w:rsidRPr="001447F3">
        <w:rPr>
          <w:rFonts w:ascii="仿宋" w:eastAsia="仿宋" w:hAnsi="仿宋" w:cs="仿宋"/>
          <w:sz w:val="30"/>
          <w:szCs w:val="30"/>
        </w:rPr>
        <w:t>02</w:t>
      </w:r>
      <w:r w:rsidRPr="001447F3">
        <w:rPr>
          <w:rFonts w:ascii="仿宋" w:eastAsia="仿宋" w:hAnsi="仿宋" w:cs="仿宋" w:hint="eastAsia"/>
          <w:sz w:val="30"/>
          <w:szCs w:val="30"/>
        </w:rPr>
        <w:t>3年部门整体支出规模51.97万元，其中：工资福利支出43.3万元、商品和服务支出8.31万元、对个人和家庭的补助0.36万元。</w:t>
      </w:r>
    </w:p>
    <w:p w:rsidR="00167DCB" w:rsidRPr="001447F3" w:rsidRDefault="00167DCB" w:rsidP="00167DCB">
      <w:pPr>
        <w:pStyle w:val="Default"/>
        <w:ind w:firstLineChars="200" w:firstLine="640"/>
        <w:jc w:val="both"/>
        <w:rPr>
          <w:rFonts w:ascii="仿宋" w:eastAsia="仿宋" w:hAnsi="仿宋" w:cs="仿宋_GB2312"/>
          <w:sz w:val="32"/>
          <w:szCs w:val="32"/>
        </w:rPr>
      </w:pPr>
      <w:r w:rsidRPr="001447F3">
        <w:rPr>
          <w:rFonts w:ascii="仿宋" w:eastAsia="仿宋" w:hAnsi="仿宋" w:cs="仿宋_GB2312" w:hint="eastAsia"/>
          <w:sz w:val="32"/>
          <w:szCs w:val="32"/>
        </w:rPr>
        <w:t>2、部门预算收支决算情况：</w:t>
      </w:r>
    </w:p>
    <w:p w:rsidR="00167DCB" w:rsidRPr="001447F3" w:rsidRDefault="00167DCB" w:rsidP="00167DCB">
      <w:pPr>
        <w:pStyle w:val="Default"/>
        <w:ind w:firstLineChars="200" w:firstLine="640"/>
        <w:jc w:val="both"/>
        <w:rPr>
          <w:rFonts w:ascii="仿宋" w:eastAsia="仿宋" w:hAnsi="仿宋" w:cs="仿宋_GB2312"/>
          <w:sz w:val="32"/>
          <w:szCs w:val="32"/>
        </w:rPr>
      </w:pPr>
      <w:r w:rsidRPr="001447F3">
        <w:rPr>
          <w:rFonts w:ascii="仿宋" w:eastAsia="仿宋" w:hAnsi="仿宋" w:cs="仿宋_GB2312" w:hint="eastAsia"/>
          <w:sz w:val="32"/>
          <w:szCs w:val="32"/>
        </w:rPr>
        <w:t>2023年度收入总计51.97万元。2023年度支出总计51.97</w:t>
      </w:r>
      <w:r w:rsidRPr="001447F3">
        <w:rPr>
          <w:rFonts w:ascii="仿宋" w:eastAsia="仿宋" w:hAnsi="仿宋" w:cs="仿宋_GB2312" w:hint="eastAsia"/>
          <w:sz w:val="32"/>
          <w:szCs w:val="32"/>
        </w:rPr>
        <w:lastRenderedPageBreak/>
        <w:t>万元。</w:t>
      </w:r>
    </w:p>
    <w:p w:rsidR="00167DCB" w:rsidRPr="001447F3" w:rsidRDefault="00167DCB" w:rsidP="00167DCB">
      <w:pPr>
        <w:pStyle w:val="Default"/>
        <w:ind w:firstLineChars="200" w:firstLine="640"/>
        <w:jc w:val="both"/>
        <w:rPr>
          <w:rFonts w:ascii="仿宋" w:eastAsia="仿宋" w:hAnsi="仿宋" w:cs="仿宋_GB2312"/>
          <w:sz w:val="32"/>
          <w:szCs w:val="32"/>
        </w:rPr>
      </w:pPr>
      <w:r w:rsidRPr="001447F3">
        <w:rPr>
          <w:rFonts w:ascii="仿宋" w:eastAsia="仿宋" w:hAnsi="仿宋" w:cs="仿宋_GB2312" w:hint="eastAsia"/>
          <w:sz w:val="32"/>
          <w:szCs w:val="32"/>
        </w:rPr>
        <w:t>3、2023年“三公经费”支出0.52万元，其中：公务接待费0.52万元，无公车运行维护费用，无出国（境）费用。</w:t>
      </w:r>
    </w:p>
    <w:p w:rsidR="00167DCB" w:rsidRPr="001447F3" w:rsidRDefault="00167DCB" w:rsidP="00167DCB">
      <w:pPr>
        <w:spacing w:line="460" w:lineRule="exact"/>
        <w:ind w:firstLineChars="200" w:firstLine="640"/>
        <w:rPr>
          <w:rFonts w:ascii="仿宋" w:eastAsia="仿宋" w:hAnsi="仿宋" w:hint="eastAsia"/>
          <w:color w:val="000000"/>
          <w:sz w:val="32"/>
          <w:szCs w:val="32"/>
        </w:rPr>
      </w:pPr>
    </w:p>
    <w:p w:rsidR="00167DCB" w:rsidRPr="001447F3" w:rsidRDefault="00167DCB" w:rsidP="00167DCB">
      <w:pPr>
        <w:pStyle w:val="a3"/>
        <w:spacing w:line="460" w:lineRule="exact"/>
        <w:ind w:firstLine="640"/>
        <w:rPr>
          <w:rFonts w:ascii="仿宋" w:eastAsia="仿宋" w:hAnsi="仿宋"/>
          <w:sz w:val="32"/>
          <w:szCs w:val="32"/>
        </w:rPr>
      </w:pPr>
      <w:r w:rsidRPr="001447F3">
        <w:rPr>
          <w:rFonts w:ascii="仿宋" w:eastAsia="仿宋" w:hAnsi="仿宋"/>
          <w:sz w:val="32"/>
          <w:szCs w:val="32"/>
        </w:rPr>
        <w:t>二、一般公共预算支出情况</w:t>
      </w:r>
    </w:p>
    <w:p w:rsidR="00167DCB" w:rsidRPr="001447F3" w:rsidRDefault="00167DCB" w:rsidP="00167DCB">
      <w:pPr>
        <w:pStyle w:val="1"/>
        <w:spacing w:line="580" w:lineRule="exact"/>
        <w:ind w:firstLine="640"/>
        <w:rPr>
          <w:rFonts w:eastAsia="仿宋" w:hint="eastAsia"/>
          <w:sz w:val="32"/>
          <w:szCs w:val="32"/>
        </w:rPr>
      </w:pPr>
      <w:r w:rsidRPr="001447F3">
        <w:rPr>
          <w:rFonts w:eastAsia="仿宋"/>
          <w:sz w:val="32"/>
          <w:szCs w:val="32"/>
        </w:rPr>
        <w:t>（一）基本支出情况</w:t>
      </w:r>
    </w:p>
    <w:p w:rsidR="00167DCB" w:rsidRPr="001447F3" w:rsidRDefault="00167DCB" w:rsidP="00167DCB">
      <w:pPr>
        <w:pStyle w:val="1"/>
        <w:spacing w:line="580" w:lineRule="exact"/>
        <w:ind w:firstLine="640"/>
        <w:rPr>
          <w:rFonts w:eastAsia="仿宋" w:cs="仿宋_GB2312" w:hint="eastAsia"/>
          <w:sz w:val="32"/>
          <w:szCs w:val="32"/>
        </w:rPr>
      </w:pPr>
      <w:r w:rsidRPr="001447F3">
        <w:rPr>
          <w:rFonts w:eastAsia="仿宋" w:cs="仿宋_GB2312" w:hint="eastAsia"/>
          <w:sz w:val="32"/>
          <w:szCs w:val="32"/>
        </w:rPr>
        <w:t>2023年度财政拨款基本支出48.04万元，其中：人员经费43.3万元，占基本支出的90.2%,主要包括基本工资、津贴补贴、奖金、伙食补助费、绩效工资、基本养老保险费、其他工资福利支出；公用经费4.73万元，占基本支出的9.8%，主要包括办公费、印刷费、水费、电费、邮电费、差旅费、会议费、公务接待费、工会经费、公务用车运行维护费、其他交通费、其他商品和服务费。</w:t>
      </w:r>
    </w:p>
    <w:p w:rsidR="00167DCB" w:rsidRPr="001447F3" w:rsidRDefault="00167DCB" w:rsidP="00167DCB">
      <w:pPr>
        <w:pStyle w:val="a3"/>
        <w:spacing w:line="460" w:lineRule="exact"/>
        <w:ind w:firstLine="640"/>
        <w:rPr>
          <w:rFonts w:ascii="仿宋" w:eastAsia="仿宋" w:hAnsi="仿宋"/>
          <w:sz w:val="32"/>
          <w:szCs w:val="32"/>
        </w:rPr>
      </w:pPr>
    </w:p>
    <w:p w:rsidR="00167DCB" w:rsidRPr="001447F3" w:rsidRDefault="00167DCB" w:rsidP="00167DCB">
      <w:pPr>
        <w:pStyle w:val="a3"/>
        <w:spacing w:line="460" w:lineRule="exact"/>
        <w:ind w:firstLine="640"/>
        <w:rPr>
          <w:rFonts w:ascii="仿宋" w:eastAsia="仿宋" w:hAnsi="仿宋" w:hint="eastAsia"/>
          <w:sz w:val="32"/>
          <w:szCs w:val="32"/>
        </w:rPr>
      </w:pPr>
      <w:r w:rsidRPr="001447F3">
        <w:rPr>
          <w:rFonts w:ascii="仿宋" w:eastAsia="仿宋" w:hAnsi="仿宋"/>
          <w:sz w:val="32"/>
          <w:szCs w:val="32"/>
        </w:rPr>
        <w:t>（二）项目支出情况</w:t>
      </w:r>
    </w:p>
    <w:p w:rsidR="00167DCB" w:rsidRPr="001447F3" w:rsidRDefault="00167DCB" w:rsidP="00167DCB">
      <w:pPr>
        <w:pStyle w:val="a3"/>
        <w:spacing w:line="460" w:lineRule="exact"/>
        <w:ind w:firstLine="640"/>
        <w:rPr>
          <w:rFonts w:ascii="仿宋" w:eastAsia="仿宋" w:hAnsi="仿宋"/>
          <w:sz w:val="32"/>
          <w:szCs w:val="32"/>
        </w:rPr>
      </w:pPr>
      <w:r w:rsidRPr="001447F3">
        <w:rPr>
          <w:rFonts w:ascii="仿宋" w:eastAsia="仿宋" w:hAnsi="仿宋" w:hint="eastAsia"/>
          <w:sz w:val="32"/>
          <w:szCs w:val="32"/>
        </w:rPr>
        <w:t>2023年仲裁院业务相关经费项目支出3.93万元。</w:t>
      </w:r>
    </w:p>
    <w:p w:rsidR="00167DCB" w:rsidRPr="001447F3" w:rsidRDefault="00167DCB" w:rsidP="00167DCB">
      <w:pPr>
        <w:pStyle w:val="a3"/>
        <w:spacing w:line="460" w:lineRule="exact"/>
        <w:ind w:firstLine="640"/>
        <w:rPr>
          <w:rFonts w:ascii="仿宋" w:eastAsia="仿宋" w:hAnsi="仿宋" w:hint="eastAsia"/>
          <w:color w:val="000000"/>
          <w:sz w:val="32"/>
          <w:szCs w:val="32"/>
        </w:rPr>
      </w:pPr>
      <w:r w:rsidRPr="001447F3">
        <w:rPr>
          <w:rFonts w:ascii="仿宋" w:eastAsia="仿宋" w:hAnsi="仿宋"/>
          <w:sz w:val="32"/>
          <w:szCs w:val="32"/>
        </w:rPr>
        <w:t>三、政府性基金预算支出情况</w:t>
      </w:r>
      <w:r w:rsidRPr="001447F3">
        <w:rPr>
          <w:rFonts w:ascii="仿宋" w:eastAsia="仿宋" w:hAnsi="仿宋" w:hint="eastAsia"/>
          <w:sz w:val="32"/>
          <w:szCs w:val="32"/>
        </w:rPr>
        <w:t>。</w:t>
      </w:r>
    </w:p>
    <w:p w:rsidR="00167DCB" w:rsidRPr="001447F3" w:rsidRDefault="00167DCB" w:rsidP="00167DCB">
      <w:pPr>
        <w:pStyle w:val="a3"/>
        <w:spacing w:line="460" w:lineRule="exact"/>
        <w:ind w:firstLine="640"/>
        <w:rPr>
          <w:rFonts w:ascii="仿宋" w:eastAsia="仿宋" w:hAnsi="仿宋" w:hint="eastAsia"/>
          <w:color w:val="000000"/>
          <w:sz w:val="32"/>
          <w:szCs w:val="32"/>
        </w:rPr>
      </w:pPr>
      <w:r w:rsidRPr="001447F3">
        <w:rPr>
          <w:rFonts w:ascii="仿宋" w:eastAsia="仿宋" w:hAnsi="仿宋" w:hint="eastAsia"/>
          <w:color w:val="000000"/>
          <w:sz w:val="32"/>
          <w:szCs w:val="32"/>
        </w:rPr>
        <w:t>我单位无政府性基金预算支出情况。</w:t>
      </w:r>
    </w:p>
    <w:p w:rsidR="00167DCB" w:rsidRPr="001447F3" w:rsidRDefault="00167DCB" w:rsidP="00167DCB">
      <w:pPr>
        <w:pStyle w:val="a3"/>
        <w:spacing w:line="460" w:lineRule="exact"/>
        <w:ind w:firstLine="640"/>
        <w:rPr>
          <w:rFonts w:ascii="仿宋" w:eastAsia="仿宋" w:hAnsi="仿宋" w:hint="eastAsia"/>
          <w:color w:val="000000"/>
          <w:sz w:val="32"/>
          <w:szCs w:val="32"/>
        </w:rPr>
      </w:pPr>
      <w:r w:rsidRPr="001447F3">
        <w:rPr>
          <w:rFonts w:ascii="仿宋" w:eastAsia="仿宋" w:hAnsi="仿宋"/>
          <w:sz w:val="32"/>
          <w:szCs w:val="32"/>
        </w:rPr>
        <w:t>四、国有资本经营预算支出情况</w:t>
      </w:r>
      <w:r w:rsidRPr="001447F3">
        <w:rPr>
          <w:rFonts w:ascii="仿宋" w:eastAsia="仿宋" w:hAnsi="仿宋" w:hint="eastAsia"/>
          <w:sz w:val="32"/>
          <w:szCs w:val="32"/>
        </w:rPr>
        <w:t>。</w:t>
      </w:r>
    </w:p>
    <w:p w:rsidR="00167DCB" w:rsidRPr="001447F3" w:rsidRDefault="00167DCB" w:rsidP="00167DCB">
      <w:pPr>
        <w:pStyle w:val="a3"/>
        <w:spacing w:line="460" w:lineRule="exact"/>
        <w:ind w:firstLine="640"/>
        <w:rPr>
          <w:rFonts w:ascii="仿宋" w:eastAsia="仿宋" w:hAnsi="仿宋" w:hint="eastAsia"/>
          <w:sz w:val="32"/>
          <w:szCs w:val="32"/>
        </w:rPr>
      </w:pPr>
      <w:r w:rsidRPr="001447F3">
        <w:rPr>
          <w:rFonts w:ascii="仿宋" w:eastAsia="仿宋" w:hAnsi="仿宋" w:hint="eastAsia"/>
          <w:color w:val="000000"/>
          <w:sz w:val="32"/>
          <w:szCs w:val="32"/>
        </w:rPr>
        <w:t>我单位无国有资本经营预算支出情况。</w:t>
      </w:r>
    </w:p>
    <w:p w:rsidR="00167DCB" w:rsidRPr="001447F3" w:rsidRDefault="00167DCB" w:rsidP="00167DCB">
      <w:pPr>
        <w:pStyle w:val="a3"/>
        <w:spacing w:line="460" w:lineRule="exact"/>
        <w:ind w:firstLine="640"/>
        <w:rPr>
          <w:rFonts w:ascii="仿宋" w:eastAsia="仿宋" w:hAnsi="仿宋" w:hint="eastAsia"/>
          <w:color w:val="000000"/>
          <w:sz w:val="32"/>
          <w:szCs w:val="32"/>
        </w:rPr>
      </w:pPr>
      <w:r w:rsidRPr="001447F3">
        <w:rPr>
          <w:rFonts w:ascii="仿宋" w:eastAsia="仿宋" w:hAnsi="仿宋"/>
          <w:sz w:val="32"/>
          <w:szCs w:val="32"/>
        </w:rPr>
        <w:t>五、社会保险基金预算支出情况</w:t>
      </w:r>
      <w:r w:rsidRPr="001447F3">
        <w:rPr>
          <w:rFonts w:ascii="仿宋" w:eastAsia="仿宋" w:hAnsi="仿宋" w:hint="eastAsia"/>
          <w:sz w:val="32"/>
          <w:szCs w:val="32"/>
        </w:rPr>
        <w:t>。</w:t>
      </w:r>
    </w:p>
    <w:p w:rsidR="00167DCB" w:rsidRPr="001447F3" w:rsidRDefault="00167DCB" w:rsidP="00167DCB">
      <w:pPr>
        <w:pStyle w:val="a3"/>
        <w:spacing w:line="460" w:lineRule="exact"/>
        <w:ind w:firstLine="640"/>
        <w:rPr>
          <w:rFonts w:ascii="仿宋" w:eastAsia="仿宋" w:hAnsi="仿宋" w:hint="eastAsia"/>
          <w:sz w:val="32"/>
          <w:szCs w:val="32"/>
        </w:rPr>
      </w:pPr>
      <w:r w:rsidRPr="001447F3">
        <w:rPr>
          <w:rFonts w:ascii="仿宋" w:eastAsia="仿宋" w:hAnsi="仿宋" w:hint="eastAsia"/>
          <w:color w:val="000000"/>
          <w:sz w:val="32"/>
          <w:szCs w:val="32"/>
        </w:rPr>
        <w:t>我单位无社会保险基金预算支出情况。</w:t>
      </w:r>
    </w:p>
    <w:p w:rsidR="00167DCB" w:rsidRPr="001447F3" w:rsidRDefault="00167DCB" w:rsidP="00167DCB">
      <w:pPr>
        <w:spacing w:line="460" w:lineRule="exact"/>
        <w:ind w:firstLineChars="200" w:firstLine="640"/>
        <w:rPr>
          <w:rFonts w:ascii="仿宋" w:eastAsia="仿宋" w:hAnsi="仿宋"/>
          <w:sz w:val="32"/>
          <w:szCs w:val="32"/>
        </w:rPr>
      </w:pPr>
      <w:r w:rsidRPr="001447F3">
        <w:rPr>
          <w:rFonts w:ascii="仿宋" w:eastAsia="仿宋" w:hAnsi="仿宋"/>
          <w:sz w:val="32"/>
          <w:szCs w:val="32"/>
        </w:rPr>
        <w:t>六、部门整体支出绩效情况</w:t>
      </w:r>
    </w:p>
    <w:p w:rsidR="00167DCB" w:rsidRPr="001447F3" w:rsidRDefault="00167DCB" w:rsidP="00167DCB">
      <w:pPr>
        <w:spacing w:line="560" w:lineRule="exact"/>
        <w:ind w:firstLineChars="200" w:firstLine="643"/>
        <w:rPr>
          <w:rFonts w:ascii="仿宋" w:eastAsia="仿宋" w:hAnsi="仿宋" w:cs="仿宋_GB2312" w:hint="eastAsia"/>
          <w:sz w:val="32"/>
          <w:szCs w:val="32"/>
          <w:lang/>
        </w:rPr>
      </w:pPr>
      <w:r w:rsidRPr="001447F3">
        <w:rPr>
          <w:rFonts w:ascii="仿宋" w:eastAsia="仿宋" w:hAnsi="仿宋" w:cs="楷体_GB2312" w:hint="eastAsia"/>
          <w:b/>
          <w:sz w:val="32"/>
          <w:szCs w:val="32"/>
        </w:rPr>
        <w:t>1.办案质效有新的提升。</w:t>
      </w:r>
      <w:r w:rsidRPr="001447F3">
        <w:rPr>
          <w:rFonts w:ascii="仿宋" w:eastAsia="仿宋" w:hAnsi="仿宋" w:cs="仿宋_GB2312" w:hint="eastAsia"/>
          <w:b/>
          <w:bCs/>
          <w:sz w:val="32"/>
          <w:szCs w:val="32"/>
        </w:rPr>
        <w:t>一是案件处理提质增效。</w:t>
      </w:r>
      <w:r w:rsidRPr="001447F3">
        <w:rPr>
          <w:rFonts w:ascii="仿宋" w:eastAsia="仿宋" w:hAnsi="仿宋" w:cs="仿宋_GB2312" w:hint="eastAsia"/>
          <w:sz w:val="32"/>
          <w:szCs w:val="32"/>
          <w:lang/>
        </w:rPr>
        <w:t>全年正式立案41件，其中裁决结案12件，调解结案29件，案件调解率达到71%，在法定时限内结案率100%，涉案金额达</w:t>
      </w:r>
      <w:r w:rsidRPr="001447F3">
        <w:rPr>
          <w:rFonts w:ascii="仿宋" w:eastAsia="仿宋" w:hAnsi="仿宋" w:cs="仿宋_GB2312" w:hint="eastAsia"/>
          <w:sz w:val="32"/>
          <w:szCs w:val="32"/>
          <w:lang/>
        </w:rPr>
        <w:lastRenderedPageBreak/>
        <w:t>258余万元，为劳动者挽回经济损失90余万元。与周边市县相比，案件总量不高、矛盾化解有力，未出现群体性的集体劳动争议，也未出现有负面影响的事件或案件发生，劳动关系总体平稳、有序。</w:t>
      </w:r>
      <w:r w:rsidRPr="001447F3">
        <w:rPr>
          <w:rFonts w:ascii="仿宋" w:eastAsia="仿宋" w:hAnsi="仿宋" w:cs="仿宋_GB2312" w:hint="eastAsia"/>
          <w:b/>
          <w:bCs/>
          <w:sz w:val="32"/>
          <w:szCs w:val="32"/>
          <w:lang/>
        </w:rPr>
        <w:t>二是案前调处积极有为。</w:t>
      </w:r>
      <w:r w:rsidRPr="001447F3">
        <w:rPr>
          <w:rFonts w:ascii="仿宋" w:eastAsia="仿宋" w:hAnsi="仿宋" w:cs="仿宋_GB2312" w:hint="eastAsia"/>
          <w:sz w:val="32"/>
          <w:szCs w:val="32"/>
          <w:lang/>
        </w:rPr>
        <w:t>今年以来，仲裁部门针对</w:t>
      </w:r>
      <w:r w:rsidRPr="001447F3">
        <w:rPr>
          <w:rFonts w:ascii="仿宋" w:eastAsia="仿宋" w:hAnsi="仿宋" w:cs="仿宋" w:hint="eastAsia"/>
          <w:sz w:val="32"/>
          <w:szCs w:val="32"/>
        </w:rPr>
        <w:t>一些争议不大、标的较小的纠纷，未正式立案就已化解。如涉及鲁丽、新煜田、润兴城、信继善、德恒、新威、北控等重点企业和部分机关事业单位的劳资纠纷，提前预判、主动介入，及时与用人单位联系协调处理，矛盾得到化解，劳资双方人和事了。</w:t>
      </w:r>
    </w:p>
    <w:p w:rsidR="00167DCB" w:rsidRPr="001447F3" w:rsidRDefault="00167DCB" w:rsidP="00167DCB">
      <w:pPr>
        <w:spacing w:line="560" w:lineRule="exact"/>
        <w:ind w:firstLineChars="200" w:firstLine="643"/>
        <w:rPr>
          <w:rFonts w:ascii="仿宋" w:eastAsia="仿宋" w:hAnsi="仿宋" w:hint="eastAsia"/>
          <w:sz w:val="32"/>
          <w:szCs w:val="32"/>
        </w:rPr>
      </w:pPr>
      <w:r w:rsidRPr="001447F3">
        <w:rPr>
          <w:rFonts w:ascii="仿宋" w:eastAsia="仿宋" w:hAnsi="仿宋" w:cs="楷体_GB2312" w:hint="eastAsia"/>
          <w:b/>
          <w:sz w:val="32"/>
          <w:szCs w:val="32"/>
        </w:rPr>
        <w:t>2.</w:t>
      </w:r>
      <w:r w:rsidRPr="001447F3">
        <w:rPr>
          <w:rFonts w:ascii="仿宋" w:eastAsia="仿宋" w:hAnsi="仿宋" w:hint="eastAsia"/>
          <w:b/>
          <w:sz w:val="32"/>
          <w:szCs w:val="32"/>
        </w:rPr>
        <w:t>服务企业有新的突破。</w:t>
      </w:r>
      <w:r w:rsidRPr="001447F3">
        <w:rPr>
          <w:rFonts w:ascii="仿宋" w:eastAsia="仿宋" w:hAnsi="仿宋" w:hint="eastAsia"/>
          <w:b/>
          <w:bCs/>
          <w:sz w:val="32"/>
          <w:szCs w:val="32"/>
        </w:rPr>
        <w:t>一是推</w:t>
      </w:r>
      <w:r w:rsidRPr="001447F3">
        <w:rPr>
          <w:rFonts w:ascii="仿宋" w:eastAsia="仿宋" w:hAnsi="仿宋" w:cs="仿宋_GB2312" w:hint="eastAsia"/>
          <w:b/>
          <w:bCs/>
          <w:sz w:val="32"/>
          <w:szCs w:val="32"/>
          <w:lang/>
        </w:rPr>
        <w:t>进仲裁员联系企业制度。</w:t>
      </w:r>
      <w:r w:rsidRPr="001447F3">
        <w:rPr>
          <w:rFonts w:ascii="仿宋" w:eastAsia="仿宋" w:hAnsi="仿宋" w:cs="仿宋_GB2312" w:hint="eastAsia"/>
          <w:sz w:val="32"/>
          <w:szCs w:val="32"/>
          <w:lang/>
        </w:rPr>
        <w:t>积极参加春风行动，实地走访了30余家全县重点企业，涉及绿色新材料、锂电新能源、智能制造等，也包括“专精特新”企业和“小巨人”企业。仲裁员就劳动合同签订、薪酬保障制度、社会保险缴纳、内部制度完</w:t>
      </w:r>
      <w:r w:rsidRPr="001447F3">
        <w:rPr>
          <w:rFonts w:ascii="仿宋" w:eastAsia="仿宋" w:hAnsi="仿宋" w:hint="eastAsia"/>
          <w:sz w:val="32"/>
          <w:szCs w:val="32"/>
        </w:rPr>
        <w:t>善等方面积极献计献策。</w:t>
      </w:r>
      <w:r w:rsidRPr="001447F3">
        <w:rPr>
          <w:rFonts w:ascii="仿宋" w:eastAsia="仿宋" w:hAnsi="仿宋" w:hint="eastAsia"/>
          <w:b/>
          <w:bCs/>
          <w:sz w:val="32"/>
          <w:szCs w:val="32"/>
        </w:rPr>
        <w:t>二是开展送政策解难题服务。</w:t>
      </w:r>
      <w:r w:rsidRPr="001447F3">
        <w:rPr>
          <w:rFonts w:ascii="仿宋" w:eastAsia="仿宋" w:hAnsi="仿宋" w:hint="eastAsia"/>
          <w:sz w:val="32"/>
          <w:szCs w:val="32"/>
        </w:rPr>
        <w:t>结合优化营商环境的决策部署和人社专员联百企“送政策、解难题、优服务”专项行动要求，实地走访了10余家结对服务企业，通过“点对点、面对面”走访企业负责人、人力资源相关代表、车间员工，帮助企业解决涉及人社领域中的实际困难问题，为企业纾困解难促发展提供了高质量的人力资源和社会保障方面的服务。</w:t>
      </w:r>
    </w:p>
    <w:p w:rsidR="00167DCB" w:rsidRPr="001447F3" w:rsidRDefault="00167DCB" w:rsidP="00167DCB">
      <w:pPr>
        <w:spacing w:line="540" w:lineRule="exact"/>
        <w:ind w:firstLineChars="200" w:firstLine="643"/>
        <w:rPr>
          <w:rFonts w:ascii="仿宋" w:eastAsia="仿宋" w:hAnsi="仿宋" w:cs="仿宋" w:hint="eastAsia"/>
          <w:sz w:val="32"/>
          <w:szCs w:val="32"/>
        </w:rPr>
      </w:pPr>
      <w:r w:rsidRPr="001447F3">
        <w:rPr>
          <w:rFonts w:ascii="仿宋" w:eastAsia="仿宋" w:hAnsi="仿宋" w:cs="楷体_GB2312" w:hint="eastAsia"/>
          <w:b/>
          <w:sz w:val="32"/>
          <w:szCs w:val="32"/>
        </w:rPr>
        <w:t>3.</w:t>
      </w:r>
      <w:r w:rsidRPr="001447F3">
        <w:rPr>
          <w:rFonts w:ascii="仿宋" w:eastAsia="仿宋" w:hAnsi="仿宋" w:hint="eastAsia"/>
          <w:b/>
          <w:sz w:val="32"/>
          <w:szCs w:val="32"/>
        </w:rPr>
        <w:t>规范办案有新的跨越。</w:t>
      </w:r>
      <w:r w:rsidRPr="001447F3">
        <w:rPr>
          <w:rFonts w:ascii="仿宋" w:eastAsia="仿宋" w:hAnsi="仿宋" w:hint="eastAsia"/>
          <w:b/>
          <w:bCs/>
          <w:sz w:val="32"/>
          <w:szCs w:val="32"/>
        </w:rPr>
        <w:t>一是案件质量较为稳固。</w:t>
      </w:r>
      <w:r w:rsidRPr="001447F3">
        <w:rPr>
          <w:rFonts w:ascii="仿宋" w:eastAsia="仿宋" w:hAnsi="仿宋" w:cs="仿宋" w:hint="eastAsia"/>
          <w:sz w:val="32"/>
          <w:szCs w:val="32"/>
        </w:rPr>
        <w:t>近年来，均未出现因案件处理不当导致的上访、投诉现象发生。仲裁裁决后到法院的起诉率较低、结果维持率较高。仲裁对法律的把握和适用较为准确，公信力有新的提升，劳动者的</w:t>
      </w:r>
      <w:r w:rsidRPr="001447F3">
        <w:rPr>
          <w:rFonts w:ascii="仿宋" w:eastAsia="仿宋" w:hAnsi="仿宋" w:cs="仿宋" w:hint="eastAsia"/>
          <w:sz w:val="32"/>
          <w:szCs w:val="32"/>
        </w:rPr>
        <w:lastRenderedPageBreak/>
        <w:t>信任度也有新的增加。</w:t>
      </w:r>
      <w:r w:rsidRPr="001447F3">
        <w:rPr>
          <w:rFonts w:ascii="仿宋" w:eastAsia="仿宋" w:hAnsi="仿宋" w:hint="eastAsia"/>
          <w:b/>
          <w:bCs/>
          <w:sz w:val="32"/>
          <w:szCs w:val="32"/>
        </w:rPr>
        <w:t>二是案件核查获得省厅肯定。</w:t>
      </w:r>
      <w:r w:rsidRPr="001447F3">
        <w:rPr>
          <w:rFonts w:ascii="仿宋" w:eastAsia="仿宋" w:hAnsi="仿宋" w:hint="eastAsia"/>
          <w:sz w:val="32"/>
          <w:szCs w:val="32"/>
        </w:rPr>
        <w:t>5月中旬，省</w:t>
      </w:r>
      <w:r w:rsidRPr="001447F3">
        <w:rPr>
          <w:rFonts w:ascii="仿宋" w:eastAsia="仿宋" w:hAnsi="仿宋" w:cs="仿宋" w:hint="eastAsia"/>
          <w:sz w:val="32"/>
          <w:szCs w:val="32"/>
        </w:rPr>
        <w:t>人社厅调解仲裁处处长温伟斌带领评查组来我县对仲裁案件进行评查和工作调研，新田是全市唯一代表接受评查的县。采取集中审阅案卷、座谈交流的方式，围绕办案程序、证据审查、事实认定、法律适用、文书制作等方面内容开展评查。评查组查看了县仲裁院标准化仲裁庭、档案室、金牌调解组织、乡镇（街道）基层调解组织，听取了工作汇报，对随机抽取的2022年以来已办结的案卷进行了严谨细致地审查。对我县劳动人事争议调解仲裁工作给予了充分肯定和高度评价。</w:t>
      </w:r>
    </w:p>
    <w:p w:rsidR="00167DCB" w:rsidRPr="001447F3" w:rsidRDefault="00167DCB" w:rsidP="00167DCB">
      <w:pPr>
        <w:spacing w:line="560" w:lineRule="exact"/>
        <w:ind w:firstLineChars="200" w:firstLine="643"/>
        <w:rPr>
          <w:rFonts w:ascii="仿宋" w:eastAsia="仿宋" w:hAnsi="仿宋" w:cs="仿宋_GB2312" w:hint="eastAsia"/>
          <w:color w:val="000000"/>
          <w:sz w:val="32"/>
          <w:szCs w:val="32"/>
          <w:lang/>
        </w:rPr>
      </w:pPr>
      <w:r w:rsidRPr="001447F3">
        <w:rPr>
          <w:rFonts w:ascii="仿宋" w:eastAsia="仿宋" w:hAnsi="仿宋" w:cs="楷体_GB2312" w:hint="eastAsia"/>
          <w:b/>
          <w:sz w:val="32"/>
          <w:szCs w:val="32"/>
        </w:rPr>
        <w:t>4.市域治理有新的作为。</w:t>
      </w:r>
      <w:r w:rsidRPr="001447F3">
        <w:rPr>
          <w:rFonts w:ascii="仿宋" w:eastAsia="仿宋" w:hAnsi="仿宋" w:cs="仿宋_GB2312" w:hint="eastAsia"/>
          <w:b/>
          <w:bCs/>
          <w:sz w:val="32"/>
          <w:szCs w:val="32"/>
        </w:rPr>
        <w:t>一是突出</w:t>
      </w:r>
      <w:r w:rsidRPr="001447F3">
        <w:rPr>
          <w:rFonts w:ascii="仿宋" w:eastAsia="仿宋" w:hAnsi="仿宋" w:cs="仿宋_GB2312" w:hint="eastAsia"/>
          <w:b/>
          <w:bCs/>
          <w:color w:val="000000"/>
          <w:sz w:val="32"/>
          <w:szCs w:val="32"/>
          <w:lang/>
        </w:rPr>
        <w:t>组织机制建设。</w:t>
      </w:r>
      <w:r w:rsidRPr="001447F3">
        <w:rPr>
          <w:rFonts w:ascii="仿宋" w:eastAsia="仿宋" w:hAnsi="仿宋" w:cs="仿宋_GB2312" w:hint="eastAsia"/>
          <w:color w:val="000000"/>
          <w:sz w:val="32"/>
          <w:szCs w:val="32"/>
          <w:lang/>
        </w:rPr>
        <w:t>新田县劳动人事争议人民调解委员会，2021年被省人社厅评为全省劳动人事争议金牌调解组织，个人被省厅评为全省第一批金牌劳动关系协调员。积极推进各乡镇（街道）调解组织建设，全县11个乡镇、2个街道办事处，共计成立了13个调解组织，其在线调解管理平台已全面覆盖设立，其中县龙泉街道劳动人事争议调解委员会于2023年12月被省人社厅评为金牌调解组织。</w:t>
      </w:r>
      <w:r w:rsidRPr="001447F3">
        <w:rPr>
          <w:rFonts w:ascii="仿宋" w:eastAsia="仿宋" w:hAnsi="仿宋" w:cs="仿宋_GB2312" w:hint="eastAsia"/>
          <w:b/>
          <w:bCs/>
          <w:sz w:val="32"/>
          <w:szCs w:val="32"/>
        </w:rPr>
        <w:t>二是</w:t>
      </w:r>
      <w:r w:rsidRPr="001447F3">
        <w:rPr>
          <w:rFonts w:ascii="仿宋" w:eastAsia="仿宋" w:hAnsi="仿宋" w:cs="仿宋_GB2312" w:hint="eastAsia"/>
          <w:b/>
          <w:bCs/>
          <w:color w:val="000000"/>
          <w:sz w:val="32"/>
          <w:szCs w:val="32"/>
          <w:lang/>
        </w:rPr>
        <w:t>突出精细化管理。</w:t>
      </w:r>
      <w:r w:rsidRPr="001447F3">
        <w:rPr>
          <w:rFonts w:ascii="仿宋" w:eastAsia="仿宋" w:hAnsi="仿宋" w:cs="仿宋_GB2312" w:hint="eastAsia"/>
          <w:color w:val="000000"/>
          <w:sz w:val="32"/>
          <w:szCs w:val="32"/>
          <w:lang/>
        </w:rPr>
        <w:t>根据一站式社会矛盾纠纷调解中心统一调度，按照“统一受理、集中梳理、依法办理、限期处理”的调处要求，在集体纠纷或有重大影响的劳动争议上，集中相关职能部门启动会商机制，加强力量进行调处，仍协商不成的引导当事人通过法律途径解决矛盾纠纷，提倡劳动者在法治轨道上推进县域社会治理。</w:t>
      </w:r>
    </w:p>
    <w:p w:rsidR="00167DCB" w:rsidRPr="001447F3" w:rsidRDefault="00167DCB" w:rsidP="00167DCB">
      <w:pPr>
        <w:pStyle w:val="a3"/>
        <w:spacing w:line="460" w:lineRule="exact"/>
        <w:ind w:firstLine="640"/>
        <w:rPr>
          <w:rFonts w:ascii="仿宋" w:eastAsia="仿宋" w:hAnsi="仿宋"/>
          <w:sz w:val="32"/>
          <w:szCs w:val="32"/>
        </w:rPr>
      </w:pPr>
      <w:r w:rsidRPr="001447F3">
        <w:rPr>
          <w:rFonts w:ascii="仿宋" w:eastAsia="仿宋" w:hAnsi="仿宋"/>
          <w:sz w:val="32"/>
          <w:szCs w:val="32"/>
        </w:rPr>
        <w:t>七、存在的问题及原因分析</w:t>
      </w:r>
    </w:p>
    <w:p w:rsidR="00167DCB" w:rsidRPr="001447F3" w:rsidRDefault="00167DCB" w:rsidP="00167DCB">
      <w:pPr>
        <w:ind w:firstLineChars="200" w:firstLine="640"/>
        <w:rPr>
          <w:rFonts w:ascii="仿宋" w:eastAsia="仿宋" w:hAnsi="仿宋" w:hint="eastAsia"/>
          <w:sz w:val="32"/>
          <w:szCs w:val="32"/>
        </w:rPr>
      </w:pPr>
      <w:r w:rsidRPr="001447F3">
        <w:rPr>
          <w:rFonts w:ascii="仿宋" w:eastAsia="仿宋" w:hAnsi="仿宋" w:cs="仿宋" w:hint="eastAsia"/>
          <w:sz w:val="32"/>
          <w:szCs w:val="32"/>
        </w:rPr>
        <w:t>随着部门预算改革的深入，财政预算管理整体水平得到</w:t>
      </w:r>
      <w:r w:rsidRPr="001447F3">
        <w:rPr>
          <w:rFonts w:ascii="仿宋" w:eastAsia="仿宋" w:hAnsi="仿宋" w:cs="仿宋" w:hint="eastAsia"/>
          <w:sz w:val="32"/>
          <w:szCs w:val="32"/>
        </w:rPr>
        <w:lastRenderedPageBreak/>
        <w:t>了提升，财政资金使用效益和效果有所提高，但近年来我们在部门预算执行中发现以下问题：预算执行未严格按照时间进度，主要表现在年初、年中用得少，年底用得多。预算编制的计划性和预算执行的管理有待加强，制度的执行有待进一步强化，资金使用的合规性有待进一步规范。</w:t>
      </w:r>
    </w:p>
    <w:p w:rsidR="00167DCB" w:rsidRPr="001447F3" w:rsidRDefault="00167DCB" w:rsidP="00167DCB">
      <w:pPr>
        <w:ind w:firstLineChars="200" w:firstLine="640"/>
        <w:rPr>
          <w:rFonts w:ascii="仿宋" w:eastAsia="仿宋" w:hAnsi="仿宋" w:hint="eastAsia"/>
          <w:sz w:val="32"/>
          <w:szCs w:val="32"/>
        </w:rPr>
      </w:pPr>
      <w:r w:rsidRPr="001447F3">
        <w:rPr>
          <w:rFonts w:ascii="仿宋" w:eastAsia="仿宋" w:hAnsi="仿宋"/>
          <w:sz w:val="32"/>
          <w:szCs w:val="32"/>
        </w:rPr>
        <w:t>八、下一步改进措施</w:t>
      </w:r>
    </w:p>
    <w:p w:rsidR="00167DCB" w:rsidRPr="001447F3" w:rsidRDefault="00167DCB" w:rsidP="00167DCB">
      <w:pPr>
        <w:spacing w:line="570" w:lineRule="exact"/>
        <w:ind w:firstLineChars="200" w:firstLine="640"/>
        <w:jc w:val="left"/>
        <w:outlineLvl w:val="0"/>
        <w:rPr>
          <w:rFonts w:ascii="仿宋" w:eastAsia="仿宋" w:hAnsi="仿宋"/>
          <w:sz w:val="32"/>
          <w:szCs w:val="32"/>
        </w:rPr>
      </w:pPr>
      <w:r w:rsidRPr="001447F3">
        <w:rPr>
          <w:rFonts w:ascii="仿宋" w:eastAsia="仿宋" w:hAnsi="仿宋" w:cs="仿宋" w:hint="eastAsia"/>
          <w:sz w:val="32"/>
          <w:szCs w:val="32"/>
        </w:rPr>
        <w:t>争取严格按照时间进度安排支出，财务督促办公室每季度进行结账，避免集中在年底支出，确保费用核算的及时性和完整性。</w:t>
      </w:r>
    </w:p>
    <w:p w:rsidR="00167DCB" w:rsidRPr="001447F3" w:rsidRDefault="00167DCB" w:rsidP="00167DCB">
      <w:pPr>
        <w:spacing w:line="460" w:lineRule="exact"/>
        <w:ind w:firstLineChars="200" w:firstLine="640"/>
        <w:rPr>
          <w:rFonts w:ascii="仿宋" w:eastAsia="仿宋" w:hAnsi="仿宋"/>
          <w:sz w:val="32"/>
          <w:szCs w:val="32"/>
        </w:rPr>
      </w:pPr>
    </w:p>
    <w:p w:rsidR="00167DCB" w:rsidRPr="001447F3" w:rsidRDefault="00167DCB" w:rsidP="00167DCB">
      <w:pPr>
        <w:spacing w:line="460" w:lineRule="exact"/>
        <w:ind w:firstLineChars="200" w:firstLine="640"/>
        <w:rPr>
          <w:rFonts w:ascii="仿宋" w:eastAsia="仿宋" w:hAnsi="仿宋"/>
          <w:sz w:val="32"/>
          <w:szCs w:val="32"/>
        </w:rPr>
      </w:pPr>
      <w:r w:rsidRPr="001447F3">
        <w:rPr>
          <w:rFonts w:ascii="仿宋" w:eastAsia="仿宋" w:hAnsi="仿宋"/>
          <w:sz w:val="32"/>
          <w:szCs w:val="32"/>
        </w:rPr>
        <w:t>九、部门整体支出绩效自评结果拟应用和公开情况</w:t>
      </w:r>
    </w:p>
    <w:p w:rsidR="00167DCB" w:rsidRPr="001447F3" w:rsidRDefault="00167DCB" w:rsidP="00167DCB">
      <w:pPr>
        <w:spacing w:line="460" w:lineRule="exact"/>
        <w:ind w:firstLineChars="200" w:firstLine="640"/>
        <w:rPr>
          <w:rFonts w:ascii="仿宋" w:eastAsia="仿宋" w:hAnsi="仿宋"/>
          <w:sz w:val="32"/>
          <w:szCs w:val="32"/>
        </w:rPr>
      </w:pPr>
      <w:r w:rsidRPr="001447F3">
        <w:rPr>
          <w:rFonts w:ascii="仿宋" w:eastAsia="仿宋" w:hAnsi="仿宋" w:hint="eastAsia"/>
          <w:sz w:val="32"/>
          <w:szCs w:val="32"/>
        </w:rPr>
        <w:t>十、</w:t>
      </w:r>
      <w:r w:rsidRPr="001447F3">
        <w:rPr>
          <w:rFonts w:ascii="仿宋" w:eastAsia="仿宋" w:hAnsi="仿宋"/>
          <w:sz w:val="32"/>
          <w:szCs w:val="32"/>
        </w:rPr>
        <w:t>其他需要说明的情况</w:t>
      </w:r>
    </w:p>
    <w:p w:rsidR="00C222E3" w:rsidRDefault="00C222E3"/>
    <w:sectPr w:rsidR="00C222E3" w:rsidSect="00C222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楷体_GB2312">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7DCB"/>
    <w:rsid w:val="00167DCB"/>
    <w:rsid w:val="00C22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167DCB"/>
    <w:pPr>
      <w:ind w:firstLineChars="200" w:firstLine="420"/>
    </w:pPr>
    <w:rPr>
      <w:rFonts w:ascii="仿宋" w:hAnsi="仿宋"/>
      <w:kern w:val="0"/>
      <w:sz w:val="28"/>
    </w:rPr>
  </w:style>
  <w:style w:type="paragraph" w:styleId="a3">
    <w:name w:val="List Paragraph"/>
    <w:basedOn w:val="a"/>
    <w:uiPriority w:val="99"/>
    <w:qFormat/>
    <w:rsid w:val="00167DCB"/>
    <w:pPr>
      <w:ind w:firstLineChars="200" w:firstLine="420"/>
    </w:pPr>
    <w:rPr>
      <w:rFonts w:ascii="Calibri" w:hAnsi="Calibri"/>
      <w:kern w:val="0"/>
      <w:sz w:val="28"/>
      <w:szCs w:val="22"/>
    </w:rPr>
  </w:style>
  <w:style w:type="paragraph" w:customStyle="1" w:styleId="211">
    <w:name w:val="正文首行缩进 211"/>
    <w:qFormat/>
    <w:rsid w:val="00167DCB"/>
    <w:pPr>
      <w:autoSpaceDE w:val="0"/>
      <w:ind w:left="420" w:firstLine="420"/>
    </w:pPr>
    <w:rPr>
      <w:rFonts w:ascii="Times New Roman" w:eastAsia="Times New Roman" w:hAnsi="Times New Roman" w:cs="Times New Roman"/>
      <w:kern w:val="0"/>
      <w:szCs w:val="20"/>
    </w:rPr>
  </w:style>
  <w:style w:type="paragraph" w:customStyle="1" w:styleId="Default">
    <w:name w:val="Default"/>
    <w:qFormat/>
    <w:rsid w:val="00167DCB"/>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2024-05-28T08:49:00Z</dcterms:created>
  <dcterms:modified xsi:type="dcterms:W3CDTF">2024-05-28T08:50:00Z</dcterms:modified>
</cp:coreProperties>
</file>