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A3A41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一、主要工作情况</w:t>
      </w:r>
    </w:p>
    <w:p w14:paraId="464BE1B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方正仿宋_GB2312" w:hAnsi="方正仿宋_GB2312" w:eastAsia="方正仿宋_GB2312" w:cs="方正仿宋_GB2312"/>
          <w:b w:val="0"/>
          <w:bCs w:val="0"/>
          <w:spacing w:val="0"/>
          <w:sz w:val="32"/>
          <w:szCs w:val="32"/>
          <w:lang w:val="en-US" w:eastAsia="zh-CN"/>
        </w:rPr>
      </w:pPr>
      <w:r>
        <w:rPr>
          <w:rFonts w:hint="eastAsia" w:ascii="仿宋_GB2312" w:hAnsi="仿宋_GB2312" w:eastAsia="仿宋_GB2312" w:cs="仿宋_GB2312"/>
          <w:b/>
          <w:bCs w:val="0"/>
          <w:color w:val="auto"/>
          <w:sz w:val="32"/>
          <w:szCs w:val="32"/>
          <w:lang w:val="en-US" w:eastAsia="zh-CN"/>
        </w:rPr>
        <w:t>1.聚力加快参保扩面落实参保资助工作。</w:t>
      </w:r>
      <w:r>
        <w:rPr>
          <w:rFonts w:hint="eastAsia" w:ascii="仿宋_GB2312" w:hAnsi="仿宋_GB2312" w:eastAsia="仿宋_GB2312" w:cs="仿宋_GB2312"/>
          <w:b w:val="0"/>
          <w:bCs w:val="0"/>
          <w:color w:val="auto"/>
          <w:sz w:val="32"/>
          <w:szCs w:val="32"/>
          <w:lang w:val="en-US" w:eastAsia="zh-CN"/>
        </w:rPr>
        <w:t>在医保征缴上积极作为，全力推进全民参保计划落实，协同税务部门畅通缴费渠道，加强政策宣传，确保参保率稳定在95%以上、确保困难群众动态参保率达100%，并加强业务培训，做好征缴期后新生儿、特殊人员的参保缴费工作，让医保福利温暖更多人民群众。截至9月，我县居民参保331024人，职工参保19461人，常住人口基本医疗保险参</w:t>
      </w:r>
      <w:r>
        <w:rPr>
          <w:rFonts w:hint="eastAsia" w:ascii="仿宋_GB2312" w:hAnsi="仿宋_GB2312" w:eastAsia="仿宋_GB2312" w:cs="仿宋_GB2312"/>
          <w:bCs/>
          <w:sz w:val="32"/>
          <w:szCs w:val="32"/>
        </w:rPr>
        <w:t>保率达到102.5%，困难人群35788人全部参加基本医疗保险，享受参保资助738.1万元，稳定脱贫人口73108人全部参保，参保率100%。</w:t>
      </w:r>
    </w:p>
    <w:p w14:paraId="351B190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i w:val="0"/>
          <w:caps w:val="0"/>
          <w:color w:val="auto"/>
          <w:spacing w:val="0"/>
          <w:w w:val="100"/>
          <w:kern w:val="2"/>
          <w:sz w:val="32"/>
          <w:szCs w:val="32"/>
          <w:lang w:val="en-US" w:eastAsia="zh-CN" w:bidi="ar-SA"/>
        </w:rPr>
        <w:t>2.全面落实医疗保障兜底政策。</w:t>
      </w:r>
      <w:r>
        <w:rPr>
          <w:rFonts w:hint="eastAsia" w:ascii="仿宋_GB2312" w:hAnsi="仿宋_GB2312" w:eastAsia="仿宋_GB2312" w:cs="仿宋_GB2312"/>
          <w:b/>
          <w:bCs/>
          <w:color w:val="auto"/>
          <w:sz w:val="32"/>
          <w:szCs w:val="32"/>
          <w:lang w:val="en-US" w:eastAsia="zh-CN"/>
        </w:rPr>
        <w:t>一是</w:t>
      </w:r>
      <w:r>
        <w:rPr>
          <w:rFonts w:hint="eastAsia" w:ascii="仿宋_GB2312" w:hAnsi="仿宋_GB2312" w:eastAsia="仿宋_GB2312" w:cs="仿宋_GB2312"/>
          <w:b w:val="0"/>
          <w:bCs w:val="0"/>
          <w:color w:val="auto"/>
          <w:sz w:val="32"/>
          <w:szCs w:val="32"/>
          <w:lang w:val="en-US" w:eastAsia="zh-CN"/>
        </w:rPr>
        <w:t>全面贯彻执行省市有关文件要求的要求，对特困人员、低保对象等返贫致贫人口的实行大病起伏线降低50%，报销比例提高5个百分点，大病保险全国“一站式”结算。</w:t>
      </w:r>
      <w:r>
        <w:rPr>
          <w:rFonts w:hint="eastAsia" w:ascii="仿宋_GB2312" w:hAnsi="仿宋_GB2312" w:eastAsia="仿宋_GB2312" w:cs="仿宋_GB2312"/>
          <w:sz w:val="32"/>
          <w:szCs w:val="32"/>
        </w:rPr>
        <w:t>截至</w:t>
      </w:r>
      <w:r>
        <w:rPr>
          <w:rFonts w:hint="eastAsia" w:ascii="仿宋_GB2312" w:hAnsi="仿宋_GB2312" w:eastAsia="仿宋_GB2312" w:cs="仿宋_GB2312"/>
          <w:sz w:val="32"/>
          <w:szCs w:val="32"/>
          <w:lang w:val="en-US" w:eastAsia="zh-CN"/>
        </w:rPr>
        <w:t>9月</w:t>
      </w:r>
      <w:r>
        <w:rPr>
          <w:rFonts w:hint="eastAsia" w:ascii="仿宋_GB2312" w:hAnsi="仿宋_GB2312" w:eastAsia="仿宋_GB2312" w:cs="仿宋_GB2312"/>
          <w:sz w:val="32"/>
          <w:szCs w:val="32"/>
        </w:rPr>
        <w:t>，大病保险享受2640人次，享受金额1423.84万元，医疗救助享受21674人次，享受金额1334万元。</w:t>
      </w:r>
      <w:r>
        <w:rPr>
          <w:rFonts w:hint="eastAsia" w:ascii="仿宋_GB2312" w:hAnsi="仿宋_GB2312" w:eastAsia="仿宋_GB2312" w:cs="仿宋_GB2312"/>
          <w:b/>
          <w:bCs/>
          <w:color w:val="auto"/>
          <w:sz w:val="32"/>
          <w:szCs w:val="32"/>
          <w:lang w:val="en-US" w:eastAsia="zh-CN"/>
        </w:rPr>
        <w:t>二是</w:t>
      </w:r>
      <w:r>
        <w:rPr>
          <w:rFonts w:hint="eastAsia" w:ascii="仿宋_GB2312" w:hAnsi="仿宋_GB2312" w:eastAsia="仿宋_GB2312" w:cs="仿宋_GB2312"/>
          <w:b w:val="0"/>
          <w:bCs w:val="0"/>
          <w:color w:val="auto"/>
          <w:sz w:val="32"/>
          <w:szCs w:val="32"/>
          <w:lang w:val="en-US" w:eastAsia="zh-CN"/>
        </w:rPr>
        <w:t>每月筛选市外就诊的一、二类救助对象和疑似符合医疗救助标准的三类对象人员名单下发至乡镇（街道），由乡镇（街道）协助就医人员申请医疗救助，每季度比对下发名单享受救助情况，核实未及时申请救助原因，确保不发生规模性因病返贫、因病致贫情况。截至9月30日，住院医疗救助享受9376人次，享受1513.14万元，其中一二类利助对象享受6778人次，享受830.45万元。</w:t>
      </w:r>
    </w:p>
    <w:p w14:paraId="69A044D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val="0"/>
          <w:color w:val="auto"/>
          <w:sz w:val="32"/>
          <w:szCs w:val="32"/>
          <w:lang w:val="en-US" w:eastAsia="zh-CN"/>
        </w:rPr>
        <w:t>3.</w:t>
      </w:r>
      <w:r>
        <w:rPr>
          <w:rStyle w:val="9"/>
          <w:rFonts w:hint="eastAsia" w:ascii="仿宋_GB2312" w:hAnsi="仿宋_GB2312" w:eastAsia="仿宋_GB2312" w:cs="仿宋_GB2312"/>
          <w:b/>
          <w:bCs w:val="0"/>
          <w:i w:val="0"/>
          <w:iCs w:val="0"/>
          <w:caps w:val="0"/>
          <w:color w:val="auto"/>
          <w:spacing w:val="7"/>
          <w:sz w:val="32"/>
          <w:szCs w:val="32"/>
          <w:shd w:val="clear" w:fill="FFFFFF"/>
          <w:lang w:val="en-US" w:eastAsia="zh-CN"/>
        </w:rPr>
        <w:t>全面落实药品耗材集采政策。</w:t>
      </w:r>
      <w:r>
        <w:rPr>
          <w:rFonts w:hint="eastAsia" w:ascii="仿宋_GB2312" w:hAnsi="仿宋_GB2312" w:eastAsia="仿宋_GB2312" w:cs="仿宋_GB2312"/>
          <w:b w:val="0"/>
          <w:bCs w:val="0"/>
          <w:color w:val="auto"/>
          <w:sz w:val="32"/>
          <w:szCs w:val="32"/>
          <w:lang w:val="en-US" w:eastAsia="zh-CN"/>
        </w:rPr>
        <w:t>紧紧围绕国家、省市医疗保障局决策部署，稳步推进药品带量采购惠民工程落地落实，医药费用明显降低，并积极推进集采药品耗材费用由医保基金资金直接制度，有效化解药品耗材供应不足、群众住院药占比过高等问题。截至7月，药品和耗材集采了178个品种（116批次），国采1-7批和各省市联盟合计采购金额为983万元，价格平均降幅达51%，减轻人民群众就医负担1023万元。单个带量采购中选产品采购使用量均达到该品种总使用量80%以上。</w:t>
      </w:r>
    </w:p>
    <w:p w14:paraId="1531640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val="0"/>
          <w:color w:val="auto"/>
          <w:sz w:val="32"/>
          <w:szCs w:val="32"/>
          <w:lang w:val="en-US" w:eastAsia="zh-CN"/>
        </w:rPr>
        <w:t>4.全力服务灾后重建大局。</w:t>
      </w:r>
      <w:r>
        <w:rPr>
          <w:rFonts w:hint="eastAsia" w:ascii="仿宋_GB2312" w:hAnsi="仿宋_GB2312" w:eastAsia="仿宋_GB2312" w:cs="仿宋_GB2312"/>
          <w:b w:val="0"/>
          <w:bCs w:val="0"/>
          <w:color w:val="auto"/>
          <w:sz w:val="32"/>
          <w:szCs w:val="32"/>
          <w:lang w:val="en-US" w:eastAsia="zh-CN"/>
        </w:rPr>
        <w:t>县医疗保障局在“10.17”森林火灾灾后重建工作中充分发挥战斗堡垒和先锋模范作用，帮助受灾群众早日重建家园，尽快恢复生产生活秩序，对门楼下乡、骥村镇等五个乡镇（街道）的受灾居民15225人，予以2023年度城乡居民医保参保缴费资助175元/人，共资助266.43万元。</w:t>
      </w:r>
    </w:p>
    <w:p w14:paraId="7C468358">
      <w:pPr>
        <w:keepNext w:val="0"/>
        <w:keepLines w:val="0"/>
        <w:pageBreakBefore w:val="0"/>
        <w:widowControl w:val="0"/>
        <w:kinsoku/>
        <w:wordWrap/>
        <w:overflowPunct/>
        <w:topLinePunct w:val="0"/>
        <w:autoSpaceDE/>
        <w:autoSpaceDN/>
        <w:bidi w:val="0"/>
        <w:adjustRightInd/>
        <w:snapToGrid/>
        <w:spacing w:line="560" w:lineRule="exact"/>
        <w:ind w:left="0" w:firstLine="643" w:firstLineChars="200"/>
        <w:jc w:val="both"/>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lang w:val="en-US" w:eastAsia="zh-CN"/>
        </w:rPr>
        <w:t>5.优化经办权限推进“15分钟服务圈”。</w:t>
      </w:r>
      <w:r>
        <w:rPr>
          <w:rFonts w:hint="eastAsia" w:ascii="仿宋_GB2312" w:hAnsi="仿宋_GB2312" w:eastAsia="仿宋_GB2312" w:cs="仿宋_GB2312"/>
          <w:b w:val="0"/>
          <w:bCs/>
          <w:color w:val="auto"/>
          <w:sz w:val="32"/>
          <w:szCs w:val="32"/>
          <w:lang w:val="en-US" w:eastAsia="zh-CN"/>
        </w:rPr>
        <w:t>在全县13个乡镇（街道）和237个村（社区）均设置了医保便民服务窗口，开通医保经办服务工号，下放镇级26项、下发村级19项医保业务服务权限；</w:t>
      </w:r>
      <w:r>
        <w:rPr>
          <w:rFonts w:hint="eastAsia" w:ascii="仿宋_GB2312" w:hAnsi="仿宋_GB2312" w:eastAsia="仿宋_GB2312" w:cs="仿宋_GB2312"/>
          <w:b w:val="0"/>
          <w:bCs w:val="0"/>
          <w:color w:val="auto"/>
          <w:sz w:val="32"/>
          <w:szCs w:val="32"/>
          <w:lang w:val="en-US" w:eastAsia="zh-CN"/>
        </w:rPr>
        <w:t>组织各乡镇（街道）分管领导、医保经办人员开展镇级医保政策及业务集中培训2次，抽调我局业务骨干前往各乡镇（街道）组织各村（社区）医保经办人员开展村级医保政策及业务集中培训9次，</w:t>
      </w:r>
      <w:r>
        <w:rPr>
          <w:rFonts w:hint="eastAsia" w:ascii="仿宋_GB2312" w:hAnsi="仿宋_GB2312" w:eastAsia="仿宋_GB2312" w:cs="仿宋_GB2312"/>
          <w:b w:val="0"/>
          <w:bCs/>
          <w:color w:val="auto"/>
          <w:sz w:val="32"/>
          <w:szCs w:val="32"/>
          <w:lang w:val="en-US" w:eastAsia="zh-CN"/>
        </w:rPr>
        <w:t>确保基层医保业务“放得下、接得住、办得好”。</w:t>
      </w:r>
      <w:r>
        <w:rPr>
          <w:rFonts w:hint="eastAsia" w:ascii="仿宋_GB2312" w:hAnsi="仿宋_GB2312" w:eastAsia="仿宋_GB2312" w:cs="仿宋_GB2312"/>
          <w:sz w:val="32"/>
          <w:szCs w:val="32"/>
        </w:rPr>
        <w:t>截至</w:t>
      </w:r>
      <w:r>
        <w:rPr>
          <w:rFonts w:hint="eastAsia" w:ascii="仿宋_GB2312" w:hAnsi="仿宋_GB2312" w:eastAsia="仿宋_GB2312" w:cs="仿宋_GB2312"/>
          <w:sz w:val="32"/>
          <w:szCs w:val="32"/>
          <w:lang w:val="en-US" w:eastAsia="zh-CN"/>
        </w:rPr>
        <w:t>8月底</w:t>
      </w:r>
      <w:r>
        <w:rPr>
          <w:rFonts w:hint="eastAsia" w:ascii="仿宋_GB2312" w:hAnsi="仿宋_GB2312" w:eastAsia="仿宋_GB2312" w:cs="仿宋_GB2312"/>
          <w:sz w:val="32"/>
          <w:szCs w:val="32"/>
        </w:rPr>
        <w:t>，13个乡镇（街道）、237个村（社区）均有办件量，累计办件量2</w:t>
      </w:r>
      <w:r>
        <w:rPr>
          <w:rFonts w:hint="eastAsia" w:ascii="仿宋_GB2312" w:hAnsi="仿宋_GB2312" w:eastAsia="仿宋_GB2312" w:cs="仿宋_GB2312"/>
          <w:sz w:val="32"/>
          <w:szCs w:val="32"/>
          <w:lang w:val="en-US" w:eastAsia="zh-CN"/>
        </w:rPr>
        <w:t>8726</w:t>
      </w:r>
      <w:r>
        <w:rPr>
          <w:rFonts w:hint="eastAsia" w:ascii="仿宋_GB2312" w:hAnsi="仿宋_GB2312" w:eastAsia="仿宋_GB2312" w:cs="仿宋_GB2312"/>
          <w:sz w:val="32"/>
          <w:szCs w:val="32"/>
        </w:rPr>
        <w:t>个，下沉事项基层办理率97.</w:t>
      </w:r>
      <w:r>
        <w:rPr>
          <w:rFonts w:hint="eastAsia" w:ascii="仿宋_GB2312" w:hAnsi="仿宋_GB2312" w:eastAsia="仿宋_GB2312" w:cs="仿宋_GB2312"/>
          <w:sz w:val="32"/>
          <w:szCs w:val="32"/>
          <w:lang w:val="en-US" w:eastAsia="zh-CN"/>
        </w:rPr>
        <w:t>43</w:t>
      </w:r>
      <w:r>
        <w:rPr>
          <w:rFonts w:hint="eastAsia" w:ascii="仿宋_GB2312" w:hAnsi="仿宋_GB2312" w:eastAsia="仿宋_GB2312" w:cs="仿宋_GB2312"/>
          <w:sz w:val="32"/>
          <w:szCs w:val="32"/>
        </w:rPr>
        <w:t>%</w:t>
      </w:r>
      <w:r>
        <w:rPr>
          <w:rFonts w:hint="eastAsia" w:ascii="仿宋_GB2312" w:hAnsi="仿宋_GB2312" w:eastAsia="仿宋_GB2312" w:cs="仿宋_GB2312"/>
          <w:b w:val="0"/>
          <w:bCs w:val="0"/>
          <w:color w:val="auto"/>
          <w:sz w:val="32"/>
          <w:szCs w:val="32"/>
          <w:lang w:val="en-US" w:eastAsia="zh-CN"/>
        </w:rPr>
        <w:t>。</w:t>
      </w:r>
    </w:p>
    <w:p w14:paraId="0DAEF371">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i w:val="0"/>
          <w:caps w:val="0"/>
          <w:color w:val="auto"/>
          <w:spacing w:val="0"/>
          <w:w w:val="100"/>
          <w:kern w:val="2"/>
          <w:sz w:val="32"/>
          <w:szCs w:val="32"/>
          <w:lang w:val="en-US" w:eastAsia="zh-CN" w:bidi="ar-SA"/>
        </w:rPr>
      </w:pPr>
      <w:r>
        <w:rPr>
          <w:rFonts w:hint="eastAsia" w:ascii="仿宋_GB2312" w:hAnsi="仿宋_GB2312" w:eastAsia="仿宋_GB2312" w:cs="仿宋_GB2312"/>
          <w:b/>
          <w:bCs w:val="0"/>
          <w:color w:val="auto"/>
          <w:sz w:val="32"/>
          <w:szCs w:val="32"/>
          <w:lang w:val="en-US" w:eastAsia="zh-CN"/>
        </w:rPr>
        <w:t>6.建设异地医保直接结算。一是</w:t>
      </w:r>
      <w:r>
        <w:rPr>
          <w:rFonts w:hint="eastAsia" w:ascii="仿宋_GB2312" w:hAnsi="仿宋_GB2312" w:eastAsia="仿宋_GB2312" w:cs="仿宋_GB2312"/>
          <w:b w:val="0"/>
          <w:bCs w:val="0"/>
          <w:i w:val="0"/>
          <w:caps w:val="0"/>
          <w:color w:val="auto"/>
          <w:spacing w:val="0"/>
          <w:w w:val="100"/>
          <w:kern w:val="2"/>
          <w:sz w:val="32"/>
          <w:szCs w:val="32"/>
          <w:lang w:val="en-US" w:eastAsia="zh-CN" w:bidi="ar-SA"/>
        </w:rPr>
        <w:t>成立转诊服务中心，提供异地备案“帮代办</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b w:val="0"/>
          <w:bCs w:val="0"/>
          <w:i w:val="0"/>
          <w:caps w:val="0"/>
          <w:color w:val="auto"/>
          <w:spacing w:val="0"/>
          <w:w w:val="100"/>
          <w:kern w:val="2"/>
          <w:sz w:val="32"/>
          <w:szCs w:val="32"/>
          <w:lang w:val="en-US" w:eastAsia="zh-CN" w:bidi="ar-SA"/>
        </w:rPr>
        <w:t>服务，群众可通过智慧人社APP、湘医保APP、国家医保平台和电话申请异地就医备案的，工作人员会在24小时内完成审核。截至6月30日，及时审核异地就医联网备案申请9300人次。</w:t>
      </w:r>
      <w:r>
        <w:rPr>
          <w:rFonts w:hint="eastAsia" w:ascii="仿宋_GB2312" w:hAnsi="仿宋_GB2312" w:eastAsia="仿宋_GB2312" w:cs="仿宋_GB2312"/>
          <w:b/>
          <w:bCs/>
          <w:i w:val="0"/>
          <w:caps w:val="0"/>
          <w:color w:val="auto"/>
          <w:spacing w:val="0"/>
          <w:w w:val="100"/>
          <w:kern w:val="2"/>
          <w:sz w:val="32"/>
          <w:szCs w:val="32"/>
          <w:lang w:val="en-US" w:eastAsia="zh-CN" w:bidi="ar-SA"/>
        </w:rPr>
        <w:t>二是</w:t>
      </w:r>
      <w:r>
        <w:rPr>
          <w:rFonts w:hint="eastAsia" w:ascii="仿宋_GB2312" w:hAnsi="仿宋_GB2312" w:eastAsia="仿宋_GB2312" w:cs="仿宋_GB2312"/>
          <w:b w:val="0"/>
          <w:bCs w:val="0"/>
          <w:i w:val="0"/>
          <w:caps w:val="0"/>
          <w:color w:val="auto"/>
          <w:spacing w:val="0"/>
          <w:w w:val="100"/>
          <w:kern w:val="2"/>
          <w:sz w:val="32"/>
          <w:szCs w:val="32"/>
          <w:lang w:val="en-US" w:eastAsia="zh-CN" w:bidi="ar-SA"/>
        </w:rPr>
        <w:t>全面实现异地联网结算，新田县21家医疗机构已全部开通省内异地门诊、43个门诊慢特病结算业务，开通率达100%；以县政府办名义印发《关于开展异地长期居住人员备案的通知》，更好地保障我县外出务工、经商、就读等市外居住人员的医保权益。截至6月30日，我县跨省异地住院直接结算率81%；省内异地住院直接结算率94%、普通门诊直接结算率99%，门诊慢特病直接结算率80%。</w:t>
      </w:r>
    </w:p>
    <w:p w14:paraId="10276248">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i w:val="0"/>
          <w:caps w:val="0"/>
          <w:color w:val="auto"/>
          <w:spacing w:val="0"/>
          <w:w w:val="100"/>
          <w:kern w:val="2"/>
          <w:sz w:val="32"/>
          <w:szCs w:val="32"/>
          <w:lang w:val="en-US" w:eastAsia="zh-CN" w:bidi="ar-SA"/>
        </w:rPr>
      </w:pPr>
      <w:r>
        <w:rPr>
          <w:rFonts w:hint="eastAsia" w:ascii="仿宋_GB2312" w:hAnsi="仿宋_GB2312" w:eastAsia="仿宋_GB2312" w:cs="仿宋_GB2312"/>
          <w:b/>
          <w:bCs/>
          <w:sz w:val="32"/>
          <w:szCs w:val="32"/>
          <w:lang w:val="en-US" w:eastAsia="zh-CN"/>
        </w:rPr>
        <w:t>7.</w:t>
      </w:r>
      <w:r>
        <w:rPr>
          <w:rFonts w:hint="eastAsia" w:ascii="仿宋_GB2312" w:hAnsi="仿宋_GB2312" w:eastAsia="仿宋_GB2312" w:cs="仿宋_GB2312"/>
          <w:b/>
          <w:bCs/>
          <w:sz w:val="32"/>
          <w:szCs w:val="32"/>
        </w:rPr>
        <w:t>全面落实DIP付费方式改革。</w:t>
      </w:r>
      <w:r>
        <w:rPr>
          <w:rFonts w:hint="eastAsia" w:ascii="仿宋_GB2312" w:hAnsi="仿宋_GB2312" w:eastAsia="仿宋_GB2312" w:cs="仿宋_GB2312"/>
          <w:sz w:val="32"/>
          <w:szCs w:val="32"/>
        </w:rPr>
        <w:t>全面推进以DIP为主，化疗门诊报账等多种方式为辅的支付方式改革，及时组织定点医疗机构召开DIP支付方式改革座谈会，认真反馈和分析目前在医保支付改革过程中存在的问题，互相交流总结经验，建立以成本控制为中心的管理模式，形成精细化管理的“内延式”发展。</w:t>
      </w:r>
      <w:r>
        <w:rPr>
          <w:rFonts w:hint="eastAsia" w:ascii="仿宋_GB2312" w:hAnsi="仿宋_GB2312" w:eastAsia="仿宋_GB2312" w:cs="仿宋_GB2312"/>
          <w:sz w:val="32"/>
          <w:szCs w:val="32"/>
          <w:lang w:eastAsia="zh-CN"/>
        </w:rPr>
        <w:t>我县</w:t>
      </w:r>
      <w:r>
        <w:rPr>
          <w:rFonts w:hint="eastAsia" w:ascii="仿宋_GB2312" w:hAnsi="仿宋_GB2312" w:eastAsia="仿宋_GB2312" w:cs="仿宋_GB2312"/>
          <w:sz w:val="32"/>
          <w:szCs w:val="32"/>
        </w:rPr>
        <w:t>8家医疗机构实行DIP付费改革，付费医疗机构病种覆盖率达95%以上、DIP付费医保基金占住院医保基金支出达92%以上，DIP付费方式结算医疗机构基本实现盈利目标，根据市局安排，我县石羊、枧头、金盆、新圩、新隆5家卫生院从今年10月1日起纳入DIP支付方式改革。</w:t>
      </w:r>
    </w:p>
    <w:p w14:paraId="2165D4CB">
      <w:pPr>
        <w:pStyle w:val="4"/>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 w:val="0"/>
          <w:bCs w:val="0"/>
          <w:i w:val="0"/>
          <w:caps w:val="0"/>
          <w:color w:val="auto"/>
          <w:spacing w:val="0"/>
          <w:w w:val="100"/>
          <w:kern w:val="2"/>
          <w:sz w:val="32"/>
          <w:szCs w:val="32"/>
          <w:lang w:val="en-US" w:eastAsia="zh-CN" w:bidi="ar-SA"/>
        </w:rPr>
      </w:pPr>
      <w:r>
        <w:rPr>
          <w:rFonts w:hint="eastAsia" w:ascii="仿宋_GB2312" w:hAnsi="仿宋_GB2312" w:eastAsia="仿宋_GB2312" w:cs="仿宋_GB2312"/>
          <w:b/>
          <w:bCs w:val="0"/>
          <w:color w:val="auto"/>
          <w:sz w:val="32"/>
          <w:szCs w:val="32"/>
          <w:lang w:val="en-US" w:eastAsia="zh-CN"/>
        </w:rPr>
        <w:t>8.开展</w:t>
      </w:r>
      <w:r>
        <w:rPr>
          <w:rFonts w:hint="eastAsia" w:ascii="仿宋_GB2312" w:hAnsi="仿宋_GB2312" w:eastAsia="仿宋_GB2312" w:cs="仿宋_GB2312"/>
          <w:b/>
          <w:bCs w:val="0"/>
          <w:i w:val="0"/>
          <w:iCs w:val="0"/>
          <w:caps w:val="0"/>
          <w:color w:val="auto"/>
          <w:spacing w:val="7"/>
          <w:sz w:val="32"/>
          <w:szCs w:val="32"/>
          <w:shd w:val="clear" w:fill="FFFFFF"/>
          <w:lang w:val="en-US" w:eastAsia="zh-CN"/>
        </w:rPr>
        <w:t>“免费配送健康快车”活动。</w:t>
      </w:r>
      <w:r>
        <w:rPr>
          <w:rFonts w:hint="eastAsia" w:ascii="仿宋_GB2312" w:hAnsi="仿宋_GB2312" w:eastAsia="仿宋_GB2312" w:cs="仿宋_GB2312"/>
          <w:b w:val="0"/>
          <w:bCs w:val="0"/>
          <w:color w:val="auto"/>
          <w:kern w:val="2"/>
          <w:sz w:val="32"/>
          <w:szCs w:val="32"/>
          <w:lang w:val="en-US" w:eastAsia="zh-CN" w:bidi="ar-SA"/>
        </w:rPr>
        <w:t>我县率先在全省开展免费配送药品工作，在全县区域划分7条（其中特门、双通道4条，“两病”用药3条）线路进行免费配送，每台车辆至少2名送药人员负责，实现了县城的病人在接到需求后的当天送到，乡镇的病人在接到需求后的2日内送药到家。</w:t>
      </w:r>
    </w:p>
    <w:p w14:paraId="5A4B3224">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i w:val="0"/>
          <w:caps w:val="0"/>
          <w:color w:val="auto"/>
          <w:spacing w:val="0"/>
          <w:w w:val="100"/>
          <w:kern w:val="2"/>
          <w:sz w:val="32"/>
          <w:szCs w:val="32"/>
          <w:lang w:val="en-US" w:eastAsia="zh-CN" w:bidi="ar-SA"/>
        </w:rPr>
      </w:pPr>
      <w:r>
        <w:rPr>
          <w:rFonts w:hint="eastAsia" w:ascii="仿宋_GB2312" w:hAnsi="仿宋_GB2312" w:eastAsia="仿宋_GB2312" w:cs="仿宋_GB2312"/>
          <w:b/>
          <w:bCs w:val="0"/>
          <w:color w:val="auto"/>
          <w:sz w:val="32"/>
          <w:szCs w:val="32"/>
          <w:lang w:val="en-US" w:eastAsia="zh-CN"/>
        </w:rPr>
        <w:t>9.创建“流动医保服务站”</w:t>
      </w:r>
      <w:r>
        <w:rPr>
          <w:rFonts w:hint="eastAsia" w:ascii="仿宋_GB2312" w:hAnsi="仿宋_GB2312" w:eastAsia="仿宋_GB2312" w:cs="仿宋_GB2312"/>
          <w:b/>
          <w:bCs w:val="0"/>
          <w:i w:val="0"/>
          <w:caps w:val="0"/>
          <w:color w:val="auto"/>
          <w:spacing w:val="0"/>
          <w:w w:val="100"/>
          <w:kern w:val="2"/>
          <w:sz w:val="32"/>
          <w:szCs w:val="32"/>
          <w:shd w:val="clear" w:color="auto" w:fill="auto"/>
          <w:lang w:val="en-US" w:eastAsia="zh-CN" w:bidi="ar-SA"/>
        </w:rPr>
        <w:t>。</w:t>
      </w:r>
      <w:r>
        <w:rPr>
          <w:rFonts w:hint="eastAsia" w:ascii="仿宋_GB2312" w:hAnsi="仿宋_GB2312" w:eastAsia="仿宋_GB2312" w:cs="仿宋_GB2312"/>
          <w:b w:val="0"/>
          <w:bCs w:val="0"/>
          <w:i w:val="0"/>
          <w:caps w:val="0"/>
          <w:color w:val="auto"/>
          <w:spacing w:val="0"/>
          <w:w w:val="100"/>
          <w:kern w:val="2"/>
          <w:sz w:val="32"/>
          <w:szCs w:val="32"/>
          <w:lang w:val="en-US" w:eastAsia="zh-CN" w:bidi="ar-SA"/>
        </w:rPr>
        <w:t>为便于我县大量外出人口及时办理医保事项和享受医保政策，我县多次前往广州实地考核，已确定在外出人口居住密集的广州市花都区、清远市、东莞市设立3个流动医保服务站，目前已开展医保经办业务，并实现了办件。医保流动服务站可以办理参保登记、信息查询、信息变更等业务外，还运用“帮代办”的方式受理报账、医疗救助等业务，并承担医保征缴、待遇政策宣传和政策咨询等职能，更进一步方便了我县外出务工群众办理医保业务，了解本统筹区的医保政策，极大提升人民群众的“获得感”“幸福感”，铸就新田医保服务名片。</w:t>
      </w:r>
    </w:p>
    <w:p w14:paraId="768F50B4">
      <w:pPr>
        <w:keepNext w:val="0"/>
        <w:keepLines w:val="0"/>
        <w:pageBreakBefore w:val="0"/>
        <w:widowControl w:val="0"/>
        <w:kinsoku/>
        <w:wordWrap/>
        <w:overflowPunct/>
        <w:topLinePunct w:val="0"/>
        <w:autoSpaceDE/>
        <w:autoSpaceDN/>
        <w:bidi w:val="0"/>
        <w:adjustRightInd/>
        <w:snapToGrid/>
        <w:spacing w:line="560" w:lineRule="exact"/>
        <w:ind w:left="0" w:firstLine="643"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i w:val="0"/>
          <w:caps w:val="0"/>
          <w:color w:val="auto"/>
          <w:spacing w:val="0"/>
          <w:w w:val="100"/>
          <w:kern w:val="2"/>
          <w:sz w:val="32"/>
          <w:szCs w:val="32"/>
          <w:lang w:val="en-US" w:eastAsia="zh-CN" w:bidi="ar-SA"/>
        </w:rPr>
        <w:t>10.</w:t>
      </w:r>
      <w:r>
        <w:rPr>
          <w:rFonts w:hint="eastAsia" w:ascii="仿宋_GB2312" w:hAnsi="仿宋_GB2312" w:eastAsia="仿宋_GB2312" w:cs="仿宋_GB2312"/>
          <w:b/>
          <w:bCs/>
          <w:sz w:val="32"/>
          <w:szCs w:val="32"/>
        </w:rPr>
        <w:t>全力守护群众“救命钱”。</w:t>
      </w:r>
      <w:r>
        <w:rPr>
          <w:rFonts w:hint="eastAsia" w:ascii="仿宋_GB2312" w:hAnsi="仿宋_GB2312" w:eastAsia="仿宋_GB2312" w:cs="仿宋_GB2312"/>
          <w:sz w:val="32"/>
          <w:szCs w:val="32"/>
        </w:rPr>
        <w:t>聚焦重点领域、重点对象、重点药品耗材，常态化开展监督检查，核查问题线索及疑点数据，全面开展自查自纠，严肃查处造假欺诈、虚构医疗服务项目、过度诊疗、医保卡套现等欺诈骗保行为，确保基金安全高效使用，并将违法违规机构和个人信息对接信用永州信息系统，使违法分子一处违法，处处受限。截至</w:t>
      </w:r>
      <w:r>
        <w:rPr>
          <w:rFonts w:hint="eastAsia" w:ascii="仿宋_GB2312" w:hAnsi="仿宋_GB2312" w:eastAsia="仿宋_GB2312" w:cs="仿宋_GB2312"/>
          <w:sz w:val="32"/>
          <w:szCs w:val="32"/>
          <w:lang w:val="en-US" w:eastAsia="zh-CN"/>
        </w:rPr>
        <w:t>9月</w:t>
      </w:r>
      <w:r>
        <w:rPr>
          <w:rFonts w:hint="eastAsia" w:ascii="仿宋_GB2312" w:hAnsi="仿宋_GB2312" w:eastAsia="仿宋_GB2312" w:cs="仿宋_GB2312"/>
          <w:sz w:val="32"/>
          <w:szCs w:val="32"/>
        </w:rPr>
        <w:t>，对全县110家定点医药机构开展全覆盖检查，共查处109家定点医药机构，追回医保基金43万元，处罚金额1.73万元。</w:t>
      </w:r>
    </w:p>
    <w:p w14:paraId="5036F981">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i w:val="0"/>
          <w:caps w:val="0"/>
          <w:color w:val="auto"/>
          <w:spacing w:val="0"/>
          <w:w w:val="100"/>
          <w:kern w:val="2"/>
          <w:sz w:val="32"/>
          <w:szCs w:val="32"/>
          <w:lang w:val="en-US" w:eastAsia="zh-CN" w:bidi="ar-SA"/>
        </w:rPr>
      </w:pPr>
      <w:bookmarkStart w:id="0" w:name="_GoBack"/>
      <w:bookmarkEnd w:id="0"/>
    </w:p>
    <w:p w14:paraId="624E7E22">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仿宋_GB2312" w:hAnsi="仿宋_GB2312" w:eastAsia="仿宋_GB2312" w:cs="仿宋_GB2312"/>
          <w:b w:val="0"/>
          <w:bCs w:val="0"/>
          <w:i w:val="0"/>
          <w:caps w:val="0"/>
          <w:color w:val="auto"/>
          <w:spacing w:val="0"/>
          <w:w w:val="100"/>
          <w:kern w:val="2"/>
          <w:sz w:val="32"/>
          <w:szCs w:val="32"/>
          <w:lang w:val="en-US" w:eastAsia="zh-CN" w:bidi="ar-SA"/>
        </w:rPr>
      </w:pPr>
    </w:p>
    <w:p w14:paraId="21B4BE5E">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i w:val="0"/>
          <w:caps w:val="0"/>
          <w:color w:val="auto"/>
          <w:spacing w:val="0"/>
          <w:w w:val="100"/>
          <w:kern w:val="2"/>
          <w:sz w:val="32"/>
          <w:szCs w:val="32"/>
          <w:lang w:val="en-US" w:eastAsia="zh-CN" w:bidi="ar-SA"/>
        </w:rPr>
      </w:pPr>
    </w:p>
    <w:p w14:paraId="652B862F">
      <w:pPr>
        <w:rPr>
          <w:rFonts w:hint="eastAsia" w:ascii="方正仿宋_GB2312" w:hAnsi="方正仿宋_GB2312" w:eastAsia="方正仿宋_GB2312" w:cs="方正仿宋_GB2312"/>
          <w:b w:val="0"/>
          <w:bCs w:val="0"/>
          <w:sz w:val="32"/>
          <w:szCs w:val="32"/>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E695832-BDAF-45F3-B2A5-AC63CD6EBCA2}"/>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embedRegular r:id="rId2" w:fontKey="{464A56B7-2E62-41FD-A84F-284D0E5F016E}"/>
  </w:font>
  <w:font w:name="方正仿宋_GB2312">
    <w:panose1 w:val="02000000000000000000"/>
    <w:charset w:val="86"/>
    <w:family w:val="auto"/>
    <w:pitch w:val="default"/>
    <w:sig w:usb0="A00002BF" w:usb1="184F6CFA" w:usb2="00000012" w:usb3="00000000" w:csb0="00040001" w:csb1="00000000"/>
    <w:embedRegular r:id="rId3" w:fontKey="{BF401390-F476-4EEA-9E70-696914BD4C7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JhODY2NTRiOTM4ZWY1Mjc1ZGJmNTQ0MDAxYjhiMzkifQ=="/>
  </w:docVars>
  <w:rsids>
    <w:rsidRoot w:val="00000000"/>
    <w:rsid w:val="027A4A42"/>
    <w:rsid w:val="0C714BCF"/>
    <w:rsid w:val="0D0B3146"/>
    <w:rsid w:val="16A63AA6"/>
    <w:rsid w:val="18D947C7"/>
    <w:rsid w:val="1ABD2416"/>
    <w:rsid w:val="23EF5642"/>
    <w:rsid w:val="28BC1F5F"/>
    <w:rsid w:val="337E7BA2"/>
    <w:rsid w:val="4D461C73"/>
    <w:rsid w:val="4FD620FC"/>
    <w:rsid w:val="51330760"/>
    <w:rsid w:val="57E91B79"/>
    <w:rsid w:val="59CC3500"/>
    <w:rsid w:val="5A23587B"/>
    <w:rsid w:val="5A971D60"/>
    <w:rsid w:val="5EFB1E97"/>
    <w:rsid w:val="611341E6"/>
    <w:rsid w:val="63D57455"/>
    <w:rsid w:val="66B71094"/>
    <w:rsid w:val="69290213"/>
    <w:rsid w:val="699A345C"/>
    <w:rsid w:val="6A3A6264"/>
    <w:rsid w:val="6B0D3978"/>
    <w:rsid w:val="6D2F6AC9"/>
    <w:rsid w:val="71F35178"/>
    <w:rsid w:val="737D3324"/>
    <w:rsid w:val="77901B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99"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index 5"/>
    <w:basedOn w:val="1"/>
    <w:next w:val="1"/>
    <w:qFormat/>
    <w:uiPriority w:val="0"/>
    <w:pPr>
      <w:ind w:left="1680"/>
    </w:pPr>
  </w:style>
  <w:style w:type="paragraph" w:styleId="3">
    <w:name w:val="Body Text"/>
    <w:basedOn w:val="1"/>
    <w:next w:val="4"/>
    <w:qFormat/>
    <w:uiPriority w:val="0"/>
    <w:pPr>
      <w:spacing w:after="120"/>
    </w:pPr>
    <w:rPr>
      <w:rFonts w:ascii="Times New Roman" w:hAnsi="Times New Roman" w:cs="Times New Roman"/>
      <w:szCs w:val="24"/>
    </w:rPr>
  </w:style>
  <w:style w:type="paragraph" w:styleId="4">
    <w:name w:val="List Paragraph"/>
    <w:basedOn w:val="1"/>
    <w:qFormat/>
    <w:uiPriority w:val="0"/>
    <w:pPr>
      <w:ind w:firstLine="200" w:firstLineChars="200"/>
    </w:pPr>
    <w:rPr>
      <w:rFonts w:ascii="Times New Roman" w:hAnsi="Times New Roman" w:eastAsia="方正小标宋简体" w:cs="Times New Roman"/>
      <w:lang w:bidi="ar-SA"/>
    </w:rPr>
  </w:style>
  <w:style w:type="paragraph" w:styleId="5">
    <w:name w:val="toc 5"/>
    <w:basedOn w:val="1"/>
    <w:next w:val="1"/>
    <w:semiHidden/>
    <w:qFormat/>
    <w:uiPriority w:val="99"/>
    <w:pPr>
      <w:ind w:left="1680" w:leftChars="800"/>
    </w:pPr>
  </w:style>
  <w:style w:type="paragraph" w:styleId="6">
    <w:name w:val="footer"/>
    <w:basedOn w:val="1"/>
    <w:next w:val="2"/>
    <w:unhideWhenUsed/>
    <w:qFormat/>
    <w:uiPriority w:val="99"/>
    <w:pPr>
      <w:tabs>
        <w:tab w:val="center" w:pos="4153"/>
        <w:tab w:val="right" w:pos="8306"/>
      </w:tabs>
      <w:snapToGrid w:val="0"/>
      <w:jc w:val="left"/>
    </w:pPr>
    <w:rPr>
      <w:sz w:val="18"/>
      <w:szCs w:val="18"/>
    </w:rPr>
  </w:style>
  <w:style w:type="character" w:styleId="9">
    <w:name w:val="Strong"/>
    <w:basedOn w:val="8"/>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2579</Words>
  <Characters>2774</Characters>
  <Lines>0</Lines>
  <Paragraphs>0</Paragraphs>
  <TotalTime>40</TotalTime>
  <ScaleCrop>false</ScaleCrop>
  <LinksUpToDate>false</LinksUpToDate>
  <CharactersWithSpaces>2774</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2023-07-21T03:37:00Z</dcterms:created>
  <dc:creator>Administrator</dc:creator>
  <cp:lastModifiedBy>安淇</cp:lastModifiedBy>
  <dcterms:modified xsi:type="dcterms:W3CDTF">2024-09-11T04:13:38Z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1D87A84AA34B4993A405B03B022E4D3C_13</vt:lpwstr>
  </property>
</Properties>
</file>