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附件1</w:t>
      </w:r>
    </w:p>
    <w:p>
      <w:pPr>
        <w:spacing w:line="600" w:lineRule="exact"/>
        <w:rPr>
          <w:rFonts w:eastAsia="黑体"/>
          <w:sz w:val="32"/>
          <w:szCs w:val="32"/>
        </w:rPr>
      </w:pPr>
    </w:p>
    <w:p>
      <w:pPr>
        <w:spacing w:line="600" w:lineRule="exact"/>
        <w:rPr>
          <w:rFonts w:eastAsia="黑体"/>
          <w:sz w:val="32"/>
          <w:szCs w:val="32"/>
        </w:rPr>
      </w:pPr>
    </w:p>
    <w:p>
      <w:pPr>
        <w:spacing w:line="600" w:lineRule="exact"/>
        <w:rPr>
          <w:rFonts w:eastAsia="黑体"/>
          <w:sz w:val="32"/>
          <w:szCs w:val="32"/>
        </w:rPr>
      </w:pPr>
    </w:p>
    <w:p>
      <w:pPr>
        <w:jc w:val="center"/>
        <w:rPr>
          <w:rFonts w:hint="eastAsia" w:ascii="方正小标宋简体" w:eastAsia="方正小标宋简体"/>
          <w:sz w:val="52"/>
          <w:szCs w:val="52"/>
        </w:rPr>
      </w:pPr>
      <w:r>
        <w:rPr>
          <w:rFonts w:hint="eastAsia" w:ascii="方正小标宋简体" w:eastAsia="方正小标宋简体"/>
          <w:sz w:val="52"/>
          <w:szCs w:val="52"/>
        </w:rPr>
        <w:t>2023年度</w:t>
      </w:r>
      <w:r>
        <w:rPr>
          <w:rFonts w:hint="eastAsia" w:ascii="方正小标宋简体" w:eastAsia="方正小标宋简体"/>
          <w:sz w:val="52"/>
          <w:szCs w:val="52"/>
          <w:lang w:eastAsia="zh-CN"/>
        </w:rPr>
        <w:t>新田县自然资源局</w:t>
      </w:r>
      <w:r>
        <w:rPr>
          <w:rFonts w:hint="eastAsia" w:ascii="方正小标宋简体" w:eastAsia="方正小标宋简体"/>
          <w:sz w:val="52"/>
          <w:szCs w:val="52"/>
        </w:rPr>
        <w:t>整体支出绩效自评报告</w:t>
      </w:r>
    </w:p>
    <w:p>
      <w:pPr>
        <w:jc w:val="center"/>
        <w:rPr>
          <w:rFonts w:eastAsia="方正小标宋_GBK"/>
          <w:b/>
          <w:sz w:val="52"/>
          <w:szCs w:val="52"/>
        </w:rPr>
      </w:pPr>
    </w:p>
    <w:p>
      <w:pPr>
        <w:jc w:val="center"/>
        <w:rPr>
          <w:rFonts w:eastAsia="楷体_GB2312"/>
          <w:b/>
          <w:sz w:val="32"/>
          <w:szCs w:val="32"/>
        </w:rPr>
      </w:pPr>
    </w:p>
    <w:p>
      <w:pPr>
        <w:jc w:val="center"/>
        <w:rPr>
          <w:rFonts w:eastAsia="楷体_GB2312"/>
          <w:b/>
          <w:sz w:val="32"/>
          <w:szCs w:val="32"/>
        </w:rPr>
      </w:pPr>
    </w:p>
    <w:p>
      <w:pPr>
        <w:jc w:val="center"/>
        <w:rPr>
          <w:rFonts w:eastAsia="楷体_GB2312"/>
          <w:b/>
          <w:sz w:val="32"/>
          <w:szCs w:val="32"/>
        </w:rPr>
      </w:pPr>
    </w:p>
    <w:p>
      <w:pPr>
        <w:jc w:val="center"/>
        <w:rPr>
          <w:rFonts w:eastAsia="楷体_GB2312"/>
          <w:b/>
          <w:sz w:val="32"/>
          <w:szCs w:val="32"/>
        </w:rPr>
      </w:pPr>
    </w:p>
    <w:p>
      <w:pPr>
        <w:jc w:val="center"/>
        <w:rPr>
          <w:rFonts w:eastAsia="楷体_GB2312"/>
          <w:b/>
          <w:sz w:val="32"/>
          <w:szCs w:val="32"/>
        </w:rPr>
      </w:pPr>
    </w:p>
    <w:p>
      <w:pPr>
        <w:jc w:val="center"/>
        <w:rPr>
          <w:rFonts w:eastAsia="楷体_GB2312"/>
          <w:b/>
          <w:sz w:val="32"/>
          <w:szCs w:val="32"/>
        </w:rPr>
      </w:pPr>
    </w:p>
    <w:p>
      <w:pPr>
        <w:jc w:val="center"/>
        <w:rPr>
          <w:rFonts w:eastAsia="黑体"/>
          <w:sz w:val="32"/>
          <w:szCs w:val="32"/>
        </w:rPr>
      </w:pPr>
    </w:p>
    <w:p>
      <w:pPr>
        <w:jc w:val="center"/>
        <w:rPr>
          <w:rFonts w:eastAsia="黑体"/>
          <w:sz w:val="32"/>
          <w:szCs w:val="32"/>
        </w:rPr>
      </w:pPr>
    </w:p>
    <w:p>
      <w:pPr>
        <w:spacing w:line="600" w:lineRule="exact"/>
        <w:jc w:val="center"/>
        <w:rPr>
          <w:rFonts w:eastAsia="仿宋_GB2312"/>
          <w:sz w:val="32"/>
          <w:szCs w:val="32"/>
          <w:u w:val="single"/>
        </w:rPr>
      </w:pPr>
      <w:r>
        <w:rPr>
          <w:rFonts w:eastAsia="仿宋_GB2312"/>
          <w:sz w:val="32"/>
          <w:szCs w:val="32"/>
        </w:rPr>
        <w:t>单位名称：</w:t>
      </w:r>
      <w:r>
        <w:rPr>
          <w:rFonts w:eastAsia="仿宋_GB2312"/>
          <w:sz w:val="32"/>
          <w:szCs w:val="32"/>
          <w:u w:val="single"/>
        </w:rPr>
        <w:t>（盖章）</w:t>
      </w:r>
    </w:p>
    <w:p>
      <w:pPr>
        <w:spacing w:line="600" w:lineRule="exact"/>
        <w:ind w:firstLine="3200" w:firstLineChars="1000"/>
        <w:rPr>
          <w:rFonts w:eastAsia="楷体_GB2312"/>
          <w:sz w:val="32"/>
          <w:szCs w:val="32"/>
        </w:rPr>
      </w:pPr>
      <w:r>
        <w:rPr>
          <w:rFonts w:eastAsia="楷体_GB2312"/>
          <w:sz w:val="32"/>
          <w:szCs w:val="32"/>
        </w:rPr>
        <w:t>年  月  日</w:t>
      </w:r>
    </w:p>
    <w:p>
      <w:pPr>
        <w:jc w:val="center"/>
        <w:rPr>
          <w:rFonts w:eastAsia="黑体"/>
          <w:sz w:val="32"/>
          <w:szCs w:val="32"/>
        </w:rPr>
      </w:pPr>
    </w:p>
    <w:p>
      <w:pPr>
        <w:jc w:val="center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（此页为封面）</w:t>
      </w:r>
    </w:p>
    <w:p>
      <w:pPr>
        <w:spacing w:line="600" w:lineRule="exact"/>
        <w:ind w:firstLine="640" w:firstLineChars="200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eastAsia="仿宋_GB2312"/>
          <w:sz w:val="32"/>
          <w:szCs w:val="32"/>
        </w:rPr>
        <w:br w:type="page"/>
      </w:r>
      <w:r>
        <w:rPr>
          <w:rFonts w:hint="eastAsia" w:ascii="仿宋" w:hAnsi="仿宋" w:eastAsia="仿宋" w:cs="仿宋"/>
          <w:b/>
          <w:bCs/>
          <w:sz w:val="32"/>
          <w:szCs w:val="32"/>
        </w:rPr>
        <w:t>一、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单位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基本情况</w:t>
      </w:r>
    </w:p>
    <w:p>
      <w:pPr>
        <w:spacing w:line="600" w:lineRule="exact"/>
        <w:ind w:firstLine="643" w:firstLineChars="200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（一）单位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职能职责、机构编制和人员构成</w:t>
      </w:r>
    </w:p>
    <w:p>
      <w:pPr>
        <w:spacing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新田县自然资源局是新田县人民政府工作部门，财政全额拨款的正科级单位，其主要职责是：承担保护和合理利用土地资源、矿产资源等自然资源的责任，承担规范国土资源管理秩序、优化配置国土资源、全县耕地保护、及时准确提供全县土地利用各种数据、节约集约利用土地资源、地质环境保护以及地质灾害预防和治理等责任，负责规范国土资源权属管理、矿产资源开发、统一监督管理全县测绘工作，依法依规征收国土资源收益，规范、监督资金使用等。</w:t>
      </w:r>
    </w:p>
    <w:p>
      <w:pPr>
        <w:spacing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内设办公室、纪检监察和人事教育股、财务审计股、机关党委办、政策法规信访股、行政审批股、自然资源调查监测股、自然资源开发利用股、国土空间用途管制股、国土空间生态修复股、矿业权管理股、耕地保护监督股、森林资源管理股 、造林绿化股（退耕办）、林长制工作办公室、自然保护地管理股和野生动植物保护股、森林防火宣传股，共计17个股室。归口管理的事业单位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</w:rPr>
        <w:t>个，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即自然资源行政执法大队</w:t>
      </w:r>
      <w:r>
        <w:rPr>
          <w:rFonts w:hint="eastAsia" w:ascii="仿宋" w:hAnsi="仿宋" w:eastAsia="仿宋" w:cs="仿宋"/>
          <w:sz w:val="32"/>
          <w:szCs w:val="32"/>
        </w:rPr>
        <w:t>、土地和房屋征收补偿事务中心、不动产登记中心、肥源国有林场；所属事业单位分别是县土地收购储备中心、县国土生态环境修复中心、县国土资源局测绘队、测绘室、地理信息中心、城乡规划中心、13个自然资源所。</w:t>
      </w:r>
    </w:p>
    <w:p>
      <w:pPr>
        <w:spacing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3年</w:t>
      </w:r>
      <w:r>
        <w:rPr>
          <w:rFonts w:hint="eastAsia" w:ascii="仿宋" w:hAnsi="仿宋" w:eastAsia="仿宋" w:cs="仿宋"/>
          <w:sz w:val="32"/>
          <w:szCs w:val="32"/>
        </w:rPr>
        <w:t>末全局有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在职</w:t>
      </w:r>
      <w:r>
        <w:rPr>
          <w:rFonts w:hint="eastAsia" w:ascii="仿宋" w:hAnsi="仿宋" w:eastAsia="仿宋" w:cs="仿宋"/>
          <w:sz w:val="32"/>
          <w:szCs w:val="32"/>
        </w:rPr>
        <w:t>干部职工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165</w:t>
      </w:r>
      <w:r>
        <w:rPr>
          <w:rFonts w:hint="eastAsia" w:ascii="仿宋" w:hAnsi="仿宋" w:eastAsia="仿宋" w:cs="仿宋"/>
          <w:sz w:val="32"/>
          <w:szCs w:val="32"/>
        </w:rPr>
        <w:t>人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其中行政编制人员1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人，工勤编制人员1人，全额拨款事业编制人员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149</w:t>
      </w:r>
      <w:r>
        <w:rPr>
          <w:rFonts w:hint="eastAsia" w:ascii="仿宋" w:hAnsi="仿宋" w:eastAsia="仿宋" w:cs="仿宋"/>
          <w:sz w:val="32"/>
          <w:szCs w:val="32"/>
        </w:rPr>
        <w:t>人，经费自理事业编制人员3人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，其他人员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6人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numPr>
          <w:ilvl w:val="0"/>
          <w:numId w:val="1"/>
        </w:numPr>
        <w:spacing w:line="600" w:lineRule="exact"/>
        <w:ind w:firstLine="643" w:firstLineChars="200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单位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整体支出规模</w:t>
      </w:r>
    </w:p>
    <w:p>
      <w:pPr>
        <w:numPr>
          <w:ilvl w:val="0"/>
          <w:numId w:val="0"/>
        </w:numPr>
        <w:spacing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目标1：加大耕地保护与建设力度。</w:t>
      </w:r>
    </w:p>
    <w:p>
      <w:pPr>
        <w:spacing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目标2：加大供地力度，加大征地工作力度。</w:t>
      </w:r>
    </w:p>
    <w:p>
      <w:pPr>
        <w:spacing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目标3：坚持绿色发展。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二、一般公共预算支出情况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（一）基本支出情况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基本支出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1985.08</w:t>
      </w:r>
      <w:r>
        <w:rPr>
          <w:rFonts w:hint="eastAsia" w:ascii="仿宋" w:hAnsi="仿宋" w:eastAsia="仿宋" w:cs="仿宋"/>
          <w:sz w:val="32"/>
          <w:szCs w:val="32"/>
        </w:rPr>
        <w:t>万元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1、人员工资福利支出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1748.25</w:t>
      </w:r>
      <w:r>
        <w:rPr>
          <w:rFonts w:hint="eastAsia" w:ascii="仿宋" w:hAnsi="仿宋" w:eastAsia="仿宋" w:cs="仿宋"/>
          <w:sz w:val="32"/>
          <w:szCs w:val="32"/>
        </w:rPr>
        <w:t>万元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2、商品和服务支出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212.53</w:t>
      </w:r>
      <w:r>
        <w:rPr>
          <w:rFonts w:hint="eastAsia" w:ascii="仿宋" w:hAnsi="仿宋" w:eastAsia="仿宋" w:cs="仿宋"/>
          <w:sz w:val="32"/>
          <w:szCs w:val="32"/>
        </w:rPr>
        <w:t>万元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(1)办公费和印刷费支出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80.95</w:t>
      </w:r>
      <w:r>
        <w:rPr>
          <w:rFonts w:hint="eastAsia" w:ascii="仿宋" w:hAnsi="仿宋" w:eastAsia="仿宋" w:cs="仿宋"/>
          <w:sz w:val="32"/>
          <w:szCs w:val="32"/>
        </w:rPr>
        <w:t>万元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(2)水电费支出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15.2</w:t>
      </w:r>
      <w:r>
        <w:rPr>
          <w:rFonts w:hint="eastAsia" w:ascii="仿宋" w:hAnsi="仿宋" w:eastAsia="仿宋" w:cs="仿宋"/>
          <w:sz w:val="32"/>
          <w:szCs w:val="32"/>
        </w:rPr>
        <w:t>万元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(3)邮电费支出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0.00</w:t>
      </w:r>
      <w:r>
        <w:rPr>
          <w:rFonts w:hint="eastAsia" w:ascii="仿宋" w:hAnsi="仿宋" w:eastAsia="仿宋" w:cs="仿宋"/>
          <w:sz w:val="32"/>
          <w:szCs w:val="32"/>
        </w:rPr>
        <w:t>万元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(4)差旅费支出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43.81</w:t>
      </w:r>
      <w:r>
        <w:rPr>
          <w:rFonts w:hint="eastAsia" w:ascii="仿宋" w:hAnsi="仿宋" w:eastAsia="仿宋" w:cs="仿宋"/>
          <w:sz w:val="32"/>
          <w:szCs w:val="32"/>
        </w:rPr>
        <w:t>万元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(5)维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修（</w:t>
      </w:r>
      <w:r>
        <w:rPr>
          <w:rFonts w:hint="eastAsia" w:ascii="仿宋" w:hAnsi="仿宋" w:eastAsia="仿宋" w:cs="仿宋"/>
          <w:sz w:val="32"/>
          <w:szCs w:val="32"/>
        </w:rPr>
        <w:t>护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</w:t>
      </w:r>
      <w:r>
        <w:rPr>
          <w:rFonts w:hint="eastAsia" w:ascii="仿宋" w:hAnsi="仿宋" w:eastAsia="仿宋" w:cs="仿宋"/>
          <w:sz w:val="32"/>
          <w:szCs w:val="32"/>
        </w:rPr>
        <w:t>费支出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7.68</w:t>
      </w:r>
      <w:r>
        <w:rPr>
          <w:rFonts w:hint="eastAsia" w:ascii="仿宋" w:hAnsi="仿宋" w:eastAsia="仿宋" w:cs="仿宋"/>
          <w:sz w:val="32"/>
          <w:szCs w:val="32"/>
        </w:rPr>
        <w:t>万元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(6)租赁费支出0.00万元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(7)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会议</w:t>
      </w:r>
      <w:r>
        <w:rPr>
          <w:rFonts w:hint="eastAsia" w:ascii="仿宋" w:hAnsi="仿宋" w:eastAsia="仿宋" w:cs="仿宋"/>
          <w:sz w:val="32"/>
          <w:szCs w:val="32"/>
        </w:rPr>
        <w:t>费支出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0.1</w:t>
      </w:r>
      <w:r>
        <w:rPr>
          <w:rFonts w:hint="eastAsia" w:ascii="仿宋" w:hAnsi="仿宋" w:eastAsia="仿宋" w:cs="仿宋"/>
          <w:sz w:val="32"/>
          <w:szCs w:val="32"/>
        </w:rPr>
        <w:t>万元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(8)公务接待费支出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6.34</w:t>
      </w:r>
      <w:r>
        <w:rPr>
          <w:rFonts w:hint="eastAsia" w:ascii="仿宋" w:hAnsi="仿宋" w:eastAsia="仿宋" w:cs="仿宋"/>
          <w:sz w:val="32"/>
          <w:szCs w:val="32"/>
        </w:rPr>
        <w:t>万元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(9)劳务费支出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16.92</w:t>
      </w:r>
      <w:r>
        <w:rPr>
          <w:rFonts w:hint="eastAsia" w:ascii="仿宋" w:hAnsi="仿宋" w:eastAsia="仿宋" w:cs="仿宋"/>
          <w:sz w:val="32"/>
          <w:szCs w:val="32"/>
        </w:rPr>
        <w:t>万元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(10)委托业务费支出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0.00</w:t>
      </w:r>
      <w:r>
        <w:rPr>
          <w:rFonts w:hint="eastAsia" w:ascii="仿宋" w:hAnsi="仿宋" w:eastAsia="仿宋" w:cs="仿宋"/>
          <w:sz w:val="32"/>
          <w:szCs w:val="32"/>
        </w:rPr>
        <w:t>万元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(11)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工会经费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0.00万元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(1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)福利费支出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0.00</w:t>
      </w:r>
      <w:r>
        <w:rPr>
          <w:rFonts w:hint="eastAsia" w:ascii="仿宋" w:hAnsi="仿宋" w:eastAsia="仿宋" w:cs="仿宋"/>
          <w:sz w:val="32"/>
          <w:szCs w:val="32"/>
        </w:rPr>
        <w:t>万元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(1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)公务用车运行维护费支出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0.00</w:t>
      </w:r>
      <w:r>
        <w:rPr>
          <w:rFonts w:hint="eastAsia" w:ascii="仿宋" w:hAnsi="仿宋" w:eastAsia="仿宋" w:cs="仿宋"/>
          <w:sz w:val="32"/>
          <w:szCs w:val="32"/>
        </w:rPr>
        <w:t>万元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(1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</w:rPr>
        <w:t>)其他交通费用支出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24.86</w:t>
      </w:r>
      <w:r>
        <w:rPr>
          <w:rFonts w:hint="eastAsia" w:ascii="仿宋" w:hAnsi="仿宋" w:eastAsia="仿宋" w:cs="仿宋"/>
          <w:sz w:val="32"/>
          <w:szCs w:val="32"/>
        </w:rPr>
        <w:t>万元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(1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</w:rPr>
        <w:t>)其他商品和服务支出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16.67</w:t>
      </w:r>
      <w:r>
        <w:rPr>
          <w:rFonts w:hint="eastAsia" w:ascii="仿宋" w:hAnsi="仿宋" w:eastAsia="仿宋" w:cs="仿宋"/>
          <w:sz w:val="32"/>
          <w:szCs w:val="32"/>
        </w:rPr>
        <w:t>万元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3、对个人和家庭的补助支出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12.15</w:t>
      </w:r>
      <w:r>
        <w:rPr>
          <w:rFonts w:hint="eastAsia" w:ascii="仿宋" w:hAnsi="仿宋" w:eastAsia="仿宋" w:cs="仿宋"/>
          <w:sz w:val="32"/>
          <w:szCs w:val="32"/>
        </w:rPr>
        <w:t>万元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（二）项目支出情况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项目支出共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3929.59万元，其中一般公共服务支出74.59万元；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农林水</w:t>
      </w:r>
      <w:r>
        <w:rPr>
          <w:rFonts w:hint="eastAsia" w:ascii="仿宋" w:hAnsi="仿宋" w:eastAsia="仿宋" w:cs="仿宋"/>
          <w:sz w:val="32"/>
          <w:szCs w:val="32"/>
        </w:rPr>
        <w:t>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1540.2</w:t>
      </w:r>
      <w:r>
        <w:rPr>
          <w:rFonts w:hint="eastAsia" w:ascii="仿宋" w:hAnsi="仿宋" w:eastAsia="仿宋" w:cs="仿宋"/>
          <w:sz w:val="32"/>
          <w:szCs w:val="32"/>
        </w:rPr>
        <w:t>万元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；自然资源业务专项工作</w:t>
      </w:r>
      <w:r>
        <w:rPr>
          <w:rFonts w:hint="eastAsia" w:ascii="仿宋" w:hAnsi="仿宋" w:eastAsia="仿宋" w:cs="仿宋"/>
          <w:sz w:val="32"/>
          <w:szCs w:val="32"/>
        </w:rPr>
        <w:t>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1428.8</w:t>
      </w:r>
      <w:r>
        <w:rPr>
          <w:rFonts w:hint="eastAsia" w:ascii="仿宋" w:hAnsi="仿宋" w:eastAsia="仿宋" w:cs="仿宋"/>
          <w:sz w:val="32"/>
          <w:szCs w:val="32"/>
        </w:rPr>
        <w:t>万元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；节能环保支出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699.23</w:t>
      </w:r>
      <w:r>
        <w:rPr>
          <w:rFonts w:hint="eastAsia" w:ascii="仿宋" w:hAnsi="仿宋" w:eastAsia="仿宋" w:cs="仿宋"/>
          <w:sz w:val="32"/>
          <w:szCs w:val="32"/>
        </w:rPr>
        <w:t>万元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；地质灾害防治支出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36.35万元；城乡社区支出10.19万元；交通运输支出140.26万元。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三、政府性基金预算支出情况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本年度政府性基金预算支出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17389.85</w:t>
      </w:r>
      <w:r>
        <w:rPr>
          <w:rFonts w:hint="eastAsia" w:ascii="仿宋" w:hAnsi="仿宋" w:eastAsia="仿宋" w:cs="仿宋"/>
          <w:sz w:val="32"/>
          <w:szCs w:val="32"/>
        </w:rPr>
        <w:t>万元，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其中征地和拆迁补偿支出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15205.29万元，土地开发和土地出让业务支出1511.66万元,农村基础设施建设及农业生产发展支出672.89万元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四、国有资本经营预算支出情况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无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五、社会保险基金预算支出情况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无</w:t>
      </w:r>
    </w:p>
    <w:p>
      <w:pPr>
        <w:spacing w:line="600" w:lineRule="exact"/>
        <w:ind w:firstLine="643" w:firstLineChars="200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六、部门整体支出绩效情况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3" w:firstLineChars="200"/>
        <w:textAlignment w:val="auto"/>
        <w:rPr>
          <w:rFonts w:hint="eastAsia" w:ascii="仿宋" w:hAnsi="仿宋" w:eastAsia="仿宋" w:cs="仿宋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1</w:t>
      </w:r>
      <w:r>
        <w:rPr>
          <w:rFonts w:hint="eastAsia" w:ascii="仿宋" w:hAnsi="仿宋" w:eastAsia="仿宋" w:cs="仿宋"/>
          <w:b/>
          <w:bCs/>
          <w:color w:val="auto"/>
          <w:kern w:val="2"/>
          <w:sz w:val="32"/>
          <w:szCs w:val="32"/>
          <w:lang w:val="en-US" w:eastAsia="zh-CN" w:bidi="ar-SA"/>
        </w:rPr>
        <w:t>空间规划引领成效卓著，助推高质量发展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。</w:t>
      </w:r>
      <w:r>
        <w:rPr>
          <w:rFonts w:hint="eastAsia" w:ascii="仿宋" w:hAnsi="仿宋" w:eastAsia="仿宋" w:cs="仿宋"/>
          <w:color w:val="auto"/>
          <w:kern w:val="2"/>
          <w:sz w:val="32"/>
          <w:szCs w:val="32"/>
          <w:lang w:val="en-US" w:eastAsia="zh-CN" w:bidi="ar-SA"/>
        </w:rPr>
        <w:t>整合了13个相关专题研究，科学划定了“三区三线”，并通过多级审查，为我县未来发展空间布局和资源配置提供了清晰的战略方向，为县域经济社会发展提供了有力支撑；完成全县所有乡镇（街道）和村庄的规划编制，分类编制了控制性详细规划，特别是针对南部、西北片区和产业开发区等重点区域，规划总面积达12平方公里；</w:t>
      </w:r>
      <w:r>
        <w:rPr>
          <w:rFonts w:hint="eastAsia" w:ascii="仿宋" w:hAnsi="仿宋" w:eastAsia="仿宋" w:cs="仿宋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整合编制专项规划15个</w:t>
      </w:r>
      <w:r>
        <w:rPr>
          <w:rFonts w:hint="eastAsia" w:ascii="仿宋" w:hAnsi="仿宋" w:eastAsia="仿宋" w:cs="仿宋"/>
          <w:color w:val="auto"/>
          <w:kern w:val="2"/>
          <w:sz w:val="32"/>
          <w:szCs w:val="32"/>
          <w:lang w:val="en-US" w:eastAsia="zh-CN" w:bidi="ar-SA"/>
        </w:rPr>
        <w:t>，其中，7个规划已经完成，8个正在推进中，龙家大院作为全省“多规合一”实用性村庄规划试点村，其成果荣获2023年湖南省国土空间规划</w:t>
      </w:r>
      <w:r>
        <w:rPr>
          <w:rFonts w:hint="eastAsia" w:ascii="仿宋" w:hAnsi="仿宋" w:eastAsia="仿宋" w:cs="仿宋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优秀案例三等奖。</w:t>
      </w:r>
    </w:p>
    <w:p>
      <w:pPr>
        <w:snapToGrid w:val="0"/>
        <w:spacing w:line="52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3" w:firstLineChars="200"/>
        <w:textAlignment w:val="auto"/>
        <w:rPr>
          <w:rFonts w:hint="eastAsia" w:ascii="仿宋" w:hAnsi="仿宋" w:eastAsia="仿宋" w:cs="仿宋"/>
          <w:b w:val="0"/>
          <w:bCs w:val="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color w:val="auto"/>
          <w:kern w:val="2"/>
          <w:sz w:val="32"/>
          <w:szCs w:val="32"/>
          <w:lang w:val="en-US" w:eastAsia="zh-CN" w:bidi="ar-SA"/>
        </w:rPr>
        <w:t>2土地保障能力持续增强，服务全县发展大局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。</w:t>
      </w:r>
      <w:r>
        <w:rPr>
          <w:rFonts w:hint="eastAsia" w:ascii="仿宋" w:hAnsi="仿宋" w:eastAsia="仿宋" w:cs="仿宋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紧密结合国土空间规划编制，顺利推进10个农用地转用和土地征收项目，涉及总面积高达210公顷；全年共划拨土地供应项目15个，招拍挂出让土地32宗，协议出让土地22宗，土地出让总收入超过5亿元，有力支撑了我县的经济发展；2023年共完成批而未供土地处置64.7公顷，超额完成了省厅下达的任务：2023年，共计完成土地收储并入库土地28宗，面积1532.8亩。与2022年同期相比，入库宗数增长了40%，入库面积增加了0.44%，出库面积增幅36.7%。</w:t>
      </w:r>
    </w:p>
    <w:p>
      <w:pPr>
        <w:pStyle w:val="2"/>
        <w:rPr>
          <w:rFonts w:hint="eastAsia" w:ascii="仿宋" w:hAnsi="仿宋" w:eastAsia="仿宋" w:cs="仿宋"/>
          <w:lang w:val="en-US" w:eastAsia="zh-CN"/>
        </w:rPr>
      </w:pPr>
    </w:p>
    <w:p>
      <w:pPr>
        <w:numPr>
          <w:ilvl w:val="0"/>
          <w:numId w:val="0"/>
        </w:numPr>
        <w:snapToGrid w:val="0"/>
        <w:spacing w:line="520" w:lineRule="exact"/>
        <w:ind w:firstLine="643" w:firstLineChars="200"/>
        <w:rPr>
          <w:rFonts w:hint="eastAsia" w:ascii="仿宋" w:hAnsi="仿宋" w:eastAsia="仿宋" w:cs="仿宋"/>
          <w:b w:val="0"/>
          <w:bCs w:val="0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3.</w:t>
      </w:r>
      <w:r>
        <w:rPr>
          <w:rFonts w:hint="eastAsia" w:ascii="仿宋" w:hAnsi="仿宋" w:eastAsia="仿宋" w:cs="仿宋"/>
          <w:b/>
          <w:bCs/>
          <w:color w:val="auto"/>
          <w:kern w:val="2"/>
          <w:sz w:val="32"/>
          <w:szCs w:val="32"/>
          <w:lang w:val="en-US" w:eastAsia="zh-CN" w:bidi="ar-SA"/>
        </w:rPr>
        <w:t>耕地保护红线牢牢守住，粮食安全得到有力保障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。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202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年</w:t>
      </w:r>
      <w:r>
        <w:rPr>
          <w:rFonts w:hint="eastAsia" w:ascii="仿宋" w:hAnsi="仿宋" w:eastAsia="仿宋" w:cs="仿宋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基本农田补划任务全面落实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，</w:t>
      </w:r>
      <w:r>
        <w:rPr>
          <w:rFonts w:hint="eastAsia" w:ascii="仿宋" w:hAnsi="仿宋" w:eastAsia="仿宋" w:cs="仿宋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完成永久基本农田调整补划5388.96亩，成功恢复并通过审核的耕地面积达到963亩，将为我县粮食生产注入新的活力；“非农化”“非粮化”问题全面整治，整改率达到100%；</w:t>
      </w:r>
      <w:r>
        <w:rPr>
          <w:rFonts w:hint="eastAsia" w:ascii="仿宋" w:hAnsi="仿宋" w:eastAsia="仿宋" w:cs="仿宋"/>
          <w:color w:val="auto"/>
          <w:kern w:val="2"/>
          <w:sz w:val="32"/>
          <w:szCs w:val="32"/>
          <w:lang w:val="en-US" w:eastAsia="zh-CN" w:bidi="ar-SA"/>
        </w:rPr>
        <w:t>针对月清“三地两矿”工作中发现的耕地减少图斑问题，我局高度重视，迅速行动。对省厅下发的9个批次共计122个图斑进行了逐一核查制定整改措施，目前已全部完成整改任务，整改率达到100%。2023年我县在前三季度的耕地“非农化”“非粮化”专项整治、耕地保护底线目标和永久基本农田保护情况等方面的工作成果均位</w:t>
      </w:r>
      <w:r>
        <w:rPr>
          <w:rFonts w:hint="eastAsia" w:ascii="仿宋" w:hAnsi="仿宋" w:eastAsia="仿宋" w:cs="仿宋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列全市第一，</w:t>
      </w:r>
      <w:r>
        <w:rPr>
          <w:rFonts w:hint="eastAsia" w:ascii="仿宋" w:hAnsi="仿宋" w:eastAsia="仿宋" w:cs="仿宋"/>
          <w:color w:val="auto"/>
          <w:kern w:val="2"/>
          <w:sz w:val="32"/>
          <w:szCs w:val="32"/>
          <w:lang w:val="en-US" w:eastAsia="zh-CN" w:bidi="ar-SA"/>
        </w:rPr>
        <w:t>并在全市自然资源和规划系统对第三季度的重点工作总结会上，就新田耕地保护工作进行了</w:t>
      </w:r>
      <w:r>
        <w:rPr>
          <w:rFonts w:hint="eastAsia" w:ascii="仿宋" w:hAnsi="仿宋" w:eastAsia="仿宋" w:cs="仿宋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先进典型发言。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3" w:firstLineChars="200"/>
        <w:textAlignment w:val="auto"/>
        <w:rPr>
          <w:rFonts w:hint="eastAsia" w:ascii="仿宋" w:hAnsi="仿宋" w:eastAsia="仿宋" w:cs="仿宋"/>
          <w:b w:val="0"/>
          <w:bCs w:val="0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4.</w:t>
      </w:r>
      <w:r>
        <w:rPr>
          <w:rFonts w:hint="eastAsia" w:ascii="仿宋" w:hAnsi="仿宋" w:eastAsia="仿宋" w:cs="仿宋"/>
          <w:b/>
          <w:bCs/>
          <w:color w:val="auto"/>
          <w:kern w:val="2"/>
          <w:sz w:val="32"/>
          <w:szCs w:val="32"/>
          <w:lang w:val="en-US" w:eastAsia="zh-CN" w:bidi="ar-SA"/>
        </w:rPr>
        <w:t>地质灾害防治与矿产资源管理有力有效，筑牢安全防线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。</w:t>
      </w:r>
      <w:r>
        <w:rPr>
          <w:rFonts w:hint="eastAsia" w:ascii="仿宋" w:hAnsi="仿宋" w:eastAsia="仿宋" w:cs="仿宋"/>
          <w:b w:val="0"/>
          <w:bCs w:val="0"/>
          <w:color w:val="000000"/>
          <w:sz w:val="32"/>
          <w:szCs w:val="32"/>
          <w:lang w:eastAsia="zh-CN"/>
        </w:rPr>
        <w:t>一是</w:t>
      </w:r>
      <w:r>
        <w:rPr>
          <w:rFonts w:hint="eastAsia" w:ascii="仿宋" w:hAnsi="仿宋" w:eastAsia="仿宋" w:cs="仿宋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地质灾害防治工作全面加强，确保群众生命财产安全。经过全面排查，全县共发现68处地质灾害隐患点和143户切坡建房隐患点，全部纳入监测范围；二是矿产资源管理规范有序，推动绿色发展与经济效益双赢。为确保人</w:t>
      </w:r>
      <w:r>
        <w:rPr>
          <w:rFonts w:hint="eastAsia" w:ascii="仿宋" w:hAnsi="仿宋" w:eastAsia="仿宋" w:cs="仿宋"/>
          <w:color w:val="auto"/>
          <w:kern w:val="2"/>
          <w:sz w:val="32"/>
          <w:szCs w:val="32"/>
          <w:lang w:val="en-US" w:eastAsia="zh-CN" w:bidi="ar-SA"/>
        </w:rPr>
        <w:t>民群众生命、财产安全，我局进行了汛前、汛中巡查排查，与技术支撑单位共同开展巡查排查32次。在此期间，2处地质灾害隐患点得到核销，消除了潜在的安全隐患。同时，我局成功应急处置了11起地质灾害事件，其中去年4月20日的泥石流、6月22日的山体滑坡成功避险受到了省厅的肯定，并录制成“湖南地质灾害防治启示录”在湖南都市台播出。我局的地质灾害防治工作在2023年全市自然资源务虚工作会议上得到了肯定</w:t>
      </w:r>
      <w:r>
        <w:rPr>
          <w:rFonts w:hint="eastAsia" w:ascii="仿宋" w:hAnsi="仿宋" w:eastAsia="仿宋" w:cs="仿宋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三是历史遗留废弃矿山治理与复绿工作全面完成，提升生态质量。我县共有12处历史遗留废弃露天矿</w:t>
      </w:r>
      <w:r>
        <w:rPr>
          <w:rFonts w:hint="eastAsia" w:ascii="仿宋" w:hAnsi="仿宋" w:eastAsia="仿宋" w:cs="仿宋"/>
          <w:color w:val="auto"/>
          <w:kern w:val="2"/>
          <w:sz w:val="32"/>
          <w:szCs w:val="32"/>
          <w:lang w:val="en-US" w:eastAsia="zh-CN" w:bidi="ar-SA"/>
        </w:rPr>
        <w:t>山，总面积达20.75公顷，现已全面完成治理和复绿工作；</w:t>
      </w:r>
      <w:r>
        <w:rPr>
          <w:rFonts w:hint="eastAsia" w:ascii="仿宋" w:hAnsi="仿宋" w:eastAsia="仿宋" w:cs="仿宋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四是打击非法采矿采砂行为成效显著，维护矿产资源领域秩序</w:t>
      </w:r>
      <w:r>
        <w:rPr>
          <w:rFonts w:hint="eastAsia" w:ascii="仿宋" w:hAnsi="仿宋" w:eastAsia="仿宋" w:cs="仿宋"/>
          <w:b/>
          <w:bCs/>
          <w:color w:val="auto"/>
          <w:kern w:val="2"/>
          <w:sz w:val="32"/>
          <w:szCs w:val="32"/>
          <w:lang w:val="en-US" w:eastAsia="zh-CN" w:bidi="ar-SA"/>
        </w:rPr>
        <w:t>。</w:t>
      </w:r>
      <w:r>
        <w:rPr>
          <w:rFonts w:hint="eastAsia" w:ascii="仿宋" w:hAnsi="仿宋" w:eastAsia="仿宋" w:cs="仿宋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全年</w:t>
      </w:r>
      <w:r>
        <w:rPr>
          <w:rFonts w:hint="eastAsia" w:ascii="仿宋" w:hAnsi="仿宋" w:eastAsia="仿宋" w:cs="仿宋"/>
          <w:color w:val="auto"/>
          <w:kern w:val="2"/>
          <w:sz w:val="32"/>
          <w:szCs w:val="32"/>
          <w:lang w:val="en-US" w:eastAsia="zh-CN" w:bidi="ar-SA"/>
        </w:rPr>
        <w:t>依法立案查处42件相关案件，均已办结，共计收缴罚款152.18万元；</w:t>
      </w:r>
      <w:r>
        <w:rPr>
          <w:rFonts w:hint="eastAsia" w:ascii="仿宋" w:hAnsi="仿宋" w:eastAsia="仿宋" w:cs="仿宋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五是砂石土采矿权“净矿”出让工作取得显著成果</w:t>
      </w:r>
      <w:r>
        <w:rPr>
          <w:rFonts w:hint="eastAsia" w:ascii="仿宋" w:hAnsi="仿宋" w:eastAsia="仿宋" w:cs="仿宋"/>
          <w:b/>
          <w:bCs/>
          <w:color w:val="auto"/>
          <w:kern w:val="2"/>
          <w:sz w:val="32"/>
          <w:szCs w:val="32"/>
          <w:lang w:val="en-US" w:eastAsia="zh-CN" w:bidi="ar-SA"/>
        </w:rPr>
        <w:t>。</w:t>
      </w:r>
      <w:r>
        <w:rPr>
          <w:rFonts w:hint="eastAsia" w:ascii="仿宋" w:hAnsi="仿宋" w:eastAsia="仿宋" w:cs="仿宋"/>
          <w:color w:val="auto"/>
          <w:kern w:val="2"/>
          <w:sz w:val="32"/>
          <w:szCs w:val="32"/>
          <w:lang w:val="en-US" w:eastAsia="zh-CN" w:bidi="ar-SA"/>
        </w:rPr>
        <w:t>我县1宗中型矿出让溢价4600万元，为全县矿产资源的可持续利用奠定了坚实基础，为县财政增加了收入。同时，在2023年5月、10月，全市自然资源部门在安全监管方面的“强执法，防事故”行动中，我局分别获得第三</w:t>
      </w:r>
      <w:r>
        <w:rPr>
          <w:rFonts w:hint="eastAsia" w:ascii="仿宋" w:hAnsi="仿宋" w:eastAsia="仿宋" w:cs="仿宋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，第二名。</w:t>
      </w:r>
    </w:p>
    <w:p>
      <w:pPr>
        <w:pStyle w:val="8"/>
        <w:spacing w:line="600" w:lineRule="exact"/>
        <w:ind w:firstLine="640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七、存在的问题及原因分析</w:t>
      </w:r>
    </w:p>
    <w:p>
      <w:pPr>
        <w:spacing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留问题处置难度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>达大。由于遗留问题预留安置地未落实处理到位，被征地村组意见很大，已征收土地的地上附属物、房屋征收工作进展困难，用地难度大。</w:t>
      </w:r>
    </w:p>
    <w:p>
      <w:pPr>
        <w:spacing w:line="600" w:lineRule="exact"/>
        <w:ind w:firstLine="643" w:firstLineChars="200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八、下一步改进措施</w:t>
      </w:r>
    </w:p>
    <w:p>
      <w:pPr>
        <w:spacing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注重做好征地方案的公开，做好政策的解释宣传工作，特别是关于政策调整的事项，积极完成遗留问题预留安置地的征地和用地工作。</w:t>
      </w:r>
    </w:p>
    <w:p>
      <w:pPr>
        <w:spacing w:line="600" w:lineRule="exact"/>
        <w:ind w:firstLine="643" w:firstLineChars="200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九、绩效自评结果拟应用和公开情况</w:t>
      </w:r>
    </w:p>
    <w:p>
      <w:pPr>
        <w:spacing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按政策规定公示公开。</w:t>
      </w:r>
    </w:p>
    <w:p>
      <w:pPr>
        <w:spacing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其他需要说明的情况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>
      <w:pPr>
        <w:spacing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</w:p>
    <w:p>
      <w:pPr>
        <w:spacing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</w:p>
    <w:p>
      <w:pPr>
        <w:spacing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报告需要以下附件：</w:t>
      </w:r>
    </w:p>
    <w:p>
      <w:pPr>
        <w:spacing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1、部门整体支出绩效评价基础数据表</w:t>
      </w:r>
    </w:p>
    <w:p>
      <w:pPr>
        <w:spacing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2、部门整体支出绩效自评表</w:t>
      </w:r>
    </w:p>
    <w:p>
      <w:pPr>
        <w:spacing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3、</w:t>
      </w:r>
      <w:r>
        <w:rPr>
          <w:rFonts w:hint="eastAsia" w:ascii="仿宋" w:hAnsi="仿宋" w:eastAsia="仿宋" w:cs="仿宋"/>
          <w:sz w:val="32"/>
          <w:szCs w:val="32"/>
        </w:rPr>
        <w:t>项目支出绩效自评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报告</w:t>
      </w:r>
    </w:p>
    <w:p>
      <w:pPr>
        <w:spacing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</w:rPr>
        <w:t>、项目支出绩效自评表</w:t>
      </w:r>
    </w:p>
    <w:p>
      <w:pPr>
        <w:spacing w:line="600" w:lineRule="exact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 xml:space="preserve"> 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3BF5C54"/>
    <w:multiLevelType w:val="singleLevel"/>
    <w:tmpl w:val="F3BF5C54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FiMTgwZjUwNTk4MzkxZGZhNjk5ZGEwM2RiZDNjM2QifQ=="/>
  </w:docVars>
  <w:rsids>
    <w:rsidRoot w:val="0094639E"/>
    <w:rsid w:val="001217D0"/>
    <w:rsid w:val="00252567"/>
    <w:rsid w:val="00510B69"/>
    <w:rsid w:val="00874585"/>
    <w:rsid w:val="0094639E"/>
    <w:rsid w:val="009502B7"/>
    <w:rsid w:val="009C11F8"/>
    <w:rsid w:val="00A711F2"/>
    <w:rsid w:val="00B56678"/>
    <w:rsid w:val="00FC1B16"/>
    <w:rsid w:val="0CB003EB"/>
    <w:rsid w:val="294F41DE"/>
    <w:rsid w:val="3C502028"/>
    <w:rsid w:val="55044BA8"/>
    <w:rsid w:val="5F9F1F15"/>
    <w:rsid w:val="6CDB5CD3"/>
    <w:rsid w:val="6EF42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qFormat="1" w:unhideWhenUsed="0" w:uiPriority="0" w:semiHidden="0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3">
    <w:name w:val="Body Text 2"/>
    <w:basedOn w:val="1"/>
    <w:next w:val="2"/>
    <w:qFormat/>
    <w:uiPriority w:val="0"/>
    <w:pPr>
      <w:spacing w:after="120" w:line="480" w:lineRule="auto"/>
    </w:p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8">
    <w:name w:val="列出段落1"/>
    <w:basedOn w:val="1"/>
    <w:qFormat/>
    <w:uiPriority w:val="0"/>
    <w:pPr>
      <w:ind w:firstLine="420" w:firstLineChars="200"/>
    </w:pPr>
    <w:rPr>
      <w:rFonts w:ascii="Calibri" w:hAnsi="Calibri"/>
    </w:rPr>
  </w:style>
  <w:style w:type="character" w:customStyle="1" w:styleId="9">
    <w:name w:val="页眉 Char"/>
    <w:basedOn w:val="7"/>
    <w:link w:val="5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Char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8</Pages>
  <Words>2665</Words>
  <Characters>2865</Characters>
  <Lines>20</Lines>
  <Paragraphs>5</Paragraphs>
  <TotalTime>60</TotalTime>
  <ScaleCrop>false</ScaleCrop>
  <LinksUpToDate>false</LinksUpToDate>
  <CharactersWithSpaces>2881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2022-06-21T03:23:00Z</dcterms:created>
  <dc:creator>新田县自然资源局</dc:creator>
  <cp:lastModifiedBy>Administrator</cp:lastModifiedBy>
  <cp:lastPrinted>2024-05-30T02:48:15Z</cp:lastPrinted>
  <dcterms:modified xsi:type="dcterms:W3CDTF">2024-05-30T03:47:03Z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EE89C77F3A6240FE8597E01DF69628BD</vt:lpwstr>
  </property>
</Properties>
</file>