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0454E3">
      <w:pPr>
        <w:rPr>
          <w:rFonts w:eastAsia="黑体"/>
          <w:sz w:val="32"/>
          <w:szCs w:val="32"/>
        </w:rPr>
      </w:pPr>
      <w:bookmarkStart w:id="0" w:name="_GoBack"/>
      <w:bookmarkEnd w:id="0"/>
      <w:r>
        <w:rPr>
          <w:rFonts w:eastAsia="黑体"/>
          <w:sz w:val="32"/>
          <w:szCs w:val="32"/>
        </w:rPr>
        <w:t>附件1</w:t>
      </w:r>
    </w:p>
    <w:p w14:paraId="23D94590">
      <w:pPr>
        <w:spacing w:line="600" w:lineRule="exact"/>
        <w:rPr>
          <w:rFonts w:eastAsia="黑体"/>
          <w:sz w:val="32"/>
          <w:szCs w:val="32"/>
        </w:rPr>
      </w:pPr>
    </w:p>
    <w:p w14:paraId="1FA2E049">
      <w:pPr>
        <w:spacing w:line="600" w:lineRule="exact"/>
        <w:rPr>
          <w:rFonts w:eastAsia="黑体"/>
          <w:sz w:val="32"/>
          <w:szCs w:val="32"/>
        </w:rPr>
      </w:pPr>
    </w:p>
    <w:p w14:paraId="7398007B">
      <w:pPr>
        <w:spacing w:line="600" w:lineRule="exact"/>
        <w:rPr>
          <w:rFonts w:eastAsia="黑体"/>
          <w:sz w:val="32"/>
          <w:szCs w:val="32"/>
        </w:rPr>
      </w:pPr>
    </w:p>
    <w:p w14:paraId="504E0204">
      <w:pPr>
        <w:jc w:val="center"/>
        <w:rPr>
          <w:rFonts w:hint="eastAsia" w:ascii="方正小标宋简体" w:eastAsia="方正小标宋简体"/>
          <w:sz w:val="52"/>
          <w:szCs w:val="52"/>
        </w:rPr>
      </w:pPr>
      <w:r>
        <w:rPr>
          <w:rFonts w:hint="eastAsia" w:ascii="方正小标宋简体" w:eastAsia="方正小标宋简体"/>
          <w:sz w:val="52"/>
          <w:szCs w:val="52"/>
        </w:rPr>
        <w:t>2023年度</w:t>
      </w:r>
      <w:r>
        <w:rPr>
          <w:rFonts w:hint="eastAsia" w:ascii="方正小标宋简体" w:eastAsia="方正小标宋简体"/>
          <w:sz w:val="52"/>
          <w:szCs w:val="52"/>
          <w:lang w:eastAsia="zh-CN"/>
        </w:rPr>
        <w:t>新田县肥源国有林场</w:t>
      </w:r>
      <w:r>
        <w:rPr>
          <w:rFonts w:hint="eastAsia" w:ascii="方正小标宋简体" w:eastAsia="方正小标宋简体"/>
          <w:sz w:val="52"/>
          <w:szCs w:val="52"/>
        </w:rPr>
        <w:t>整体支出</w:t>
      </w:r>
    </w:p>
    <w:p w14:paraId="65594E72">
      <w:pPr>
        <w:jc w:val="center"/>
        <w:rPr>
          <w:rFonts w:hint="eastAsia" w:ascii="方正小标宋简体" w:eastAsia="方正小标宋简体"/>
          <w:sz w:val="52"/>
          <w:szCs w:val="52"/>
        </w:rPr>
      </w:pPr>
      <w:r>
        <w:rPr>
          <w:rFonts w:hint="eastAsia" w:ascii="方正小标宋简体" w:eastAsia="方正小标宋简体"/>
          <w:sz w:val="52"/>
          <w:szCs w:val="52"/>
        </w:rPr>
        <w:t>绩效自评报告</w:t>
      </w:r>
    </w:p>
    <w:p w14:paraId="7988A75B">
      <w:pPr>
        <w:jc w:val="center"/>
        <w:rPr>
          <w:rFonts w:eastAsia="方正小标宋_GBK"/>
          <w:b/>
          <w:sz w:val="52"/>
          <w:szCs w:val="52"/>
        </w:rPr>
      </w:pPr>
    </w:p>
    <w:p w14:paraId="070C5810">
      <w:pPr>
        <w:jc w:val="center"/>
        <w:rPr>
          <w:rFonts w:eastAsia="楷体_GB2312"/>
          <w:b/>
          <w:sz w:val="32"/>
          <w:szCs w:val="32"/>
        </w:rPr>
      </w:pPr>
    </w:p>
    <w:p w14:paraId="0F0C8454">
      <w:pPr>
        <w:jc w:val="center"/>
        <w:rPr>
          <w:rFonts w:eastAsia="楷体_GB2312"/>
          <w:b/>
          <w:sz w:val="32"/>
          <w:szCs w:val="32"/>
        </w:rPr>
      </w:pPr>
    </w:p>
    <w:p w14:paraId="58C90AF4">
      <w:pPr>
        <w:jc w:val="center"/>
        <w:rPr>
          <w:rFonts w:eastAsia="楷体_GB2312"/>
          <w:b/>
          <w:sz w:val="32"/>
          <w:szCs w:val="32"/>
        </w:rPr>
      </w:pPr>
    </w:p>
    <w:p w14:paraId="34B57B91">
      <w:pPr>
        <w:jc w:val="center"/>
        <w:rPr>
          <w:rFonts w:eastAsia="楷体_GB2312"/>
          <w:b/>
          <w:sz w:val="32"/>
          <w:szCs w:val="32"/>
        </w:rPr>
      </w:pPr>
    </w:p>
    <w:p w14:paraId="354B99F5">
      <w:pPr>
        <w:jc w:val="center"/>
        <w:rPr>
          <w:rFonts w:eastAsia="楷体_GB2312"/>
          <w:b/>
          <w:sz w:val="32"/>
          <w:szCs w:val="32"/>
        </w:rPr>
      </w:pPr>
    </w:p>
    <w:p w14:paraId="502AB58D">
      <w:pPr>
        <w:jc w:val="center"/>
        <w:rPr>
          <w:rFonts w:eastAsia="楷体_GB2312"/>
          <w:b/>
          <w:sz w:val="32"/>
          <w:szCs w:val="32"/>
        </w:rPr>
      </w:pPr>
    </w:p>
    <w:p w14:paraId="1210A17E">
      <w:pPr>
        <w:jc w:val="center"/>
        <w:rPr>
          <w:rFonts w:eastAsia="黑体"/>
          <w:sz w:val="32"/>
          <w:szCs w:val="32"/>
        </w:rPr>
      </w:pPr>
    </w:p>
    <w:p w14:paraId="09FCE91F">
      <w:pPr>
        <w:jc w:val="center"/>
        <w:rPr>
          <w:rFonts w:eastAsia="黑体"/>
          <w:sz w:val="32"/>
          <w:szCs w:val="32"/>
        </w:rPr>
      </w:pPr>
    </w:p>
    <w:p w14:paraId="2F357762">
      <w:pPr>
        <w:spacing w:line="600" w:lineRule="exact"/>
        <w:jc w:val="center"/>
        <w:rPr>
          <w:rFonts w:hint="eastAsia" w:eastAsia="仿宋_GB2312"/>
          <w:sz w:val="32"/>
          <w:szCs w:val="32"/>
          <w:lang w:val="en-US" w:eastAsia="zh-CN"/>
        </w:rPr>
      </w:pPr>
      <w:r>
        <w:rPr>
          <w:rFonts w:eastAsia="仿宋_GB2312"/>
          <w:sz w:val="32"/>
          <w:szCs w:val="32"/>
        </w:rPr>
        <w:t>单位名称：</w:t>
      </w:r>
      <w:r>
        <w:rPr>
          <w:rFonts w:hint="eastAsia" w:eastAsia="仿宋_GB2312"/>
          <w:sz w:val="32"/>
          <w:szCs w:val="32"/>
          <w:lang w:eastAsia="zh-CN"/>
        </w:rPr>
        <w:t>新田县肥源国有林场</w:t>
      </w:r>
      <w:r>
        <w:rPr>
          <w:rFonts w:hint="eastAsia" w:eastAsia="仿宋_GB2312"/>
          <w:sz w:val="32"/>
          <w:szCs w:val="32"/>
          <w:lang w:val="en-US" w:eastAsia="zh-CN"/>
        </w:rPr>
        <w:t xml:space="preserve"> </w:t>
      </w:r>
    </w:p>
    <w:p w14:paraId="3238D699">
      <w:pPr>
        <w:spacing w:line="600" w:lineRule="exact"/>
        <w:ind w:firstLine="3200" w:firstLineChars="1000"/>
        <w:rPr>
          <w:rFonts w:eastAsia="楷体_GB2312"/>
          <w:sz w:val="32"/>
          <w:szCs w:val="32"/>
        </w:rPr>
      </w:pPr>
      <w:r>
        <w:rPr>
          <w:rFonts w:hint="eastAsia" w:eastAsia="楷体_GB2312"/>
          <w:sz w:val="32"/>
          <w:szCs w:val="32"/>
          <w:lang w:val="en-US" w:eastAsia="zh-CN"/>
        </w:rPr>
        <w:t>2024</w:t>
      </w:r>
      <w:r>
        <w:rPr>
          <w:rFonts w:eastAsia="楷体_GB2312"/>
          <w:sz w:val="32"/>
          <w:szCs w:val="32"/>
        </w:rPr>
        <w:t>年</w:t>
      </w:r>
      <w:r>
        <w:rPr>
          <w:rFonts w:hint="eastAsia" w:eastAsia="楷体_GB2312"/>
          <w:sz w:val="32"/>
          <w:szCs w:val="32"/>
          <w:lang w:val="en-US" w:eastAsia="zh-CN"/>
        </w:rPr>
        <w:t>5</w:t>
      </w:r>
      <w:r>
        <w:rPr>
          <w:rFonts w:eastAsia="楷体_GB2312"/>
          <w:sz w:val="32"/>
          <w:szCs w:val="32"/>
        </w:rPr>
        <w:t>月</w:t>
      </w:r>
      <w:r>
        <w:rPr>
          <w:rFonts w:hint="eastAsia" w:eastAsia="楷体_GB2312"/>
          <w:sz w:val="32"/>
          <w:szCs w:val="32"/>
          <w:lang w:val="en-US" w:eastAsia="zh-CN"/>
        </w:rPr>
        <w:t>20</w:t>
      </w:r>
      <w:r>
        <w:rPr>
          <w:rFonts w:eastAsia="楷体_GB2312"/>
          <w:sz w:val="32"/>
          <w:szCs w:val="32"/>
        </w:rPr>
        <w:t>日</w:t>
      </w:r>
    </w:p>
    <w:p w14:paraId="1D847F76">
      <w:pPr>
        <w:jc w:val="center"/>
        <w:rPr>
          <w:rFonts w:eastAsia="黑体"/>
          <w:sz w:val="32"/>
          <w:szCs w:val="32"/>
        </w:rPr>
      </w:pPr>
    </w:p>
    <w:p w14:paraId="50647CB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eastAsia="黑体"/>
          <w:sz w:val="32"/>
          <w:szCs w:val="32"/>
        </w:rPr>
      </w:pPr>
      <w:r>
        <w:rPr>
          <w:rFonts w:eastAsia="仿宋_GB2312"/>
          <w:sz w:val="32"/>
          <w:szCs w:val="32"/>
        </w:rPr>
        <w:br w:type="page"/>
      </w:r>
      <w:r>
        <w:rPr>
          <w:rFonts w:hint="eastAsia" w:ascii="黑体" w:hAnsi="黑体" w:eastAsia="黑体" w:cs="黑体"/>
          <w:sz w:val="32"/>
          <w:szCs w:val="32"/>
        </w:rPr>
        <w:t>一、</w:t>
      </w:r>
      <w:r>
        <w:rPr>
          <w:rFonts w:eastAsia="黑体"/>
          <w:sz w:val="32"/>
          <w:szCs w:val="32"/>
        </w:rPr>
        <w:t>部门（单位）基本情况</w:t>
      </w:r>
    </w:p>
    <w:p w14:paraId="6D4A0E29">
      <w:pPr>
        <w:snapToGrid w:val="0"/>
        <w:spacing w:line="520" w:lineRule="exact"/>
        <w:ind w:firstLine="643" w:firstLineChars="200"/>
        <w:rPr>
          <w:rFonts w:hint="eastAsia" w:ascii="楷体_GB2312" w:hAnsi="仿宋" w:eastAsia="楷体_GB2312"/>
          <w:b/>
          <w:color w:val="000000" w:themeColor="text1"/>
          <w:sz w:val="32"/>
          <w:szCs w:val="32"/>
          <w14:textFill>
            <w14:solidFill>
              <w14:schemeClr w14:val="tx1"/>
            </w14:solidFill>
          </w14:textFill>
        </w:rPr>
      </w:pPr>
      <w:r>
        <w:rPr>
          <w:rFonts w:hint="eastAsia" w:ascii="楷体_GB2312" w:hAnsi="仿宋" w:eastAsia="楷体_GB2312"/>
          <w:b/>
          <w:color w:val="000000" w:themeColor="text1"/>
          <w:sz w:val="32"/>
          <w:szCs w:val="32"/>
          <w14:textFill>
            <w14:solidFill>
              <w14:schemeClr w14:val="tx1"/>
            </w14:solidFill>
          </w14:textFill>
        </w:rPr>
        <w:t>（一）基本情况。</w:t>
      </w:r>
    </w:p>
    <w:p w14:paraId="54A4E443">
      <w:pPr>
        <w:snapToGrid w:val="0"/>
        <w:spacing w:line="520" w:lineRule="exact"/>
        <w:ind w:firstLine="640" w:firstLineChars="200"/>
        <w:rPr>
          <w:rFonts w:hint="eastAsia" w:ascii="仿宋_GB2312" w:hAnsi="仿宋" w:eastAsia="仿宋_GB2312"/>
          <w:color w:val="000000" w:themeColor="text1"/>
          <w:sz w:val="32"/>
          <w:szCs w:val="32"/>
          <w14:textFill>
            <w14:solidFill>
              <w14:schemeClr w14:val="tx1"/>
            </w14:solidFill>
          </w14:textFill>
        </w:rPr>
      </w:pPr>
      <w:r>
        <w:rPr>
          <w:rFonts w:hint="eastAsia" w:ascii="仿宋_GB2312" w:hAnsi="仿宋" w:eastAsia="仿宋_GB2312"/>
          <w:color w:val="000000" w:themeColor="text1"/>
          <w:sz w:val="32"/>
          <w:szCs w:val="32"/>
          <w14:textFill>
            <w14:solidFill>
              <w14:schemeClr w14:val="tx1"/>
            </w14:solidFill>
          </w14:textFill>
        </w:rPr>
        <w:t>1．主要职能。</w:t>
      </w:r>
    </w:p>
    <w:p w14:paraId="64D97470">
      <w:pPr>
        <w:widowControl/>
        <w:spacing w:line="600" w:lineRule="atLeast"/>
        <w:ind w:firstLine="627"/>
        <w:jc w:val="left"/>
        <w:rPr>
          <w:rFonts w:ascii="仿宋_GB2312" w:eastAsia="仿宋_GB2312" w:cs="仿宋_GB2312"/>
          <w:color w:val="000000" w:themeColor="text1"/>
          <w:sz w:val="32"/>
          <w:szCs w:val="32"/>
          <w:shd w:val="clear" w:color="auto" w:fill="F6F6F6"/>
          <w14:textFill>
            <w14:solidFill>
              <w14:schemeClr w14:val="tx1"/>
            </w14:solidFill>
          </w14:textFill>
        </w:rPr>
      </w:pPr>
      <w:r>
        <w:rPr>
          <w:rFonts w:hint="eastAsia" w:ascii="仿宋_GB2312" w:eastAsia="仿宋_GB2312" w:cs="仿宋_GB2312"/>
          <w:color w:val="000000" w:themeColor="text1"/>
          <w:sz w:val="32"/>
          <w:szCs w:val="32"/>
          <w:shd w:val="clear" w:color="auto" w:fill="F6F6F6"/>
          <w14:textFill>
            <w14:solidFill>
              <w14:schemeClr w14:val="tx1"/>
            </w14:solidFill>
          </w14:textFill>
        </w:rPr>
        <w:t>（1）贯彻执行党和国家关于林业工作的方针、政策、法律法规,编制辖区内的森林发展规划,并组织实施。</w:t>
      </w:r>
    </w:p>
    <w:p w14:paraId="45EB22B1">
      <w:pPr>
        <w:widowControl/>
        <w:spacing w:line="600" w:lineRule="atLeast"/>
        <w:ind w:firstLine="627"/>
        <w:jc w:val="left"/>
        <w:rPr>
          <w:rFonts w:ascii="仿宋_GB2312" w:eastAsia="仿宋_GB2312" w:cs="仿宋_GB2312"/>
          <w:color w:val="000000" w:themeColor="text1"/>
          <w:sz w:val="32"/>
          <w:szCs w:val="32"/>
          <w:shd w:val="clear" w:color="auto" w:fill="F6F6F6"/>
          <w14:textFill>
            <w14:solidFill>
              <w14:schemeClr w14:val="tx1"/>
            </w14:solidFill>
          </w14:textFill>
        </w:rPr>
      </w:pPr>
      <w:r>
        <w:rPr>
          <w:rFonts w:hint="eastAsia" w:ascii="仿宋_GB2312" w:eastAsia="仿宋_GB2312" w:cs="仿宋_GB2312"/>
          <w:color w:val="000000" w:themeColor="text1"/>
          <w:sz w:val="32"/>
          <w:szCs w:val="32"/>
          <w:shd w:val="clear" w:color="auto" w:fill="F6F6F6"/>
          <w14:textFill>
            <w14:solidFill>
              <w14:schemeClr w14:val="tx1"/>
            </w14:solidFill>
          </w14:textFill>
        </w:rPr>
        <w:t>（2）依据《中华人民共和国森林法》、《中华人民共和国森林实施条例》等相关法律法规,以国有森林资源保护管理为核心,依法保护好国有林木、林地。配合森林公安机关依法查处偷砍盗伐、破坏动植物资源、毁林开垦、乱占林地等破坏国有森林资源案件。</w:t>
      </w:r>
    </w:p>
    <w:p w14:paraId="068C86D2">
      <w:pPr>
        <w:widowControl/>
        <w:spacing w:line="600" w:lineRule="atLeast"/>
        <w:ind w:firstLine="627"/>
        <w:jc w:val="left"/>
        <w:rPr>
          <w:rFonts w:ascii="仿宋_GB2312" w:eastAsia="仿宋_GB2312" w:cs="仿宋_GB2312"/>
          <w:color w:val="000000" w:themeColor="text1"/>
          <w:sz w:val="32"/>
          <w:szCs w:val="32"/>
          <w:shd w:val="clear" w:color="auto" w:fill="F6F6F6"/>
          <w14:textFill>
            <w14:solidFill>
              <w14:schemeClr w14:val="tx1"/>
            </w14:solidFill>
          </w14:textFill>
        </w:rPr>
      </w:pPr>
      <w:r>
        <w:rPr>
          <w:rFonts w:hint="eastAsia" w:ascii="仿宋_GB2312" w:eastAsia="仿宋_GB2312" w:cs="仿宋_GB2312"/>
          <w:color w:val="000000" w:themeColor="text1"/>
          <w:sz w:val="32"/>
          <w:szCs w:val="32"/>
          <w:shd w:val="clear" w:color="auto" w:fill="F6F6F6"/>
          <w14:textFill>
            <w14:solidFill>
              <w14:schemeClr w14:val="tx1"/>
            </w14:solidFill>
          </w14:textFill>
        </w:rPr>
        <w:t>（3）负责辖区森林防火和病虫害防治,确保国有森林资源不受损失。</w:t>
      </w:r>
    </w:p>
    <w:p w14:paraId="6882F067">
      <w:pPr>
        <w:widowControl/>
        <w:spacing w:line="600" w:lineRule="atLeast"/>
        <w:ind w:firstLine="627"/>
        <w:jc w:val="left"/>
        <w:rPr>
          <w:rFonts w:ascii="仿宋_GB2312" w:eastAsia="仿宋_GB2312" w:cs="仿宋_GB2312"/>
          <w:color w:val="000000" w:themeColor="text1"/>
          <w:sz w:val="32"/>
          <w:szCs w:val="32"/>
          <w:shd w:val="clear" w:color="auto" w:fill="F6F6F6"/>
          <w14:textFill>
            <w14:solidFill>
              <w14:schemeClr w14:val="tx1"/>
            </w14:solidFill>
          </w14:textFill>
        </w:rPr>
      </w:pPr>
      <w:r>
        <w:rPr>
          <w:rFonts w:hint="eastAsia" w:ascii="仿宋_GB2312" w:eastAsia="仿宋_GB2312" w:cs="仿宋_GB2312"/>
          <w:color w:val="000000" w:themeColor="text1"/>
          <w:sz w:val="32"/>
          <w:szCs w:val="32"/>
          <w:shd w:val="clear" w:color="auto" w:fill="F6F6F6"/>
          <w14:textFill>
            <w14:solidFill>
              <w14:schemeClr w14:val="tx1"/>
            </w14:solidFill>
          </w14:textFill>
        </w:rPr>
        <w:t>（4）在上级主管部门的指导帮助下,做好管护区域内森林资源培育、天然林保护、野生动植物资源保护、林业有害生物防治工作。</w:t>
      </w:r>
    </w:p>
    <w:p w14:paraId="2C30F4B2">
      <w:pPr>
        <w:widowControl/>
        <w:spacing w:line="600" w:lineRule="atLeast"/>
        <w:ind w:firstLine="627"/>
        <w:jc w:val="left"/>
        <w:rPr>
          <w:rFonts w:hint="eastAsia" w:ascii="仿宋_GB2312" w:eastAsia="仿宋_GB2312" w:cs="仿宋_GB2312"/>
          <w:color w:val="000000" w:themeColor="text1"/>
          <w:sz w:val="32"/>
          <w:szCs w:val="32"/>
          <w:shd w:val="clear" w:color="auto" w:fill="F6F6F6"/>
          <w14:textFill>
            <w14:solidFill>
              <w14:schemeClr w14:val="tx1"/>
            </w14:solidFill>
          </w14:textFill>
        </w:rPr>
      </w:pPr>
      <w:r>
        <w:rPr>
          <w:rFonts w:hint="default" w:ascii="仿宋_GB2312" w:eastAsia="仿宋_GB2312" w:cs="仿宋_GB2312"/>
          <w:color w:val="000000" w:themeColor="text1"/>
          <w:sz w:val="32"/>
          <w:szCs w:val="32"/>
          <w:shd w:val="clear" w:color="auto" w:fill="F6F6F6"/>
          <w14:textFill>
            <w14:solidFill>
              <w14:schemeClr w14:val="tx1"/>
            </w14:solidFill>
          </w14:textFill>
        </w:rPr>
        <w:t>（5）依据国家、省和市相关的管理规定,做好国家重点公益林和省级重点公益林管理工作,充分发挥公益林的生态效益。</w:t>
      </w:r>
    </w:p>
    <w:p w14:paraId="20DA3DBB">
      <w:pPr>
        <w:widowControl/>
        <w:spacing w:line="600" w:lineRule="atLeast"/>
        <w:ind w:firstLine="627"/>
        <w:jc w:val="left"/>
        <w:rPr>
          <w:rFonts w:ascii="宋体" w:hAnsi="宋体" w:cs="宋体"/>
          <w:color w:val="000000" w:themeColor="text1"/>
          <w:sz w:val="28"/>
          <w:szCs w:val="28"/>
          <w14:textFill>
            <w14:solidFill>
              <w14:schemeClr w14:val="tx1"/>
            </w14:solidFill>
          </w14:textFill>
        </w:rPr>
      </w:pPr>
      <w:r>
        <w:rPr>
          <w:rFonts w:hint="eastAsia" w:ascii="仿宋_GB2312" w:eastAsia="仿宋_GB2312" w:cs="仿宋_GB2312"/>
          <w:color w:val="000000" w:themeColor="text1"/>
          <w:sz w:val="32"/>
          <w:szCs w:val="32"/>
          <w:shd w:val="clear" w:color="auto" w:fill="F6F6F6"/>
          <w14:textFill>
            <w14:solidFill>
              <w14:schemeClr w14:val="tx1"/>
            </w14:solidFill>
          </w14:textFill>
        </w:rPr>
        <w:t>（6）完成县委、县政府及上级业务主管部门交办的其它工作。</w:t>
      </w:r>
    </w:p>
    <w:p w14:paraId="5B3100A1">
      <w:pPr>
        <w:snapToGrid w:val="0"/>
        <w:spacing w:line="520" w:lineRule="exact"/>
        <w:ind w:firstLine="640" w:firstLineChars="200"/>
        <w:rPr>
          <w:rFonts w:hint="eastAsia" w:ascii="仿宋_GB2312" w:hAnsi="仿宋" w:eastAsia="仿宋_GB2312"/>
          <w:color w:val="000000" w:themeColor="text1"/>
          <w:sz w:val="32"/>
          <w:szCs w:val="32"/>
          <w14:textFill>
            <w14:solidFill>
              <w14:schemeClr w14:val="tx1"/>
            </w14:solidFill>
          </w14:textFill>
        </w:rPr>
      </w:pPr>
    </w:p>
    <w:p w14:paraId="571480BA">
      <w:pPr>
        <w:snapToGrid w:val="0"/>
        <w:spacing w:line="520" w:lineRule="exact"/>
        <w:ind w:firstLine="640" w:firstLineChars="200"/>
        <w:rPr>
          <w:rFonts w:hint="eastAsia" w:ascii="仿宋_GB2312" w:hAnsi="仿宋" w:eastAsia="仿宋_GB2312"/>
          <w:color w:val="000000" w:themeColor="text1"/>
          <w:sz w:val="32"/>
          <w:szCs w:val="32"/>
          <w14:textFill>
            <w14:solidFill>
              <w14:schemeClr w14:val="tx1"/>
            </w14:solidFill>
          </w14:textFill>
        </w:rPr>
      </w:pPr>
      <w:r>
        <w:rPr>
          <w:rFonts w:hint="eastAsia" w:ascii="仿宋_GB2312" w:hAnsi="仿宋" w:eastAsia="仿宋_GB2312"/>
          <w:color w:val="000000" w:themeColor="text1"/>
          <w:sz w:val="32"/>
          <w:szCs w:val="32"/>
          <w14:textFill>
            <w14:solidFill>
              <w14:schemeClr w14:val="tx1"/>
            </w14:solidFill>
          </w14:textFill>
        </w:rPr>
        <w:t>2．机构情况，包括当年变动情况及原因。</w:t>
      </w:r>
    </w:p>
    <w:p w14:paraId="5826D28B">
      <w:pPr>
        <w:pStyle w:val="2"/>
        <w:spacing w:beforeAutospacing="0" w:afterAutospacing="0" w:line="600" w:lineRule="exact"/>
        <w:ind w:firstLine="560" w:firstLineChars="200"/>
        <w:jc w:val="both"/>
        <w:rPr>
          <w:color w:val="000000" w:themeColor="text1"/>
          <w:sz w:val="32"/>
          <w:szCs w:val="32"/>
          <w14:textFill>
            <w14:solidFill>
              <w14:schemeClr w14:val="tx1"/>
            </w14:solidFill>
          </w14:textFill>
        </w:rPr>
      </w:pPr>
      <w:r>
        <w:rPr>
          <w:rFonts w:hint="eastAsia"/>
          <w:bCs/>
          <w:color w:val="000000" w:themeColor="text1"/>
          <w:sz w:val="28"/>
          <w:szCs w:val="28"/>
          <w14:textFill>
            <w14:solidFill>
              <w14:schemeClr w14:val="tx1"/>
            </w14:solidFill>
          </w14:textFill>
        </w:rPr>
        <w:t>（一）内设机构设置。</w:t>
      </w:r>
      <w:r>
        <w:rPr>
          <w:rFonts w:ascii="仿宋_GB2312" w:hAnsi="Times New Roman" w:eastAsia="仿宋_GB2312" w:cs="仿宋_GB2312"/>
          <w:color w:val="000000" w:themeColor="text1"/>
          <w:sz w:val="32"/>
          <w:szCs w:val="32"/>
          <w:shd w:val="clear" w:color="auto" w:fill="F6F6F6"/>
          <w14:textFill>
            <w14:solidFill>
              <w14:schemeClr w14:val="tx1"/>
            </w14:solidFill>
          </w14:textFill>
        </w:rPr>
        <w:t>根据编委核定，我</w:t>
      </w:r>
      <w:r>
        <w:rPr>
          <w:rFonts w:hint="eastAsia" w:ascii="仿宋_GB2312" w:hAnsi="Times New Roman" w:eastAsia="仿宋_GB2312" w:cs="仿宋_GB2312"/>
          <w:color w:val="000000" w:themeColor="text1"/>
          <w:sz w:val="32"/>
          <w:szCs w:val="32"/>
          <w:shd w:val="clear" w:color="auto" w:fill="F6F6F6"/>
          <w14:textFill>
            <w14:solidFill>
              <w14:schemeClr w14:val="tx1"/>
            </w14:solidFill>
          </w14:textFill>
        </w:rPr>
        <w:t>局</w:t>
      </w:r>
      <w:r>
        <w:rPr>
          <w:rFonts w:ascii="仿宋_GB2312" w:hAnsi="Times New Roman" w:eastAsia="仿宋_GB2312" w:cs="仿宋_GB2312"/>
          <w:color w:val="000000" w:themeColor="text1"/>
          <w:sz w:val="32"/>
          <w:szCs w:val="32"/>
          <w:shd w:val="clear" w:color="auto" w:fill="F6F6F6"/>
          <w14:textFill>
            <w14:solidFill>
              <w14:schemeClr w14:val="tx1"/>
            </w14:solidFill>
          </w14:textFill>
        </w:rPr>
        <w:t>内设</w:t>
      </w:r>
      <w:r>
        <w:rPr>
          <w:rFonts w:hint="eastAsia" w:ascii="仿宋_GB2312" w:hAnsi="Times New Roman" w:eastAsia="仿宋_GB2312" w:cs="仿宋_GB2312"/>
          <w:color w:val="000000" w:themeColor="text1"/>
          <w:sz w:val="32"/>
          <w:szCs w:val="32"/>
          <w:shd w:val="clear" w:color="auto" w:fill="F6F6F6"/>
          <w14:textFill>
            <w14:solidFill>
              <w14:schemeClr w14:val="tx1"/>
            </w14:solidFill>
          </w14:textFill>
        </w:rPr>
        <w:t>股室</w:t>
      </w:r>
      <w:r>
        <w:rPr>
          <w:rFonts w:hint="eastAsia" w:ascii="仿宋_GB2312" w:hAnsi="Times New Roman" w:eastAsia="仿宋_GB2312" w:cs="仿宋_GB2312"/>
          <w:color w:val="000000" w:themeColor="text1"/>
          <w:sz w:val="32"/>
          <w:szCs w:val="32"/>
          <w:u w:val="single"/>
          <w:shd w:val="clear" w:color="auto" w:fill="F6F6F6"/>
          <w14:textFill>
            <w14:solidFill>
              <w14:schemeClr w14:val="tx1"/>
            </w14:solidFill>
          </w14:textFill>
        </w:rPr>
        <w:t xml:space="preserve"> 3 </w:t>
      </w:r>
      <w:r>
        <w:rPr>
          <w:rFonts w:ascii="仿宋_GB2312" w:hAnsi="Times New Roman" w:eastAsia="仿宋_GB2312" w:cs="仿宋_GB2312"/>
          <w:color w:val="000000" w:themeColor="text1"/>
          <w:sz w:val="32"/>
          <w:szCs w:val="32"/>
          <w:shd w:val="clear" w:color="auto" w:fill="F6F6F6"/>
          <w14:textFill>
            <w14:solidFill>
              <w14:schemeClr w14:val="tx1"/>
            </w14:solidFill>
          </w14:textFill>
        </w:rPr>
        <w:t>个</w:t>
      </w:r>
      <w:r>
        <w:rPr>
          <w:rFonts w:hint="eastAsia" w:ascii="仿宋_GB2312" w:hAnsi="Times New Roman" w:eastAsia="仿宋_GB2312" w:cs="仿宋_GB2312"/>
          <w:color w:val="000000" w:themeColor="text1"/>
          <w:sz w:val="32"/>
          <w:szCs w:val="32"/>
          <w:shd w:val="clear" w:color="auto" w:fill="F6F6F6"/>
          <w14:textFill>
            <w14:solidFill>
              <w14:schemeClr w14:val="tx1"/>
            </w14:solidFill>
          </w14:textFill>
        </w:rPr>
        <w:t>。</w:t>
      </w:r>
    </w:p>
    <w:p w14:paraId="739297DC">
      <w:pPr>
        <w:pStyle w:val="2"/>
        <w:spacing w:beforeAutospacing="0" w:afterAutospacing="0" w:line="600" w:lineRule="exact"/>
        <w:ind w:firstLine="640" w:firstLineChars="200"/>
        <w:jc w:val="both"/>
        <w:rPr>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shd w:val="clear" w:color="auto" w:fill="F6F6F6"/>
          <w14:textFill>
            <w14:solidFill>
              <w14:schemeClr w14:val="tx1"/>
            </w14:solidFill>
          </w14:textFill>
        </w:rPr>
        <w:t>内设</w:t>
      </w:r>
      <w:r>
        <w:rPr>
          <w:rFonts w:hint="eastAsia" w:ascii="Times New Roman" w:hAnsi="Times New Roman" w:eastAsia="仿宋_GB2312" w:cs="Times New Roman"/>
          <w:color w:val="000000" w:themeColor="text1"/>
          <w:sz w:val="32"/>
          <w:szCs w:val="32"/>
          <w:shd w:val="clear" w:color="auto" w:fill="F6F6F6"/>
          <w14:textFill>
            <w14:solidFill>
              <w14:schemeClr w14:val="tx1"/>
            </w14:solidFill>
          </w14:textFill>
        </w:rPr>
        <w:t>股</w:t>
      </w:r>
      <w:r>
        <w:rPr>
          <w:rFonts w:ascii="Times New Roman" w:hAnsi="Times New Roman" w:eastAsia="仿宋_GB2312" w:cs="Times New Roman"/>
          <w:color w:val="000000" w:themeColor="text1"/>
          <w:sz w:val="32"/>
          <w:szCs w:val="32"/>
          <w:shd w:val="clear" w:color="auto" w:fill="F6F6F6"/>
          <w14:textFill>
            <w14:solidFill>
              <w14:schemeClr w14:val="tx1"/>
            </w14:solidFill>
          </w14:textFill>
        </w:rPr>
        <w:t>室分别是</w:t>
      </w:r>
      <w:r>
        <w:rPr>
          <w:rFonts w:hint="eastAsia" w:ascii="Times New Roman" w:hAnsi="Times New Roman" w:eastAsia="仿宋_GB2312" w:cs="Times New Roman"/>
          <w:color w:val="000000" w:themeColor="text1"/>
          <w:sz w:val="32"/>
          <w:szCs w:val="32"/>
          <w:shd w:val="clear" w:color="auto" w:fill="F6F6F6"/>
          <w14:textFill>
            <w14:solidFill>
              <w14:schemeClr w14:val="tx1"/>
            </w14:solidFill>
          </w14:textFill>
        </w:rPr>
        <w:t>综合室、资源保护室（安全生产室）、林政营林室</w:t>
      </w:r>
      <w:r>
        <w:rPr>
          <w:rFonts w:ascii="Times New Roman" w:hAnsi="Times New Roman" w:eastAsia="仿宋_GB2312" w:cs="Times New Roman"/>
          <w:color w:val="000000" w:themeColor="text1"/>
          <w:sz w:val="32"/>
          <w:szCs w:val="32"/>
          <w:shd w:val="clear" w:color="auto" w:fill="F6F6F6"/>
          <w14:textFill>
            <w14:solidFill>
              <w14:schemeClr w14:val="tx1"/>
            </w14:solidFill>
          </w14:textFill>
        </w:rPr>
        <w:t>。</w:t>
      </w:r>
    </w:p>
    <w:p w14:paraId="35BB4E81">
      <w:pPr>
        <w:snapToGrid w:val="0"/>
        <w:spacing w:line="520" w:lineRule="exact"/>
        <w:ind w:firstLine="643" w:firstLineChars="200"/>
        <w:rPr>
          <w:rFonts w:hint="eastAsia" w:ascii="仿宋_GB2312" w:hAnsi="仿宋" w:eastAsia="仿宋_GB2312"/>
          <w:b/>
          <w:color w:val="000000" w:themeColor="text1"/>
          <w:sz w:val="32"/>
          <w:szCs w:val="32"/>
          <w14:textFill>
            <w14:solidFill>
              <w14:schemeClr w14:val="tx1"/>
            </w14:solidFill>
          </w14:textFill>
        </w:rPr>
      </w:pPr>
    </w:p>
    <w:p w14:paraId="4C2CAFA8">
      <w:pPr>
        <w:snapToGrid w:val="0"/>
        <w:spacing w:line="520" w:lineRule="exact"/>
        <w:ind w:firstLine="640" w:firstLineChars="200"/>
        <w:rPr>
          <w:rFonts w:hint="eastAsia" w:ascii="仿宋_GB2312" w:hAnsi="仿宋" w:eastAsia="仿宋_GB2312"/>
          <w:color w:val="000000" w:themeColor="text1"/>
          <w:sz w:val="32"/>
          <w:szCs w:val="32"/>
          <w14:textFill>
            <w14:solidFill>
              <w14:schemeClr w14:val="tx1"/>
            </w14:solidFill>
          </w14:textFill>
        </w:rPr>
      </w:pPr>
      <w:r>
        <w:rPr>
          <w:rFonts w:hint="eastAsia" w:ascii="仿宋_GB2312" w:hAnsi="仿宋" w:eastAsia="仿宋_GB2312"/>
          <w:color w:val="000000" w:themeColor="text1"/>
          <w:sz w:val="32"/>
          <w:szCs w:val="32"/>
          <w14:textFill>
            <w14:solidFill>
              <w14:schemeClr w14:val="tx1"/>
            </w14:solidFill>
          </w14:textFill>
        </w:rPr>
        <w:t>3．人员情况，包括当年变动情况及原因。</w:t>
      </w:r>
    </w:p>
    <w:p w14:paraId="6966F4A2">
      <w:pPr>
        <w:snapToGrid w:val="0"/>
        <w:spacing w:line="520" w:lineRule="exact"/>
        <w:ind w:firstLine="640" w:firstLineChars="200"/>
        <w:rPr>
          <w:rFonts w:hint="eastAsia" w:ascii="仿宋_GB2312" w:hAnsi="仿宋" w:eastAsia="仿宋_GB2312"/>
          <w:color w:val="000000" w:themeColor="text1"/>
          <w:sz w:val="32"/>
          <w:szCs w:val="32"/>
          <w14:textFill>
            <w14:solidFill>
              <w14:schemeClr w14:val="tx1"/>
            </w14:solidFill>
          </w14:textFill>
        </w:rPr>
      </w:pPr>
      <w:r>
        <w:rPr>
          <w:rFonts w:hint="eastAsia" w:ascii="仿宋_GB2312" w:hAnsi="仿宋" w:eastAsia="仿宋_GB2312"/>
          <w:color w:val="000000" w:themeColor="text1"/>
          <w:sz w:val="32"/>
          <w:szCs w:val="32"/>
          <w14:textFill>
            <w14:solidFill>
              <w14:schemeClr w14:val="tx1"/>
            </w14:solidFill>
          </w14:textFill>
        </w:rPr>
        <w:t>现在职在编人员26人，两人退休，新增</w:t>
      </w:r>
      <w:r>
        <w:rPr>
          <w:rFonts w:hint="eastAsia" w:ascii="仿宋_GB2312" w:hAnsi="仿宋" w:eastAsia="仿宋_GB2312"/>
          <w:color w:val="000000" w:themeColor="text1"/>
          <w:sz w:val="32"/>
          <w:szCs w:val="32"/>
          <w:lang w:eastAsia="zh-CN"/>
          <w14:textFill>
            <w14:solidFill>
              <w14:schemeClr w14:val="tx1"/>
            </w14:solidFill>
          </w14:textFill>
        </w:rPr>
        <w:t>三</w:t>
      </w:r>
      <w:r>
        <w:rPr>
          <w:rFonts w:hint="eastAsia" w:ascii="仿宋_GB2312" w:hAnsi="仿宋" w:eastAsia="仿宋_GB2312"/>
          <w:color w:val="000000" w:themeColor="text1"/>
          <w:sz w:val="32"/>
          <w:szCs w:val="32"/>
          <w14:textFill>
            <w14:solidFill>
              <w14:schemeClr w14:val="tx1"/>
            </w14:solidFill>
          </w14:textFill>
        </w:rPr>
        <w:t>人。</w:t>
      </w:r>
    </w:p>
    <w:p w14:paraId="0E00955B">
      <w:pPr>
        <w:keepNext w:val="0"/>
        <w:keepLines w:val="0"/>
        <w:pageBreakBefore w:val="0"/>
        <w:widowControl w:val="0"/>
        <w:shd w:val="clear" w:color="auto" w:fill="FFFFFF"/>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rPr>
      </w:pPr>
    </w:p>
    <w:p w14:paraId="55D3F4D7">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640" w:firstLineChars="200"/>
        <w:textAlignment w:val="auto"/>
        <w:rPr>
          <w:rFonts w:hint="eastAsia" w:eastAsia="仿宋_GB2312"/>
          <w:color w:val="000000"/>
          <w:sz w:val="32"/>
          <w:szCs w:val="32"/>
        </w:rPr>
      </w:pPr>
      <w:r>
        <w:rPr>
          <w:rFonts w:hint="eastAsia" w:ascii="仿宋_GB2312" w:eastAsia="仿宋_GB2312"/>
          <w:sz w:val="32"/>
          <w:szCs w:val="32"/>
        </w:rPr>
        <w:t>部门（单位）整体支出规模</w:t>
      </w:r>
      <w:r>
        <w:rPr>
          <w:rFonts w:hint="eastAsia" w:ascii="仿宋_GB2312" w:hAnsi="仿宋_GB2312" w:eastAsia="仿宋_GB2312" w:cs="仿宋_GB2312"/>
          <w:sz w:val="32"/>
          <w:szCs w:val="32"/>
        </w:rPr>
        <w:t>，</w:t>
      </w:r>
      <w:r>
        <w:rPr>
          <w:rFonts w:hint="eastAsia" w:eastAsia="仿宋_GB2312"/>
          <w:color w:val="000000"/>
          <w:sz w:val="32"/>
          <w:szCs w:val="32"/>
        </w:rPr>
        <w:t>包括但不限于部门整体支出情况、部门预算收支决算情况及“三公经费”支出使用和管理情况。</w:t>
      </w:r>
    </w:p>
    <w:p w14:paraId="10DF33BF">
      <w:pPr>
        <w:pStyle w:val="5"/>
        <w:keepNext w:val="0"/>
        <w:keepLines w:val="0"/>
        <w:pageBreakBefore w:val="0"/>
        <w:widowControl w:val="0"/>
        <w:kinsoku/>
        <w:wordWrap/>
        <w:overflowPunct/>
        <w:topLinePunct w:val="0"/>
        <w:bidi w:val="0"/>
        <w:adjustRightInd/>
        <w:snapToGrid w:val="0"/>
        <w:spacing w:line="360" w:lineRule="auto"/>
        <w:ind w:firstLine="640" w:firstLineChars="200"/>
        <w:textAlignment w:val="auto"/>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三公经费预算为4.1万元，支出决算为4.1万元，其中：</w:t>
      </w:r>
    </w:p>
    <w:p w14:paraId="499CB8AE">
      <w:pPr>
        <w:pStyle w:val="5"/>
        <w:keepNext w:val="0"/>
        <w:keepLines w:val="0"/>
        <w:pageBreakBefore w:val="0"/>
        <w:widowControl w:val="0"/>
        <w:kinsoku/>
        <w:wordWrap/>
        <w:overflowPunct/>
        <w:topLinePunct w:val="0"/>
        <w:bidi w:val="0"/>
        <w:adjustRightInd/>
        <w:snapToGrid w:val="0"/>
        <w:spacing w:line="360" w:lineRule="auto"/>
        <w:ind w:firstLine="64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Times New Roman" w:hAnsi="Times New Roman" w:eastAsia="仿宋_GB2312" w:cs="Times New Roman"/>
          <w:color w:val="auto"/>
          <w:kern w:val="0"/>
          <w:sz w:val="32"/>
          <w:szCs w:val="32"/>
          <w:lang w:val="en-US" w:eastAsia="zh-CN" w:bidi="ar-SA"/>
        </w:rPr>
        <w:t>因公出国（境）费支出预算为0万元，支出决算为0万元，公务接待费支出预算为1万元，支出决算为1万元，公务用车购置费及运行维护费支出预算为3.1万元，支出决算为3.1万元</w:t>
      </w:r>
      <w:r>
        <w:rPr>
          <w:rFonts w:hint="eastAsia" w:ascii="宋体" w:hAnsi="宋体" w:eastAsia="宋体" w:cs="宋体"/>
          <w:color w:val="000000" w:themeColor="text1"/>
          <w:sz w:val="28"/>
          <w:szCs w:val="28"/>
          <w:lang w:eastAsia="zh-CN"/>
          <w14:textFill>
            <w14:solidFill>
              <w14:schemeClr w14:val="tx1"/>
            </w14:solidFill>
          </w14:textFill>
        </w:rPr>
        <w:t>。</w:t>
      </w:r>
    </w:p>
    <w:p w14:paraId="6040B7C2">
      <w:pPr>
        <w:pStyle w:val="6"/>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黑体"/>
          <w:sz w:val="32"/>
          <w:szCs w:val="32"/>
        </w:rPr>
      </w:pPr>
      <w:r>
        <w:rPr>
          <w:rFonts w:ascii="Times New Roman" w:hAnsi="Times New Roman" w:eastAsia="黑体"/>
          <w:sz w:val="32"/>
          <w:szCs w:val="32"/>
        </w:rPr>
        <w:t>二、一般公共预算支出情况</w:t>
      </w:r>
    </w:p>
    <w:p w14:paraId="03ED1AF5">
      <w:pPr>
        <w:pStyle w:val="6"/>
        <w:keepNext w:val="0"/>
        <w:keepLines w:val="0"/>
        <w:pageBreakBefore w:val="0"/>
        <w:widowControl w:val="0"/>
        <w:kinsoku/>
        <w:wordWrap/>
        <w:overflowPunct/>
        <w:topLinePunct w:val="0"/>
        <w:autoSpaceDE/>
        <w:autoSpaceDN/>
        <w:bidi w:val="0"/>
        <w:adjustRightInd/>
        <w:snapToGrid/>
        <w:spacing w:line="460" w:lineRule="exact"/>
        <w:ind w:firstLine="640"/>
        <w:textAlignment w:val="auto"/>
        <w:rPr>
          <w:rFonts w:ascii="Times New Roman" w:hAnsi="Times New Roman" w:eastAsia="仿宋_GB2312"/>
          <w:sz w:val="32"/>
          <w:szCs w:val="32"/>
        </w:rPr>
      </w:pPr>
      <w:r>
        <w:rPr>
          <w:rFonts w:ascii="Times New Roman" w:hAnsi="Times New Roman" w:eastAsia="仿宋_GB2312"/>
          <w:sz w:val="32"/>
          <w:szCs w:val="32"/>
        </w:rPr>
        <w:t>（一）基本支出情况</w:t>
      </w:r>
    </w:p>
    <w:p w14:paraId="54DC2078">
      <w:pPr>
        <w:pStyle w:val="5"/>
        <w:keepNext w:val="0"/>
        <w:keepLines w:val="0"/>
        <w:pageBreakBefore w:val="0"/>
        <w:widowControl w:val="0"/>
        <w:kinsoku/>
        <w:wordWrap/>
        <w:overflowPunct/>
        <w:topLinePunct w:val="0"/>
        <w:bidi w:val="0"/>
        <w:adjustRightInd/>
        <w:snapToGrid w:val="0"/>
        <w:spacing w:line="360" w:lineRule="auto"/>
        <w:ind w:firstLine="640" w:firstLineChars="200"/>
        <w:textAlignment w:val="auto"/>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本年收入合计737.97万元，其中：财政拨款收入737.97万元，占100%；上级补助收入0万元，占0%；事业收入0万元，占0%；经营收入0万元，占0%；附属单位上缴收入0万元，占0%；其他收入0万元，占0%。</w:t>
      </w:r>
    </w:p>
    <w:p w14:paraId="13CFE013">
      <w:pPr>
        <w:pStyle w:val="6"/>
        <w:keepNext w:val="0"/>
        <w:keepLines w:val="0"/>
        <w:pageBreakBefore w:val="0"/>
        <w:widowControl w:val="0"/>
        <w:kinsoku/>
        <w:wordWrap/>
        <w:overflowPunct/>
        <w:topLinePunct w:val="0"/>
        <w:autoSpaceDE/>
        <w:autoSpaceDN/>
        <w:bidi w:val="0"/>
        <w:adjustRightInd/>
        <w:snapToGrid w:val="0"/>
        <w:spacing w:line="360" w:lineRule="auto"/>
        <w:ind w:firstLine="640"/>
        <w:textAlignment w:val="auto"/>
        <w:rPr>
          <w:rFonts w:ascii="Times New Roman" w:hAnsi="Times New Roman" w:eastAsia="仿宋_GB2312"/>
          <w:sz w:val="32"/>
          <w:szCs w:val="32"/>
        </w:rPr>
      </w:pPr>
      <w:r>
        <w:rPr>
          <w:rFonts w:hint="eastAsia" w:ascii="Times New Roman" w:hAnsi="Times New Roman" w:eastAsia="仿宋_GB2312" w:cs="Times New Roman"/>
          <w:color w:val="auto"/>
          <w:kern w:val="0"/>
          <w:sz w:val="32"/>
          <w:szCs w:val="32"/>
          <w:lang w:val="en-US" w:eastAsia="zh-CN" w:bidi="ar-SA"/>
        </w:rPr>
        <w:t>本年支出合计737.97元，其中：基本支出448.18万元，占68.2%；项目支出289.80万元，占31.8%；上缴上级支出0万元，占0%；经营支出0万元，占0%；对附属单位补助支出0万元，占0%。</w:t>
      </w:r>
    </w:p>
    <w:p w14:paraId="310ABAB3">
      <w:pPr>
        <w:pStyle w:val="6"/>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640"/>
        <w:textAlignment w:val="auto"/>
        <w:rPr>
          <w:rFonts w:ascii="Times New Roman" w:hAnsi="Times New Roman" w:eastAsia="仿宋_GB2312"/>
          <w:sz w:val="32"/>
          <w:szCs w:val="32"/>
        </w:rPr>
      </w:pPr>
      <w:r>
        <w:rPr>
          <w:rFonts w:ascii="Times New Roman" w:hAnsi="Times New Roman" w:eastAsia="仿宋_GB2312"/>
          <w:sz w:val="32"/>
          <w:szCs w:val="32"/>
        </w:rPr>
        <w:t>项目支出情况</w:t>
      </w:r>
    </w:p>
    <w:p w14:paraId="22AE3CD0">
      <w:pPr>
        <w:pStyle w:val="6"/>
        <w:keepNext w:val="0"/>
        <w:keepLines w:val="0"/>
        <w:pageBreakBefore w:val="0"/>
        <w:widowControl w:val="0"/>
        <w:kinsoku/>
        <w:wordWrap/>
        <w:overflowPunct/>
        <w:topLinePunct w:val="0"/>
        <w:autoSpaceDE/>
        <w:autoSpaceDN/>
        <w:bidi w:val="0"/>
        <w:adjustRightInd/>
        <w:snapToGrid w:val="0"/>
        <w:spacing w:line="360" w:lineRule="auto"/>
        <w:ind w:firstLine="640"/>
        <w:textAlignment w:val="auto"/>
        <w:rPr>
          <w:rFonts w:hint="default"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本年度项目支出为289.79万元，其中：肥源林场林区道路建设项目40万元；黄板源、金陵山工区林区道路建设68万元；森林质量提升项目85万元；森林防火专项资金30万元；战略储备林项目30万元；中央林业草原生态保护恢复资金16.2万元</w:t>
      </w:r>
    </w:p>
    <w:p w14:paraId="59D2F726">
      <w:pPr>
        <w:pStyle w:val="6"/>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黑体"/>
          <w:sz w:val="32"/>
          <w:szCs w:val="32"/>
        </w:rPr>
      </w:pPr>
      <w:r>
        <w:rPr>
          <w:rFonts w:ascii="Times New Roman" w:hAnsi="Times New Roman" w:eastAsia="黑体"/>
          <w:sz w:val="32"/>
          <w:szCs w:val="32"/>
        </w:rPr>
        <w:t>三、政府性基金预算支出情况</w:t>
      </w:r>
      <w:r>
        <w:rPr>
          <w:rFonts w:hint="eastAsia" w:ascii="Times New Roman" w:hAnsi="Times New Roman" w:eastAsia="黑体"/>
          <w:sz w:val="32"/>
          <w:szCs w:val="32"/>
        </w:rPr>
        <w:t>。</w:t>
      </w:r>
    </w:p>
    <w:p w14:paraId="5C53B762">
      <w:pPr>
        <w:pStyle w:val="6"/>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我单位无政府性基金预算支出情况</w:t>
      </w:r>
    </w:p>
    <w:p w14:paraId="678EDF84">
      <w:pPr>
        <w:pStyle w:val="6"/>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hint="eastAsia" w:ascii="Times New Roman" w:hAnsi="Times New Roman" w:eastAsia="仿宋_GB2312"/>
          <w:color w:val="000000"/>
          <w:sz w:val="32"/>
          <w:szCs w:val="32"/>
        </w:rPr>
      </w:pPr>
    </w:p>
    <w:p w14:paraId="39A1B90A">
      <w:pPr>
        <w:pStyle w:val="6"/>
        <w:keepNext w:val="0"/>
        <w:keepLines w:val="0"/>
        <w:pageBreakBefore w:val="0"/>
        <w:widowControl w:val="0"/>
        <w:numPr>
          <w:ilvl w:val="0"/>
          <w:numId w:val="0"/>
        </w:numPr>
        <w:kinsoku/>
        <w:wordWrap/>
        <w:overflowPunct/>
        <w:topLinePunct w:val="0"/>
        <w:autoSpaceDE/>
        <w:autoSpaceDN/>
        <w:bidi w:val="0"/>
        <w:adjustRightInd/>
        <w:snapToGrid/>
        <w:spacing w:line="460" w:lineRule="exact"/>
        <w:ind w:left="630" w:leftChars="0"/>
        <w:jc w:val="both"/>
        <w:textAlignment w:val="auto"/>
        <w:rPr>
          <w:rFonts w:hint="eastAsia" w:ascii="Times New Roman" w:hAnsi="Times New Roman" w:eastAsia="仿宋_GB2312"/>
          <w:color w:val="000000"/>
          <w:sz w:val="32"/>
          <w:szCs w:val="32"/>
        </w:rPr>
      </w:pPr>
      <w:r>
        <w:rPr>
          <w:rFonts w:hint="eastAsia" w:ascii="Times New Roman" w:hAnsi="Times New Roman" w:eastAsia="黑体"/>
          <w:sz w:val="32"/>
          <w:szCs w:val="32"/>
          <w:lang w:eastAsia="zh-CN"/>
        </w:rPr>
        <w:t>四、</w:t>
      </w:r>
      <w:r>
        <w:rPr>
          <w:rFonts w:ascii="Times New Roman" w:hAnsi="Times New Roman" w:eastAsia="黑体"/>
          <w:sz w:val="32"/>
          <w:szCs w:val="32"/>
        </w:rPr>
        <w:t>国有资本经营预算支出情况</w:t>
      </w:r>
      <w:r>
        <w:rPr>
          <w:rFonts w:hint="eastAsia" w:ascii="Times New Roman" w:hAnsi="Times New Roman" w:eastAsia="黑体"/>
          <w:sz w:val="32"/>
          <w:szCs w:val="32"/>
        </w:rPr>
        <w:t>。</w:t>
      </w:r>
    </w:p>
    <w:p w14:paraId="476E9FAB">
      <w:pPr>
        <w:pStyle w:val="6"/>
        <w:keepNext w:val="0"/>
        <w:keepLines w:val="0"/>
        <w:pageBreakBefore w:val="0"/>
        <w:widowControl w:val="0"/>
        <w:numPr>
          <w:ilvl w:val="0"/>
          <w:numId w:val="0"/>
        </w:numPr>
        <w:kinsoku/>
        <w:wordWrap/>
        <w:overflowPunct/>
        <w:topLinePunct w:val="0"/>
        <w:autoSpaceDE/>
        <w:autoSpaceDN/>
        <w:bidi w:val="0"/>
        <w:adjustRightInd/>
        <w:snapToGrid/>
        <w:spacing w:line="460" w:lineRule="exact"/>
        <w:ind w:left="-10" w:leftChars="0" w:firstLine="640" w:firstLineChars="0"/>
        <w:jc w:val="both"/>
        <w:textAlignment w:val="auto"/>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我单位无国有资本经营预算支出情况</w:t>
      </w:r>
    </w:p>
    <w:p w14:paraId="5B24913E">
      <w:pPr>
        <w:pStyle w:val="6"/>
        <w:keepNext w:val="0"/>
        <w:keepLines w:val="0"/>
        <w:pageBreakBefore w:val="0"/>
        <w:widowControl w:val="0"/>
        <w:numPr>
          <w:ilvl w:val="0"/>
          <w:numId w:val="0"/>
        </w:numPr>
        <w:kinsoku/>
        <w:wordWrap/>
        <w:overflowPunct/>
        <w:topLinePunct w:val="0"/>
        <w:autoSpaceDE/>
        <w:autoSpaceDN/>
        <w:bidi w:val="0"/>
        <w:adjustRightInd/>
        <w:snapToGrid/>
        <w:spacing w:line="460" w:lineRule="exact"/>
        <w:ind w:left="-10" w:leftChars="0" w:firstLine="640" w:firstLineChars="0"/>
        <w:jc w:val="both"/>
        <w:textAlignment w:val="auto"/>
        <w:rPr>
          <w:rFonts w:hint="eastAsia" w:ascii="Times New Roman" w:hAnsi="Times New Roman" w:eastAsia="仿宋_GB2312"/>
          <w:color w:val="000000"/>
          <w:sz w:val="32"/>
          <w:szCs w:val="32"/>
        </w:rPr>
      </w:pPr>
    </w:p>
    <w:p w14:paraId="4DA210AF">
      <w:pPr>
        <w:pStyle w:val="6"/>
        <w:keepNext w:val="0"/>
        <w:keepLines w:val="0"/>
        <w:pageBreakBefore w:val="0"/>
        <w:widowControl w:val="0"/>
        <w:numPr>
          <w:ilvl w:val="0"/>
          <w:numId w:val="0"/>
        </w:numPr>
        <w:kinsoku/>
        <w:wordWrap/>
        <w:overflowPunct/>
        <w:topLinePunct w:val="0"/>
        <w:autoSpaceDE/>
        <w:autoSpaceDN/>
        <w:bidi w:val="0"/>
        <w:adjustRightInd/>
        <w:snapToGrid/>
        <w:spacing w:line="460" w:lineRule="exact"/>
        <w:ind w:left="630" w:leftChars="0"/>
        <w:jc w:val="both"/>
        <w:textAlignment w:val="auto"/>
        <w:rPr>
          <w:rFonts w:hint="eastAsia" w:ascii="Times New Roman" w:hAnsi="Times New Roman" w:eastAsia="黑体"/>
          <w:sz w:val="32"/>
          <w:szCs w:val="32"/>
        </w:rPr>
      </w:pPr>
      <w:r>
        <w:rPr>
          <w:rFonts w:hint="eastAsia" w:ascii="Times New Roman" w:hAnsi="Times New Roman" w:eastAsia="黑体"/>
          <w:sz w:val="32"/>
          <w:szCs w:val="32"/>
          <w:lang w:eastAsia="zh-CN"/>
        </w:rPr>
        <w:t>五、</w:t>
      </w:r>
      <w:r>
        <w:rPr>
          <w:rFonts w:ascii="Times New Roman" w:hAnsi="Times New Roman" w:eastAsia="黑体"/>
          <w:sz w:val="32"/>
          <w:szCs w:val="32"/>
        </w:rPr>
        <w:t>社会保险基金预算支出情况</w:t>
      </w:r>
      <w:r>
        <w:rPr>
          <w:rFonts w:hint="eastAsia" w:ascii="Times New Roman" w:hAnsi="Times New Roman" w:eastAsia="黑体"/>
          <w:sz w:val="32"/>
          <w:szCs w:val="32"/>
        </w:rPr>
        <w:t>。</w:t>
      </w:r>
    </w:p>
    <w:p w14:paraId="0476FFA6">
      <w:pPr>
        <w:pStyle w:val="6"/>
        <w:keepNext w:val="0"/>
        <w:keepLines w:val="0"/>
        <w:pageBreakBefore w:val="0"/>
        <w:widowControl w:val="0"/>
        <w:numPr>
          <w:ilvl w:val="0"/>
          <w:numId w:val="0"/>
        </w:numPr>
        <w:kinsoku/>
        <w:wordWrap/>
        <w:overflowPunct/>
        <w:topLinePunct w:val="0"/>
        <w:autoSpaceDE/>
        <w:autoSpaceDN/>
        <w:bidi w:val="0"/>
        <w:adjustRightInd/>
        <w:snapToGrid/>
        <w:spacing w:line="460" w:lineRule="exact"/>
        <w:ind w:left="630" w:leftChars="0"/>
        <w:jc w:val="both"/>
        <w:textAlignment w:val="auto"/>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我单位无社会保险基金预算支出情况</w:t>
      </w:r>
    </w:p>
    <w:p w14:paraId="2BEBFA48">
      <w:pPr>
        <w:pStyle w:val="6"/>
        <w:keepNext w:val="0"/>
        <w:keepLines w:val="0"/>
        <w:pageBreakBefore w:val="0"/>
        <w:widowControl w:val="0"/>
        <w:numPr>
          <w:ilvl w:val="0"/>
          <w:numId w:val="0"/>
        </w:numPr>
        <w:kinsoku/>
        <w:wordWrap/>
        <w:overflowPunct/>
        <w:topLinePunct w:val="0"/>
        <w:autoSpaceDE/>
        <w:autoSpaceDN/>
        <w:bidi w:val="0"/>
        <w:adjustRightInd/>
        <w:snapToGrid/>
        <w:spacing w:line="460" w:lineRule="exact"/>
        <w:ind w:left="630" w:leftChars="0"/>
        <w:jc w:val="both"/>
        <w:textAlignment w:val="auto"/>
        <w:rPr>
          <w:rFonts w:hint="eastAsia" w:ascii="Times New Roman" w:hAnsi="Times New Roman" w:eastAsia="仿宋_GB2312"/>
          <w:color w:val="000000"/>
          <w:sz w:val="32"/>
          <w:szCs w:val="32"/>
        </w:rPr>
      </w:pPr>
    </w:p>
    <w:p w14:paraId="188809E3">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六、部门整体支出绩效情况</w:t>
      </w:r>
    </w:p>
    <w:p w14:paraId="6B3A4F7E">
      <w:pPr>
        <w:snapToGrid w:val="0"/>
        <w:spacing w:line="520" w:lineRule="exact"/>
        <w:ind w:firstLine="640" w:firstLineChars="200"/>
        <w:rPr>
          <w:rFonts w:hint="eastAsia" w:ascii="Times New Roman" w:hAnsi="Times New Roman" w:eastAsia="仿宋_GB2312" w:cs="Times New Roman"/>
          <w:color w:val="000000"/>
          <w:sz w:val="32"/>
          <w:szCs w:val="32"/>
        </w:rPr>
      </w:pPr>
      <w:r>
        <w:rPr>
          <w:rFonts w:hint="eastAsia" w:eastAsia="仿宋_GB2312"/>
          <w:color w:val="000000"/>
          <w:sz w:val="32"/>
          <w:szCs w:val="32"/>
          <w:lang w:eastAsia="zh-CN"/>
        </w:rPr>
        <w:t>本单位</w:t>
      </w:r>
      <w:r>
        <w:rPr>
          <w:rFonts w:hint="eastAsia" w:ascii="Times New Roman" w:hAnsi="Times New Roman" w:eastAsia="仿宋_GB2312" w:cs="Times New Roman"/>
          <w:color w:val="000000"/>
          <w:sz w:val="32"/>
          <w:szCs w:val="32"/>
        </w:rPr>
        <w:t>202</w:t>
      </w:r>
      <w:r>
        <w:rPr>
          <w:rFonts w:hint="eastAsia" w:ascii="Times New Roman" w:hAnsi="Times New Roman" w:eastAsia="仿宋_GB2312" w:cs="Times New Roman"/>
          <w:color w:val="000000"/>
          <w:sz w:val="32"/>
          <w:szCs w:val="32"/>
          <w:lang w:val="en-US" w:eastAsia="zh-CN"/>
        </w:rPr>
        <w:t>3</w:t>
      </w:r>
      <w:r>
        <w:rPr>
          <w:rFonts w:hint="eastAsia" w:ascii="Times New Roman" w:hAnsi="Times New Roman" w:eastAsia="仿宋_GB2312" w:cs="Times New Roman"/>
          <w:color w:val="000000"/>
          <w:sz w:val="32"/>
          <w:szCs w:val="32"/>
        </w:rPr>
        <w:t>年年初预算数3</w:t>
      </w:r>
      <w:r>
        <w:rPr>
          <w:rFonts w:hint="eastAsia" w:ascii="Times New Roman" w:hAnsi="Times New Roman" w:eastAsia="仿宋_GB2312" w:cs="Times New Roman"/>
          <w:color w:val="000000"/>
          <w:sz w:val="32"/>
          <w:szCs w:val="32"/>
          <w:lang w:val="en-US" w:eastAsia="zh-CN"/>
        </w:rPr>
        <w:t>7</w:t>
      </w:r>
      <w:r>
        <w:rPr>
          <w:rFonts w:hint="eastAsia" w:ascii="Times New Roman" w:hAnsi="Times New Roman" w:eastAsia="仿宋_GB2312" w:cs="Times New Roman"/>
          <w:color w:val="000000"/>
          <w:sz w:val="32"/>
          <w:szCs w:val="32"/>
        </w:rPr>
        <w:t>0万元，调整后，</w:t>
      </w:r>
      <w:r>
        <w:rPr>
          <w:rFonts w:hint="eastAsia" w:ascii="Times New Roman" w:hAnsi="Times New Roman" w:eastAsia="仿宋_GB2312" w:cs="Times New Roman"/>
          <w:color w:val="000000"/>
          <w:sz w:val="32"/>
          <w:szCs w:val="32"/>
          <w:lang w:eastAsia="zh-CN"/>
        </w:rPr>
        <w:t>2023</w:t>
      </w:r>
      <w:r>
        <w:rPr>
          <w:rFonts w:hint="eastAsia" w:ascii="Times New Roman" w:hAnsi="Times New Roman" w:eastAsia="仿宋_GB2312" w:cs="Times New Roman"/>
          <w:color w:val="000000"/>
          <w:sz w:val="32"/>
          <w:szCs w:val="32"/>
        </w:rPr>
        <w:t>年决算数为</w:t>
      </w:r>
      <w:r>
        <w:rPr>
          <w:rFonts w:hint="eastAsia" w:ascii="Times New Roman" w:hAnsi="Times New Roman" w:eastAsia="仿宋_GB2312" w:cs="Times New Roman"/>
          <w:color w:val="000000"/>
          <w:sz w:val="32"/>
          <w:szCs w:val="32"/>
          <w:lang w:val="en-US" w:eastAsia="zh-CN"/>
        </w:rPr>
        <w:t>737.97</w:t>
      </w:r>
      <w:r>
        <w:rPr>
          <w:rFonts w:hint="eastAsia" w:ascii="Times New Roman" w:hAnsi="Times New Roman" w:eastAsia="仿宋_GB2312" w:cs="Times New Roman"/>
          <w:color w:val="000000"/>
          <w:sz w:val="32"/>
          <w:szCs w:val="32"/>
        </w:rPr>
        <w:t>元</w:t>
      </w:r>
      <w:r>
        <w:rPr>
          <w:rFonts w:hint="eastAsia" w:ascii="Times New Roman" w:hAnsi="Times New Roman" w:eastAsia="仿宋_GB2312" w:cs="Times New Roman"/>
          <w:color w:val="000000"/>
          <w:sz w:val="32"/>
          <w:szCs w:val="32"/>
          <w:lang w:eastAsia="zh-CN"/>
        </w:rPr>
        <w:t>，</w:t>
      </w:r>
      <w:r>
        <w:rPr>
          <w:rFonts w:hint="eastAsia" w:ascii="Times New Roman" w:hAnsi="Times New Roman" w:eastAsia="仿宋_GB2312" w:cs="Times New Roman"/>
          <w:color w:val="000000"/>
          <w:sz w:val="32"/>
          <w:szCs w:val="32"/>
        </w:rPr>
        <w:t>收支基本上无误</w:t>
      </w:r>
      <w:r>
        <w:rPr>
          <w:rFonts w:hint="eastAsia" w:ascii="Times New Roman" w:hAnsi="Times New Roman" w:eastAsia="仿宋_GB2312" w:cs="Times New Roman"/>
          <w:color w:val="000000"/>
          <w:sz w:val="32"/>
          <w:szCs w:val="32"/>
          <w:lang w:eastAsia="zh-CN"/>
        </w:rPr>
        <w:t>。本年度项目增多，导致本年预算与决算差距较大。</w:t>
      </w:r>
    </w:p>
    <w:p w14:paraId="5A8623B4">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eastAsia="仿宋_GB2312"/>
          <w:color w:val="000000"/>
          <w:sz w:val="32"/>
          <w:szCs w:val="32"/>
        </w:rPr>
      </w:pPr>
      <w:r>
        <w:rPr>
          <w:rFonts w:hint="eastAsia" w:eastAsia="仿宋_GB2312"/>
          <w:color w:val="000000"/>
          <w:sz w:val="32"/>
          <w:szCs w:val="32"/>
          <w:lang w:eastAsia="zh-CN"/>
        </w:rPr>
        <w:t>本单位</w:t>
      </w:r>
      <w:r>
        <w:rPr>
          <w:rFonts w:hint="eastAsia" w:eastAsia="仿宋_GB2312"/>
          <w:color w:val="000000"/>
          <w:sz w:val="32"/>
          <w:szCs w:val="32"/>
        </w:rPr>
        <w:t>负责管护区域内的森林防火及扑救工作；依法保护国有林木、林地及森林资源，配合有关部门严厉打击偷砍盗伐等违法行为；负责 管护区域内森林资源培育、天然林保护；负责生态公益林管理工作。</w:t>
      </w:r>
    </w:p>
    <w:p w14:paraId="449294BF">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仿宋_GB2312"/>
          <w:color w:val="000000"/>
          <w:sz w:val="32"/>
          <w:szCs w:val="32"/>
        </w:rPr>
      </w:pPr>
      <w:r>
        <w:rPr>
          <w:rFonts w:hint="eastAsia" w:eastAsia="仿宋_GB2312"/>
          <w:color w:val="000000"/>
          <w:sz w:val="32"/>
          <w:szCs w:val="32"/>
        </w:rPr>
        <w:t>负责生态公益林管护工作，充分发挥公益林的生态效益</w:t>
      </w:r>
      <w:r>
        <w:rPr>
          <w:rFonts w:hint="eastAsia" w:eastAsia="仿宋_GB2312"/>
          <w:color w:val="000000"/>
          <w:sz w:val="32"/>
          <w:szCs w:val="32"/>
          <w:lang w:eastAsia="zh-CN"/>
        </w:rPr>
        <w:t>，</w:t>
      </w:r>
      <w:r>
        <w:rPr>
          <w:rFonts w:hint="eastAsia" w:eastAsia="仿宋_GB2312"/>
          <w:color w:val="000000"/>
          <w:sz w:val="32"/>
          <w:szCs w:val="32"/>
        </w:rPr>
        <w:t>提高的森林覆盖率</w:t>
      </w:r>
      <w:r>
        <w:rPr>
          <w:rFonts w:hint="eastAsia" w:eastAsia="仿宋_GB2312"/>
          <w:color w:val="000000"/>
          <w:sz w:val="32"/>
          <w:szCs w:val="32"/>
          <w:lang w:eastAsia="zh-CN"/>
        </w:rPr>
        <w:t>，</w:t>
      </w:r>
      <w:r>
        <w:rPr>
          <w:rFonts w:hint="eastAsia" w:eastAsia="仿宋_GB2312"/>
          <w:color w:val="000000"/>
          <w:sz w:val="32"/>
          <w:szCs w:val="32"/>
        </w:rPr>
        <w:t>提高生态环境保护</w:t>
      </w:r>
    </w:p>
    <w:p w14:paraId="398B97A6">
      <w:pPr>
        <w:snapToGrid w:val="0"/>
        <w:spacing w:line="520" w:lineRule="exact"/>
        <w:ind w:firstLine="640" w:firstLineChars="200"/>
        <w:rPr>
          <w:rFonts w:hint="eastAsia" w:ascii="仿宋_GB2312" w:hAnsi="仿宋" w:eastAsia="仿宋_GB2312"/>
          <w:color w:val="000000" w:themeColor="text1"/>
          <w:sz w:val="32"/>
          <w:szCs w:val="32"/>
          <w14:textFill>
            <w14:solidFill>
              <w14:schemeClr w14:val="tx1"/>
            </w14:solidFill>
          </w14:textFill>
        </w:rPr>
      </w:pPr>
      <w:r>
        <w:rPr>
          <w:rFonts w:hint="eastAsia" w:ascii="仿宋_GB2312" w:hAnsi="仿宋" w:eastAsia="仿宋_GB2312"/>
          <w:color w:val="000000" w:themeColor="text1"/>
          <w:sz w:val="32"/>
          <w:szCs w:val="32"/>
          <w14:textFill>
            <w14:solidFill>
              <w14:schemeClr w14:val="tx1"/>
            </w14:solidFill>
          </w14:textFill>
        </w:rPr>
        <w:t>202</w:t>
      </w:r>
      <w:r>
        <w:rPr>
          <w:rFonts w:hint="eastAsia" w:ascii="仿宋_GB2312" w:hAnsi="仿宋" w:eastAsia="仿宋_GB2312"/>
          <w:color w:val="000000" w:themeColor="text1"/>
          <w:sz w:val="32"/>
          <w:szCs w:val="32"/>
          <w:lang w:val="en-US" w:eastAsia="zh-CN"/>
          <w14:textFill>
            <w14:solidFill>
              <w14:schemeClr w14:val="tx1"/>
            </w14:solidFill>
          </w14:textFill>
        </w:rPr>
        <w:t>3</w:t>
      </w:r>
      <w:r>
        <w:rPr>
          <w:rFonts w:hint="eastAsia" w:ascii="仿宋_GB2312" w:hAnsi="仿宋" w:eastAsia="仿宋_GB2312"/>
          <w:color w:val="000000" w:themeColor="text1"/>
          <w:sz w:val="32"/>
          <w:szCs w:val="32"/>
          <w14:textFill>
            <w14:solidFill>
              <w14:schemeClr w14:val="tx1"/>
            </w14:solidFill>
          </w14:textFill>
        </w:rPr>
        <w:t>年湖南省新田县肥源国有林场中央预算内林业基本建设投资木材战略储备基地建设</w:t>
      </w:r>
      <w:r>
        <w:rPr>
          <w:rFonts w:hint="eastAsia" w:ascii="仿宋_GB2312" w:hAnsi="仿宋" w:eastAsia="仿宋_GB2312"/>
          <w:color w:val="000000" w:themeColor="text1"/>
          <w:sz w:val="32"/>
          <w:szCs w:val="32"/>
          <w:lang w:eastAsia="zh-CN"/>
          <w14:textFill>
            <w14:solidFill>
              <w14:schemeClr w14:val="tx1"/>
            </w14:solidFill>
          </w14:textFill>
        </w:rPr>
        <w:t>、森林质量精准提升项目建设、林区道路建设项目，</w:t>
      </w:r>
      <w:r>
        <w:rPr>
          <w:rFonts w:hint="eastAsia" w:ascii="仿宋_GB2312" w:hAnsi="仿宋" w:eastAsia="仿宋_GB2312"/>
          <w:color w:val="000000" w:themeColor="text1"/>
          <w:sz w:val="32"/>
          <w:szCs w:val="32"/>
          <w14:textFill>
            <w14:solidFill>
              <w14:schemeClr w14:val="tx1"/>
            </w14:solidFill>
          </w14:textFill>
        </w:rPr>
        <w:t>通过项目实施，以国家储备林基地建设为载体，利用国家开发银行贷款，加快推进珍贵用材树种和大径级用材林基地建设，增加木材资源储备，提高森林经营水平和林地生产力，推动森林资源培育转型升级、提质增效，实现林业生态经济的可持续发展，带动林农致富增收。</w:t>
      </w:r>
    </w:p>
    <w:p w14:paraId="08841AA9">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eastAsia="仿宋_GB2312"/>
          <w:color w:val="000000"/>
          <w:sz w:val="32"/>
          <w:szCs w:val="32"/>
        </w:rPr>
      </w:pPr>
    </w:p>
    <w:p w14:paraId="56B616AE">
      <w:pPr>
        <w:pStyle w:val="6"/>
        <w:keepNext w:val="0"/>
        <w:keepLines w:val="0"/>
        <w:pageBreakBefore w:val="0"/>
        <w:widowControl w:val="0"/>
        <w:kinsoku/>
        <w:wordWrap/>
        <w:overflowPunct/>
        <w:topLinePunct w:val="0"/>
        <w:autoSpaceDE/>
        <w:autoSpaceDN/>
        <w:bidi w:val="0"/>
        <w:adjustRightInd/>
        <w:snapToGrid/>
        <w:spacing w:line="460" w:lineRule="exact"/>
        <w:ind w:firstLine="640"/>
        <w:jc w:val="both"/>
        <w:textAlignment w:val="auto"/>
        <w:rPr>
          <w:rFonts w:ascii="Times New Roman" w:hAnsi="Times New Roman" w:eastAsia="黑体"/>
          <w:sz w:val="32"/>
          <w:szCs w:val="32"/>
        </w:rPr>
      </w:pPr>
      <w:r>
        <w:rPr>
          <w:rFonts w:ascii="Times New Roman" w:hAnsi="Times New Roman" w:eastAsia="黑体"/>
          <w:sz w:val="32"/>
          <w:szCs w:val="32"/>
        </w:rPr>
        <w:t>七、存在的问题及原因分析</w:t>
      </w:r>
    </w:p>
    <w:p w14:paraId="6EEAFC31">
      <w:pPr>
        <w:numPr>
          <w:ilvl w:val="0"/>
          <w:numId w:val="0"/>
        </w:numPr>
        <w:snapToGrid w:val="0"/>
        <w:spacing w:line="520" w:lineRule="exact"/>
        <w:ind w:firstLine="640"/>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1、人员配备不</w:t>
      </w:r>
      <w:r>
        <w:rPr>
          <w:rFonts w:hint="default" w:ascii="仿宋_GB2312" w:hAnsi="仿宋" w:eastAsia="仿宋_GB2312" w:cs="Times New Roman"/>
          <w:color w:val="000000" w:themeColor="text1"/>
          <w:sz w:val="32"/>
          <w:szCs w:val="32"/>
          <w:lang w:eastAsia="zh-CN"/>
          <w14:textFill>
            <w14:solidFill>
              <w14:schemeClr w14:val="tx1"/>
            </w14:solidFill>
          </w14:textFill>
        </w:rPr>
        <w:t>足</w:t>
      </w:r>
      <w:r>
        <w:rPr>
          <w:rFonts w:hint="eastAsia" w:ascii="仿宋_GB2312" w:hAnsi="仿宋" w:eastAsia="仿宋_GB2312" w:cs="Times New Roman"/>
          <w:color w:val="000000" w:themeColor="text1"/>
          <w:sz w:val="32"/>
          <w:szCs w:val="32"/>
          <w:lang w:val="en-US" w:eastAsia="zh-CN"/>
          <w14:textFill>
            <w14:solidFill>
              <w14:schemeClr w14:val="tx1"/>
            </w14:solidFill>
          </w14:textFill>
        </w:rPr>
        <w:t>。</w:t>
      </w:r>
    </w:p>
    <w:p w14:paraId="2188C373">
      <w:pPr>
        <w:numPr>
          <w:ilvl w:val="0"/>
          <w:numId w:val="0"/>
        </w:numPr>
        <w:snapToGrid w:val="0"/>
        <w:spacing w:line="520" w:lineRule="exact"/>
        <w:ind w:firstLine="640"/>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2、财务知识学习不够，存在报账支付等问题。</w:t>
      </w:r>
    </w:p>
    <w:p w14:paraId="23BF9D27">
      <w:pPr>
        <w:numPr>
          <w:ilvl w:val="0"/>
          <w:numId w:val="0"/>
        </w:numPr>
        <w:snapToGrid w:val="0"/>
        <w:spacing w:line="520" w:lineRule="exact"/>
        <w:ind w:firstLine="640"/>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3、严格控制“三公”经费的规模和比例，严格“三公”经费支出的审核、审批，杜绝挪用和挤占其他预算资金行为。</w:t>
      </w:r>
    </w:p>
    <w:p w14:paraId="5D45DB07">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仿宋_GB2312" w:hAnsi="仿宋" w:eastAsia="仿宋_GB2312" w:cs="Times New Roman"/>
          <w:color w:val="000000" w:themeColor="text1"/>
          <w:sz w:val="32"/>
          <w:szCs w:val="32"/>
          <w:lang w:val="en-US" w:eastAsia="zh-CN"/>
          <w14:textFill>
            <w14:solidFill>
              <w14:schemeClr w14:val="tx1"/>
            </w14:solidFill>
          </w14:textFill>
        </w:rPr>
      </w:pPr>
    </w:p>
    <w:p w14:paraId="25A4B906">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八、下一步改进措施</w:t>
      </w:r>
    </w:p>
    <w:p w14:paraId="7DEFED59">
      <w:pPr>
        <w:numPr>
          <w:ilvl w:val="0"/>
          <w:numId w:val="0"/>
        </w:numPr>
        <w:snapToGrid w:val="0"/>
        <w:spacing w:line="520" w:lineRule="exact"/>
        <w:ind w:firstLine="640"/>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1、需进一步吸引人才，为事业添砖加瓦。</w:t>
      </w:r>
    </w:p>
    <w:p w14:paraId="112C4136">
      <w:pPr>
        <w:numPr>
          <w:ilvl w:val="0"/>
          <w:numId w:val="0"/>
        </w:numPr>
        <w:snapToGrid w:val="0"/>
        <w:spacing w:line="520" w:lineRule="exact"/>
        <w:ind w:firstLine="640"/>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2、加强财务管理，严格财务审核。在费用报账支付时，按照预算规定的费用项目和用途进行资金使用审核、列报支付、财务核算，杜绝超支现象的发生。</w:t>
      </w:r>
    </w:p>
    <w:p w14:paraId="0B17D522">
      <w:pPr>
        <w:numPr>
          <w:ilvl w:val="0"/>
          <w:numId w:val="0"/>
        </w:numPr>
        <w:snapToGrid w:val="0"/>
        <w:spacing w:line="520" w:lineRule="exact"/>
        <w:ind w:firstLine="640"/>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3、持续抓好“三公”经费控制管理。严格控制“三公”经费的规模和比例，严格“三公”经费支出的审核、审批，杜绝挪用和挤占其他预算资金行为；进一步细化“三公”经费的管理，合理压缩“三公”经费支出。</w:t>
      </w:r>
    </w:p>
    <w:p w14:paraId="2544C4EE">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4、加强本单位实施进度的跟踪，开展项目绩效评价，确保项目绩效目标的完成。</w:t>
      </w:r>
    </w:p>
    <w:p w14:paraId="2978F4C7">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p>
    <w:p w14:paraId="1FE80EF8">
      <w:pPr>
        <w:keepNext w:val="0"/>
        <w:keepLines w:val="0"/>
        <w:pageBreakBefore w:val="0"/>
        <w:widowControl w:val="0"/>
        <w:numPr>
          <w:ilvl w:val="0"/>
          <w:numId w:val="3"/>
        </w:numPr>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r>
        <w:rPr>
          <w:rFonts w:eastAsia="黑体"/>
          <w:sz w:val="32"/>
          <w:szCs w:val="32"/>
        </w:rPr>
        <w:t>部门整体支出绩效自评结果拟应用和公开情况</w:t>
      </w:r>
    </w:p>
    <w:p w14:paraId="3CD86994">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jc w:val="both"/>
        <w:textAlignment w:val="auto"/>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按时完成财务工作，并进行决算信息公开公示，接受社会各界监督，依照财政要求公开2023年决算，公开整体支出绩效自评结果</w:t>
      </w:r>
    </w:p>
    <w:p w14:paraId="147DF1BE">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jc w:val="both"/>
        <w:textAlignment w:val="auto"/>
        <w:rPr>
          <w:rFonts w:hint="eastAsia" w:ascii="仿宋_GB2312" w:hAnsi="仿宋" w:eastAsia="仿宋_GB2312" w:cs="Times New Roman"/>
          <w:color w:val="000000" w:themeColor="text1"/>
          <w:sz w:val="32"/>
          <w:szCs w:val="32"/>
          <w:lang w:val="en-US" w:eastAsia="zh-CN"/>
          <w14:textFill>
            <w14:solidFill>
              <w14:schemeClr w14:val="tx1"/>
            </w14:solidFill>
          </w14:textFill>
        </w:rPr>
      </w:pPr>
    </w:p>
    <w:p w14:paraId="439A84A6">
      <w:pPr>
        <w:keepNext w:val="0"/>
        <w:keepLines w:val="0"/>
        <w:pageBreakBefore w:val="0"/>
        <w:widowControl w:val="0"/>
        <w:numPr>
          <w:ilvl w:val="0"/>
          <w:numId w:val="3"/>
        </w:numPr>
        <w:kinsoku/>
        <w:wordWrap/>
        <w:overflowPunct/>
        <w:topLinePunct w:val="0"/>
        <w:autoSpaceDE/>
        <w:autoSpaceDN/>
        <w:bidi w:val="0"/>
        <w:adjustRightInd/>
        <w:snapToGrid/>
        <w:spacing w:line="460" w:lineRule="exact"/>
        <w:ind w:left="0" w:leftChars="0" w:firstLine="640" w:firstLineChars="200"/>
        <w:jc w:val="both"/>
        <w:textAlignment w:val="auto"/>
        <w:rPr>
          <w:rFonts w:eastAsia="黑体"/>
          <w:sz w:val="32"/>
          <w:szCs w:val="32"/>
        </w:rPr>
      </w:pPr>
      <w:r>
        <w:rPr>
          <w:rFonts w:eastAsia="黑体"/>
          <w:sz w:val="32"/>
          <w:szCs w:val="32"/>
        </w:rPr>
        <w:t>其他需要说明的情况</w:t>
      </w:r>
    </w:p>
    <w:p w14:paraId="3180039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jc w:val="both"/>
        <w:textAlignment w:val="auto"/>
        <w:rPr>
          <w:rFonts w:hint="eastAsia" w:ascii="仿宋_GB2312" w:hAnsi="仿宋" w:eastAsia="仿宋_GB2312" w:cs="Times New Roman"/>
          <w:color w:val="000000" w:themeColor="text1"/>
          <w:sz w:val="32"/>
          <w:szCs w:val="32"/>
          <w:lang w:val="en-US" w:eastAsia="zh-CN"/>
          <w14:textFill>
            <w14:solidFill>
              <w14:schemeClr w14:val="tx1"/>
            </w14:solidFill>
          </w14:textFill>
        </w:rPr>
      </w:pPr>
      <w:r>
        <w:rPr>
          <w:rFonts w:hint="eastAsia" w:ascii="仿宋_GB2312" w:hAnsi="仿宋" w:eastAsia="仿宋_GB2312" w:cs="Times New Roman"/>
          <w:color w:val="000000" w:themeColor="text1"/>
          <w:sz w:val="32"/>
          <w:szCs w:val="32"/>
          <w:lang w:val="en-US" w:eastAsia="zh-CN"/>
          <w14:textFill>
            <w14:solidFill>
              <w14:schemeClr w14:val="tx1"/>
            </w14:solidFill>
          </w14:textFill>
        </w:rPr>
        <w:t>无</w:t>
      </w:r>
    </w:p>
    <w:p w14:paraId="5786B8F5">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eastAsia="黑体"/>
          <w:sz w:val="32"/>
          <w:szCs w:val="32"/>
        </w:rPr>
      </w:pPr>
    </w:p>
    <w:p w14:paraId="4E1A007D"/>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00000001" w:usb1="08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77ECEE"/>
    <w:multiLevelType w:val="singleLevel"/>
    <w:tmpl w:val="B777ECEE"/>
    <w:lvl w:ilvl="0" w:tentative="0">
      <w:start w:val="2"/>
      <w:numFmt w:val="chineseCounting"/>
      <w:suff w:val="nothing"/>
      <w:lvlText w:val="（%1）"/>
      <w:lvlJc w:val="left"/>
      <w:rPr>
        <w:rFonts w:hint="eastAsia"/>
      </w:rPr>
    </w:lvl>
  </w:abstractNum>
  <w:abstractNum w:abstractNumId="1">
    <w:nsid w:val="0FE62F47"/>
    <w:multiLevelType w:val="singleLevel"/>
    <w:tmpl w:val="0FE62F47"/>
    <w:lvl w:ilvl="0" w:tentative="0">
      <w:start w:val="9"/>
      <w:numFmt w:val="chineseCounting"/>
      <w:suff w:val="nothing"/>
      <w:lvlText w:val="%1、"/>
      <w:lvlJc w:val="left"/>
      <w:rPr>
        <w:rFonts w:hint="eastAsia"/>
      </w:rPr>
    </w:lvl>
  </w:abstractNum>
  <w:abstractNum w:abstractNumId="2">
    <w:nsid w:val="784EE556"/>
    <w:multiLevelType w:val="singleLevel"/>
    <w:tmpl w:val="784EE556"/>
    <w:lvl w:ilvl="0" w:tentative="0">
      <w:start w:val="2"/>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VhOGExMDQzNzAyY2FkMGU0NWQyZGFhMDc1NWVmZjUifQ=="/>
  </w:docVars>
  <w:rsids>
    <w:rsidRoot w:val="102E1038"/>
    <w:rsid w:val="0AB65045"/>
    <w:rsid w:val="102E1038"/>
    <w:rsid w:val="492A5D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ascii="Calibri" w:hAnsi="Calibri"/>
      <w:kern w:val="0"/>
      <w:sz w:val="24"/>
    </w:rPr>
  </w:style>
  <w:style w:type="paragraph" w:customStyle="1" w:styleId="5">
    <w:name w:val="Default"/>
    <w:autoRedefine/>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6">
    <w:name w:val="List Paragraph"/>
    <w:basedOn w:val="1"/>
    <w:autoRedefine/>
    <w:qFormat/>
    <w:uiPriority w:val="99"/>
    <w:pPr>
      <w:ind w:firstLine="420" w:firstLineChars="200"/>
    </w:pPr>
    <w:rPr>
      <w:rFonts w:ascii="Calibri" w:hAnsi="Calibri"/>
      <w:kern w:val="0"/>
      <w:sz w:val="28"/>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1846</Words>
  <Characters>1938</Characters>
  <Lines>0</Lines>
  <Paragraphs>0</Paragraphs>
  <TotalTime>1</TotalTime>
  <ScaleCrop>false</ScaleCrop>
  <LinksUpToDate>false</LinksUpToDate>
  <CharactersWithSpaces>1942</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2024-05-30T00:38:00Z</dcterms:created>
  <dc:creator>WPS_1615479247</dc:creator>
  <cp:lastModifiedBy>WPS_1615479247</cp:lastModifiedBy>
  <dcterms:modified xsi:type="dcterms:W3CDTF">2024-09-13T07:21:14Z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49B5B532CCDD4EB1BE332AB79A6F7226_13</vt:lpwstr>
  </property>
</Properties>
</file>