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黑体"/>
          <w:sz w:val="32"/>
          <w:szCs w:val="32"/>
        </w:rPr>
      </w:pPr>
      <w:r>
        <w:rPr>
          <w:rFonts w:eastAsia="黑体"/>
          <w:sz w:val="32"/>
          <w:szCs w:val="32"/>
        </w:rPr>
        <w:t>附件1</w:t>
      </w:r>
    </w:p>
    <w:p>
      <w:pPr>
        <w:spacing w:line="600" w:lineRule="exact"/>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jc w:val="center"/>
        <w:rPr>
          <w:rFonts w:hint="eastAsia" w:ascii="宋体" w:hAnsi="宋体" w:eastAsia="宋体" w:cs="宋体"/>
          <w:sz w:val="52"/>
          <w:szCs w:val="52"/>
          <w:lang w:val="en-US" w:eastAsia="zh-CN"/>
        </w:rPr>
      </w:pPr>
      <w:r>
        <w:rPr>
          <w:rFonts w:hint="eastAsia" w:ascii="宋体" w:hAnsi="宋体" w:eastAsia="宋体" w:cs="宋体"/>
          <w:sz w:val="52"/>
          <w:szCs w:val="52"/>
        </w:rPr>
        <w:t>2023年度</w:t>
      </w:r>
      <w:r>
        <w:rPr>
          <w:rFonts w:hint="eastAsia" w:ascii="宋体" w:hAnsi="宋体" w:eastAsia="宋体" w:cs="宋体"/>
          <w:sz w:val="52"/>
          <w:szCs w:val="52"/>
          <w:lang w:val="en-US" w:eastAsia="zh-CN"/>
        </w:rPr>
        <w:t>新田县畜牧水产事务中心</w:t>
      </w:r>
    </w:p>
    <w:p>
      <w:pPr>
        <w:jc w:val="center"/>
        <w:rPr>
          <w:rFonts w:hint="eastAsia" w:ascii="宋体" w:hAnsi="宋体" w:eastAsia="宋体" w:cs="宋体"/>
          <w:sz w:val="52"/>
          <w:szCs w:val="52"/>
        </w:rPr>
      </w:pPr>
      <w:r>
        <w:rPr>
          <w:rFonts w:hint="eastAsia" w:ascii="宋体" w:hAnsi="宋体" w:eastAsia="宋体" w:cs="宋体"/>
          <w:sz w:val="52"/>
          <w:szCs w:val="52"/>
        </w:rPr>
        <w:t>整体支出绩效自评报告</w:t>
      </w:r>
    </w:p>
    <w:p>
      <w:pPr>
        <w:jc w:val="center"/>
        <w:rPr>
          <w:rFonts w:eastAsia="方正小标宋_GBK"/>
          <w:b/>
          <w:sz w:val="52"/>
          <w:szCs w:val="5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黑体"/>
          <w:sz w:val="32"/>
          <w:szCs w:val="32"/>
        </w:rPr>
      </w:pPr>
    </w:p>
    <w:p>
      <w:pPr>
        <w:jc w:val="center"/>
        <w:rPr>
          <w:rFonts w:eastAsia="黑体"/>
          <w:sz w:val="32"/>
          <w:szCs w:val="32"/>
        </w:rPr>
      </w:pPr>
    </w:p>
    <w:p>
      <w:pPr>
        <w:spacing w:line="600" w:lineRule="exact"/>
        <w:jc w:val="center"/>
        <w:rPr>
          <w:rFonts w:eastAsia="仿宋_GB2312"/>
          <w:sz w:val="32"/>
          <w:szCs w:val="32"/>
          <w:u w:val="single"/>
        </w:rPr>
      </w:pPr>
      <w:r>
        <w:rPr>
          <w:rFonts w:eastAsia="仿宋_GB2312"/>
          <w:sz w:val="32"/>
          <w:szCs w:val="32"/>
        </w:rPr>
        <w:t>单位名称：</w:t>
      </w:r>
      <w:r>
        <w:rPr>
          <w:rFonts w:eastAsia="仿宋_GB2312"/>
          <w:sz w:val="32"/>
          <w:szCs w:val="32"/>
          <w:u w:val="single"/>
        </w:rPr>
        <w:t>（盖章）</w:t>
      </w:r>
    </w:p>
    <w:p>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年</w:t>
      </w:r>
      <w:r>
        <w:rPr>
          <w:rFonts w:hint="eastAsia" w:eastAsia="楷体_GB2312"/>
          <w:sz w:val="32"/>
          <w:szCs w:val="32"/>
          <w:lang w:val="en-US" w:eastAsia="zh-CN"/>
        </w:rPr>
        <w:t>5</w:t>
      </w:r>
      <w:r>
        <w:rPr>
          <w:rFonts w:eastAsia="楷体_GB2312"/>
          <w:sz w:val="32"/>
          <w:szCs w:val="32"/>
        </w:rPr>
        <w:t>月</w:t>
      </w:r>
      <w:r>
        <w:rPr>
          <w:rFonts w:hint="eastAsia" w:eastAsia="楷体_GB2312"/>
          <w:sz w:val="32"/>
          <w:szCs w:val="32"/>
          <w:lang w:val="en-US" w:eastAsia="zh-CN"/>
        </w:rPr>
        <w:t>29</w:t>
      </w:r>
      <w:r>
        <w:rPr>
          <w:rFonts w:eastAsia="楷体_GB2312"/>
          <w:sz w:val="32"/>
          <w:szCs w:val="32"/>
        </w:rPr>
        <w:t>日</w:t>
      </w:r>
    </w:p>
    <w:p>
      <w:pPr>
        <w:jc w:val="center"/>
        <w:rPr>
          <w:rFonts w:eastAsia="黑体"/>
          <w:sz w:val="32"/>
          <w:szCs w:val="32"/>
        </w:rPr>
      </w:pPr>
    </w:p>
    <w:p>
      <w:pPr>
        <w:jc w:val="center"/>
        <w:rPr>
          <w:rFonts w:eastAsia="仿宋_GB2312"/>
          <w:sz w:val="32"/>
          <w:szCs w:val="32"/>
        </w:rPr>
      </w:pPr>
      <w:r>
        <w:rPr>
          <w:rFonts w:eastAsia="仿宋_GB2312"/>
          <w:sz w:val="32"/>
          <w:szCs w:val="32"/>
        </w:rPr>
        <w:t>（此页为封面）</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sz w:val="32"/>
          <w:szCs w:val="32"/>
        </w:rPr>
      </w:pPr>
      <w:r>
        <w:rPr>
          <w:rFonts w:eastAsia="仿宋_GB2312"/>
          <w:sz w:val="32"/>
          <w:szCs w:val="32"/>
        </w:rPr>
        <w:br w:type="page"/>
      </w:r>
      <w:r>
        <w:rPr>
          <w:rFonts w:hint="eastAsia" w:ascii="黑体" w:hAnsi="黑体" w:eastAsia="黑体" w:cs="黑体"/>
          <w:sz w:val="32"/>
          <w:szCs w:val="32"/>
        </w:rPr>
        <w:t>一、</w:t>
      </w:r>
      <w:r>
        <w:rPr>
          <w:rFonts w:eastAsia="黑体"/>
          <w:sz w:val="32"/>
          <w:szCs w:val="32"/>
        </w:rPr>
        <w:t>部门（单位）基本情况</w:t>
      </w:r>
    </w:p>
    <w:p>
      <w:pPr>
        <w:widowControl w:val="0"/>
        <w:shd w:val="clear" w:color="auto" w:fill="FFFFFF"/>
        <w:spacing w:line="570" w:lineRule="exact"/>
        <w:ind w:firstLine="640" w:firstLineChars="200"/>
        <w:outlineLvl w:val="1"/>
        <w:rPr>
          <w:rFonts w:hint="eastAsia" w:ascii="仿宋_GB2312" w:eastAsia="仿宋_GB2312"/>
          <w:sz w:val="32"/>
          <w:szCs w:val="32"/>
          <w:highlight w:val="none"/>
        </w:rPr>
      </w:pPr>
      <w:r>
        <w:rPr>
          <w:rFonts w:hint="eastAsia" w:ascii="仿宋_GB2312" w:eastAsia="仿宋_GB2312"/>
          <w:sz w:val="32"/>
          <w:szCs w:val="32"/>
          <w:highlight w:val="none"/>
        </w:rPr>
        <w:t>（一）我中心为县农业农村局所属全额拨款政科级公益一类事业单位，主要职责是1、按照养殖业有关法律法规和方针政策的要求，为全县畜牧业、渔业发展提供技术支撑和服务保障。2、为养殖业生产、市场信息监测提供技术、信息服务，开展统计分析工作。研究提出畜牧业、渔业发展与资源保护建议承担产业项目有关技术性工作。3、研究提出全县养殖业技术推广规划和体系建设规划意见，协助组织开展全县养殖业技术推广规划和专业技术人员培训。报县农业农村局审批后，承担畜牧水产相关项目的实施验收及资金拨付。4、承担全县畜牧业、渔业、饲料、兽药调查研究、收集、预测并发布全县养殖业生产形势、生产资料供应、产品供求情况等经济信息。5、承担重大动物疫病（包括人畜共患病）防控和动物诊疗机构及其从业人员管理等相关技术性、事务性工作。6、承担畜禽、水产、牧草、饲料品种资源调查等工作；组织实施相关品种的申报、登记、引进、繁育、推广工作；协助组织开展地方特色养殖品种和开发利用。7、承担畜禽屠宰行业发展相关技术性、事务性工作。8、承办县农业农村局交办的其他事项。内设办公室、政工室、畜牧发展室、渔业发展与资源保护室、兽医事务室、五个职能股室。畜牧水产事务中心202</w:t>
      </w:r>
      <w:r>
        <w:rPr>
          <w:rFonts w:hint="eastAsia" w:ascii="仿宋_GB2312" w:eastAsia="仿宋_GB2312"/>
          <w:sz w:val="32"/>
          <w:szCs w:val="32"/>
          <w:highlight w:val="none"/>
          <w:lang w:val="en-US" w:eastAsia="zh-CN"/>
        </w:rPr>
        <w:t>3</w:t>
      </w:r>
      <w:r>
        <w:rPr>
          <w:rFonts w:hint="eastAsia" w:ascii="仿宋_GB2312" w:eastAsia="仿宋_GB2312"/>
          <w:sz w:val="32"/>
          <w:szCs w:val="32"/>
          <w:highlight w:val="none"/>
        </w:rPr>
        <w:t>年核定全额拨款事业编制</w:t>
      </w:r>
      <w:r>
        <w:rPr>
          <w:rFonts w:hint="eastAsia" w:ascii="仿宋_GB2312" w:eastAsia="仿宋_GB2312"/>
          <w:sz w:val="32"/>
          <w:szCs w:val="32"/>
          <w:highlight w:val="none"/>
          <w:lang w:val="en-US" w:eastAsia="zh-CN"/>
        </w:rPr>
        <w:t>32</w:t>
      </w:r>
      <w:r>
        <w:rPr>
          <w:rFonts w:hint="eastAsia" w:ascii="仿宋_GB2312" w:eastAsia="仿宋_GB2312"/>
          <w:sz w:val="32"/>
          <w:szCs w:val="32"/>
          <w:highlight w:val="none"/>
        </w:rPr>
        <w:t>人，实有</w:t>
      </w:r>
      <w:r>
        <w:rPr>
          <w:rFonts w:hint="eastAsia" w:ascii="仿宋_GB2312" w:eastAsia="仿宋_GB2312"/>
          <w:sz w:val="32"/>
          <w:szCs w:val="32"/>
          <w:highlight w:val="none"/>
          <w:lang w:val="en-US" w:eastAsia="zh-CN"/>
        </w:rPr>
        <w:t>19</w:t>
      </w:r>
      <w:r>
        <w:rPr>
          <w:rFonts w:hint="eastAsia" w:ascii="仿宋_GB2312" w:eastAsia="仿宋_GB2312"/>
          <w:sz w:val="32"/>
          <w:szCs w:val="32"/>
          <w:highlight w:val="none"/>
        </w:rPr>
        <w:t>人，退休</w:t>
      </w:r>
      <w:r>
        <w:rPr>
          <w:rFonts w:hint="eastAsia" w:ascii="仿宋_GB2312" w:eastAsia="仿宋_GB2312"/>
          <w:sz w:val="32"/>
          <w:szCs w:val="32"/>
          <w:highlight w:val="none"/>
          <w:lang w:val="en-US" w:eastAsia="zh-CN"/>
        </w:rPr>
        <w:t>48</w:t>
      </w:r>
      <w:r>
        <w:rPr>
          <w:rFonts w:hint="eastAsia" w:ascii="仿宋_GB2312" w:eastAsia="仿宋_GB2312"/>
          <w:sz w:val="32"/>
          <w:szCs w:val="32"/>
          <w:highlight w:val="none"/>
        </w:rPr>
        <w:t>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color w:val="000000"/>
          <w:sz w:val="32"/>
          <w:szCs w:val="32"/>
          <w:lang w:eastAsia="zh-CN"/>
        </w:rPr>
      </w:pPr>
      <w:r>
        <w:rPr>
          <w:rFonts w:hint="eastAsia" w:ascii="仿宋_GB2312" w:eastAsia="仿宋_GB2312"/>
          <w:sz w:val="32"/>
          <w:szCs w:val="32"/>
          <w:highlight w:val="none"/>
        </w:rPr>
        <w:t>（二）年度整体支出绩效目标1：畜牧水产品持续稳定增长，保障供应2：确保不发生重大动物疫情3：确保不发生畜禽水产品质量安全事件，省级专项资金绩效目标、坚持适度标准化养殖，强化动物疫病防控，努力确保不发生重大动物疫情；健全畜禽水产品质量安全监管体系，确保不发生重大畜禽水产品质量安全事件，有力保障了养殖业经济的平稳运行</w:t>
      </w:r>
      <w:r>
        <w:rPr>
          <w:rFonts w:hint="eastAsia" w:ascii="仿宋_GB2312" w:eastAsia="仿宋_GB2312"/>
          <w:sz w:val="32"/>
          <w:szCs w:val="32"/>
          <w:highlight w:val="none"/>
          <w:lang w:eastAsia="zh-CN"/>
        </w:rPr>
        <w:t>。</w:t>
      </w:r>
    </w:p>
    <w:p>
      <w:pPr>
        <w:pStyle w:val="5"/>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黑体"/>
          <w:sz w:val="32"/>
          <w:szCs w:val="32"/>
        </w:rPr>
      </w:pPr>
      <w:r>
        <w:rPr>
          <w:rFonts w:ascii="Times New Roman" w:hAnsi="Times New Roman" w:eastAsia="黑体"/>
          <w:sz w:val="32"/>
          <w:szCs w:val="32"/>
        </w:rPr>
        <w:t>二、一般公共预算支出情况</w:t>
      </w:r>
    </w:p>
    <w:p>
      <w:pPr>
        <w:pStyle w:val="5"/>
        <w:spacing w:line="570" w:lineRule="exact"/>
        <w:ind w:firstLine="640"/>
        <w:outlineLvl w:val="1"/>
        <w:rPr>
          <w:rFonts w:ascii="Times New Roman" w:hAnsi="Times New Roman" w:eastAsia="仿宋_GB2312"/>
          <w:sz w:val="32"/>
          <w:szCs w:val="32"/>
          <w:highlight w:val="none"/>
        </w:rPr>
      </w:pPr>
      <w:r>
        <w:rPr>
          <w:rFonts w:ascii="Times New Roman" w:hAnsi="Times New Roman" w:eastAsia="仿宋_GB2312"/>
          <w:sz w:val="32"/>
          <w:szCs w:val="32"/>
          <w:highlight w:val="none"/>
        </w:rPr>
        <w:t>（一）基本支出情况</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我中心基本支出的范围和主要用途包括中心机关的人员经费和日常公用经费。具体包括：工资福利支出、对个人和家庭的补助、商品和服务支出。基本支出的管理和使用情况如下：</w:t>
      </w:r>
    </w:p>
    <w:p>
      <w:pPr>
        <w:widowControl/>
        <w:spacing w:line="500" w:lineRule="atLeast"/>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　　　　　基本支出本年预算指标可用情况   （单位：万元）</w:t>
      </w:r>
    </w:p>
    <w:tbl>
      <w:tblPr>
        <w:tblStyle w:val="3"/>
        <w:tblW w:w="9052" w:type="dxa"/>
        <w:tblInd w:w="108" w:type="dxa"/>
        <w:tblLayout w:type="fixed"/>
        <w:tblCellMar>
          <w:top w:w="0" w:type="dxa"/>
          <w:left w:w="0" w:type="dxa"/>
          <w:bottom w:w="0" w:type="dxa"/>
          <w:right w:w="0" w:type="dxa"/>
        </w:tblCellMar>
      </w:tblPr>
      <w:tblGrid>
        <w:gridCol w:w="2960"/>
        <w:gridCol w:w="1823"/>
        <w:gridCol w:w="1982"/>
        <w:gridCol w:w="2287"/>
      </w:tblGrid>
      <w:tr>
        <w:tblPrEx>
          <w:tblCellMar>
            <w:top w:w="0" w:type="dxa"/>
            <w:left w:w="0" w:type="dxa"/>
            <w:bottom w:w="0" w:type="dxa"/>
            <w:right w:w="0" w:type="dxa"/>
          </w:tblCellMar>
        </w:tblPrEx>
        <w:trPr>
          <w:trHeight w:val="481" w:hRule="exact"/>
        </w:trPr>
        <w:tc>
          <w:tcPr>
            <w:tcW w:w="2960" w:type="dxa"/>
            <w:tcBorders>
              <w:top w:val="single" w:color="000000" w:sz="8" w:space="0"/>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预算项目</w:t>
            </w:r>
          </w:p>
        </w:tc>
        <w:tc>
          <w:tcPr>
            <w:tcW w:w="1823"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本年预算</w:t>
            </w:r>
          </w:p>
        </w:tc>
        <w:tc>
          <w:tcPr>
            <w:tcW w:w="1982"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上年结余</w:t>
            </w:r>
          </w:p>
        </w:tc>
        <w:tc>
          <w:tcPr>
            <w:tcW w:w="2287"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本年可用指标</w:t>
            </w:r>
          </w:p>
        </w:tc>
      </w:tr>
      <w:tr>
        <w:tblPrEx>
          <w:tblCellMar>
            <w:top w:w="0" w:type="dxa"/>
            <w:left w:w="0" w:type="dxa"/>
            <w:bottom w:w="0" w:type="dxa"/>
            <w:right w:w="0" w:type="dxa"/>
          </w:tblCellMar>
        </w:tblPrEx>
        <w:trPr>
          <w:trHeight w:val="481" w:hRule="exact"/>
        </w:trPr>
        <w:tc>
          <w:tcPr>
            <w:tcW w:w="29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工资福利支出</w:t>
            </w:r>
          </w:p>
        </w:tc>
        <w:tc>
          <w:tcPr>
            <w:tcW w:w="182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zh-CN" w:eastAsia="zh-CN" w:bidi="ar-SA"/>
              </w:rPr>
              <w:t>255</w:t>
            </w:r>
            <w:r>
              <w:rPr>
                <w:rFonts w:hint="eastAsia" w:ascii="仿宋_GB2312" w:hAnsi="Calibri" w:eastAsia="仿宋_GB2312" w:cs="Times New Roman"/>
                <w:kern w:val="2"/>
                <w:sz w:val="32"/>
                <w:szCs w:val="32"/>
                <w:highlight w:val="none"/>
                <w:lang w:val="en-US" w:eastAsia="zh-CN" w:bidi="ar-SA"/>
              </w:rPr>
              <w:t>.1</w:t>
            </w:r>
          </w:p>
        </w:tc>
        <w:tc>
          <w:tcPr>
            <w:tcW w:w="1982"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287"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255</w:t>
            </w:r>
            <w:r>
              <w:rPr>
                <w:rFonts w:hint="eastAsia" w:ascii="仿宋_GB2312" w:hAnsi="Calibri" w:eastAsia="仿宋_GB2312" w:cs="Times New Roman"/>
                <w:kern w:val="2"/>
                <w:sz w:val="32"/>
                <w:szCs w:val="32"/>
                <w:highlight w:val="none"/>
                <w:lang w:val="en-US" w:eastAsia="zh-CN" w:bidi="ar-SA"/>
              </w:rPr>
              <w:t>.1</w:t>
            </w:r>
          </w:p>
        </w:tc>
      </w:tr>
      <w:tr>
        <w:tblPrEx>
          <w:tblCellMar>
            <w:top w:w="0" w:type="dxa"/>
            <w:left w:w="0" w:type="dxa"/>
            <w:bottom w:w="0" w:type="dxa"/>
            <w:right w:w="0" w:type="dxa"/>
          </w:tblCellMar>
        </w:tblPrEx>
        <w:trPr>
          <w:trHeight w:val="481" w:hRule="exact"/>
        </w:trPr>
        <w:tc>
          <w:tcPr>
            <w:tcW w:w="29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商品和服务支出</w:t>
            </w:r>
          </w:p>
        </w:tc>
        <w:tc>
          <w:tcPr>
            <w:tcW w:w="182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zh-CN" w:eastAsia="zh-CN" w:bidi="ar-SA"/>
              </w:rPr>
              <w:t>27</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7</w:t>
            </w:r>
          </w:p>
        </w:tc>
        <w:tc>
          <w:tcPr>
            <w:tcW w:w="1982"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0</w:t>
            </w:r>
          </w:p>
        </w:tc>
        <w:tc>
          <w:tcPr>
            <w:tcW w:w="2287"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zh-CN" w:eastAsia="zh-CN" w:bidi="ar-SA"/>
              </w:rPr>
              <w:t>27</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7</w:t>
            </w:r>
          </w:p>
        </w:tc>
      </w:tr>
      <w:tr>
        <w:tblPrEx>
          <w:tblCellMar>
            <w:top w:w="0" w:type="dxa"/>
            <w:left w:w="0" w:type="dxa"/>
            <w:bottom w:w="0" w:type="dxa"/>
            <w:right w:w="0" w:type="dxa"/>
          </w:tblCellMar>
        </w:tblPrEx>
        <w:trPr>
          <w:trHeight w:val="481" w:hRule="exact"/>
        </w:trPr>
        <w:tc>
          <w:tcPr>
            <w:tcW w:w="29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对个人和家庭补助</w:t>
            </w:r>
          </w:p>
        </w:tc>
        <w:tc>
          <w:tcPr>
            <w:tcW w:w="182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en-US" w:eastAsia="zh-CN" w:bidi="ar-SA"/>
              </w:rPr>
              <w:t>27.06</w:t>
            </w:r>
          </w:p>
        </w:tc>
        <w:tc>
          <w:tcPr>
            <w:tcW w:w="1982"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287"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27.06</w:t>
            </w:r>
          </w:p>
        </w:tc>
      </w:tr>
      <w:tr>
        <w:tblPrEx>
          <w:tblCellMar>
            <w:top w:w="0" w:type="dxa"/>
            <w:left w:w="0" w:type="dxa"/>
            <w:bottom w:w="0" w:type="dxa"/>
            <w:right w:w="0" w:type="dxa"/>
          </w:tblCellMar>
        </w:tblPrEx>
        <w:trPr>
          <w:trHeight w:val="481" w:hRule="exact"/>
        </w:trPr>
        <w:tc>
          <w:tcPr>
            <w:tcW w:w="29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合 计</w:t>
            </w:r>
          </w:p>
        </w:tc>
        <w:tc>
          <w:tcPr>
            <w:tcW w:w="182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en-US" w:eastAsia="zh-CN" w:bidi="ar-SA"/>
              </w:rPr>
              <w:t>309.63</w:t>
            </w:r>
          </w:p>
        </w:tc>
        <w:tc>
          <w:tcPr>
            <w:tcW w:w="1982"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287"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309.63</w:t>
            </w:r>
          </w:p>
        </w:tc>
      </w:tr>
    </w:tbl>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根据本年预算和上年结余情况，本年基本支出预算可用指标</w:t>
      </w:r>
      <w:r>
        <w:rPr>
          <w:rFonts w:hint="eastAsia" w:ascii="仿宋_GB2312" w:hAnsi="Calibri" w:eastAsia="仿宋_GB2312" w:cs="Times New Roman"/>
          <w:kern w:val="2"/>
          <w:sz w:val="32"/>
          <w:szCs w:val="32"/>
          <w:highlight w:val="none"/>
          <w:lang w:val="en-US" w:eastAsia="zh-CN" w:bidi="ar-SA"/>
        </w:rPr>
        <w:t>309.63</w:t>
      </w:r>
      <w:r>
        <w:rPr>
          <w:rFonts w:hint="eastAsia" w:ascii="仿宋_GB2312" w:hAnsi="Calibri" w:eastAsia="仿宋_GB2312" w:cs="Times New Roman"/>
          <w:kern w:val="2"/>
          <w:sz w:val="32"/>
          <w:szCs w:val="32"/>
          <w:highlight w:val="none"/>
          <w:lang w:val="zh-CN" w:eastAsia="zh-CN" w:bidi="ar-SA"/>
        </w:rPr>
        <w:t>万元。</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本年基本支出预算执行情况       （单位：万元）</w:t>
      </w:r>
    </w:p>
    <w:tbl>
      <w:tblPr>
        <w:tblStyle w:val="3"/>
        <w:tblW w:w="0" w:type="auto"/>
        <w:tblInd w:w="164" w:type="dxa"/>
        <w:tblLayout w:type="fixed"/>
        <w:tblCellMar>
          <w:top w:w="0" w:type="dxa"/>
          <w:left w:w="0" w:type="dxa"/>
          <w:bottom w:w="0" w:type="dxa"/>
          <w:right w:w="0" w:type="dxa"/>
        </w:tblCellMar>
      </w:tblPr>
      <w:tblGrid>
        <w:gridCol w:w="2865"/>
        <w:gridCol w:w="2164"/>
        <w:gridCol w:w="2164"/>
        <w:gridCol w:w="1571"/>
      </w:tblGrid>
      <w:tr>
        <w:tblPrEx>
          <w:tblCellMar>
            <w:top w:w="0" w:type="dxa"/>
            <w:left w:w="0" w:type="dxa"/>
            <w:bottom w:w="0" w:type="dxa"/>
            <w:right w:w="0" w:type="dxa"/>
          </w:tblCellMar>
        </w:tblPrEx>
        <w:trPr>
          <w:trHeight w:val="454" w:hRule="exact"/>
        </w:trPr>
        <w:tc>
          <w:tcPr>
            <w:tcW w:w="2865" w:type="dxa"/>
            <w:tcBorders>
              <w:top w:val="single" w:color="000000" w:sz="8" w:space="0"/>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预算项目</w:t>
            </w:r>
          </w:p>
        </w:tc>
        <w:tc>
          <w:tcPr>
            <w:tcW w:w="2164"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预算可用指标</w:t>
            </w:r>
          </w:p>
        </w:tc>
        <w:tc>
          <w:tcPr>
            <w:tcW w:w="2164"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本年决算金额</w:t>
            </w:r>
          </w:p>
        </w:tc>
        <w:tc>
          <w:tcPr>
            <w:tcW w:w="1571"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差额</w:t>
            </w:r>
          </w:p>
        </w:tc>
      </w:tr>
      <w:tr>
        <w:tblPrEx>
          <w:tblCellMar>
            <w:top w:w="0" w:type="dxa"/>
            <w:left w:w="0" w:type="dxa"/>
            <w:bottom w:w="0" w:type="dxa"/>
            <w:right w:w="0" w:type="dxa"/>
          </w:tblCellMar>
        </w:tblPrEx>
        <w:trPr>
          <w:trHeight w:val="454" w:hRule="exact"/>
        </w:trPr>
        <w:tc>
          <w:tcPr>
            <w:tcW w:w="2865"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工资福利支出</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255</w:t>
            </w:r>
            <w:r>
              <w:rPr>
                <w:rFonts w:hint="eastAsia" w:ascii="仿宋_GB2312" w:hAnsi="Calibri" w:eastAsia="仿宋_GB2312" w:cs="Times New Roman"/>
                <w:kern w:val="2"/>
                <w:sz w:val="32"/>
                <w:szCs w:val="32"/>
                <w:highlight w:val="none"/>
                <w:lang w:val="en-US" w:eastAsia="zh-CN" w:bidi="ar-SA"/>
              </w:rPr>
              <w:t>.1</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255</w:t>
            </w:r>
            <w:r>
              <w:rPr>
                <w:rFonts w:hint="eastAsia" w:ascii="仿宋_GB2312" w:hAnsi="Calibri" w:eastAsia="仿宋_GB2312" w:cs="Times New Roman"/>
                <w:kern w:val="2"/>
                <w:sz w:val="32"/>
                <w:szCs w:val="32"/>
                <w:highlight w:val="none"/>
                <w:lang w:val="en-US" w:eastAsia="zh-CN" w:bidi="ar-SA"/>
              </w:rPr>
              <w:t>.1</w:t>
            </w:r>
          </w:p>
        </w:tc>
        <w:tc>
          <w:tcPr>
            <w:tcW w:w="1571"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r>
      <w:tr>
        <w:tblPrEx>
          <w:tblCellMar>
            <w:top w:w="0" w:type="dxa"/>
            <w:left w:w="0" w:type="dxa"/>
            <w:bottom w:w="0" w:type="dxa"/>
            <w:right w:w="0" w:type="dxa"/>
          </w:tblCellMar>
        </w:tblPrEx>
        <w:trPr>
          <w:trHeight w:val="454" w:hRule="exact"/>
        </w:trPr>
        <w:tc>
          <w:tcPr>
            <w:tcW w:w="2865"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商品和服务支出</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27</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7</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27</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7</w:t>
            </w:r>
          </w:p>
        </w:tc>
        <w:tc>
          <w:tcPr>
            <w:tcW w:w="1571"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0</w:t>
            </w:r>
          </w:p>
        </w:tc>
      </w:tr>
      <w:tr>
        <w:tblPrEx>
          <w:tblCellMar>
            <w:top w:w="0" w:type="dxa"/>
            <w:left w:w="0" w:type="dxa"/>
            <w:bottom w:w="0" w:type="dxa"/>
            <w:right w:w="0" w:type="dxa"/>
          </w:tblCellMar>
        </w:tblPrEx>
        <w:trPr>
          <w:trHeight w:val="454" w:hRule="exact"/>
        </w:trPr>
        <w:tc>
          <w:tcPr>
            <w:tcW w:w="2865"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对个人和家庭补助</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27.06</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27.06</w:t>
            </w:r>
          </w:p>
        </w:tc>
        <w:tc>
          <w:tcPr>
            <w:tcW w:w="1571"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r>
      <w:tr>
        <w:tblPrEx>
          <w:tblCellMar>
            <w:top w:w="0" w:type="dxa"/>
            <w:left w:w="0" w:type="dxa"/>
            <w:bottom w:w="0" w:type="dxa"/>
            <w:right w:w="0" w:type="dxa"/>
          </w:tblCellMar>
        </w:tblPrEx>
        <w:trPr>
          <w:trHeight w:val="454" w:hRule="exact"/>
        </w:trPr>
        <w:tc>
          <w:tcPr>
            <w:tcW w:w="2865"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合 计</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309.63</w:t>
            </w:r>
          </w:p>
        </w:tc>
        <w:tc>
          <w:tcPr>
            <w:tcW w:w="2164"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309.63</w:t>
            </w:r>
          </w:p>
        </w:tc>
        <w:tc>
          <w:tcPr>
            <w:tcW w:w="1571"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en-US" w:eastAsia="zh-CN" w:bidi="ar-SA"/>
              </w:rPr>
              <w:t>0</w:t>
            </w:r>
          </w:p>
        </w:tc>
      </w:tr>
    </w:tbl>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从上表可以反映，202</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年我中心基本支出与预算基本一致。</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2、“三公”经费使用管理情况。</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202</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年“三公”经费预算情况          （单位：万元）</w:t>
      </w:r>
    </w:p>
    <w:tbl>
      <w:tblPr>
        <w:tblStyle w:val="3"/>
        <w:tblW w:w="0" w:type="auto"/>
        <w:tblInd w:w="108" w:type="dxa"/>
        <w:tblLayout w:type="fixed"/>
        <w:tblCellMar>
          <w:top w:w="0" w:type="dxa"/>
          <w:left w:w="0" w:type="dxa"/>
          <w:bottom w:w="0" w:type="dxa"/>
          <w:right w:w="0" w:type="dxa"/>
        </w:tblCellMar>
      </w:tblPr>
      <w:tblGrid>
        <w:gridCol w:w="2488"/>
        <w:gridCol w:w="2173"/>
        <w:gridCol w:w="2173"/>
        <w:gridCol w:w="2173"/>
      </w:tblGrid>
      <w:tr>
        <w:tblPrEx>
          <w:tblCellMar>
            <w:top w:w="0" w:type="dxa"/>
            <w:left w:w="0" w:type="dxa"/>
            <w:bottom w:w="0" w:type="dxa"/>
            <w:right w:w="0" w:type="dxa"/>
          </w:tblCellMar>
        </w:tblPrEx>
        <w:trPr>
          <w:trHeight w:val="454" w:hRule="exact"/>
        </w:trPr>
        <w:tc>
          <w:tcPr>
            <w:tcW w:w="2488" w:type="dxa"/>
            <w:tcBorders>
              <w:top w:val="single" w:color="000000" w:sz="8" w:space="0"/>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费用项目</w:t>
            </w:r>
          </w:p>
        </w:tc>
        <w:tc>
          <w:tcPr>
            <w:tcW w:w="2173"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基本支出</w:t>
            </w:r>
          </w:p>
        </w:tc>
        <w:tc>
          <w:tcPr>
            <w:tcW w:w="2173"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项目支出</w:t>
            </w:r>
          </w:p>
        </w:tc>
        <w:tc>
          <w:tcPr>
            <w:tcW w:w="2173" w:type="dxa"/>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合计</w:t>
            </w:r>
          </w:p>
        </w:tc>
      </w:tr>
      <w:tr>
        <w:tblPrEx>
          <w:tblCellMar>
            <w:top w:w="0" w:type="dxa"/>
            <w:left w:w="0" w:type="dxa"/>
            <w:bottom w:w="0" w:type="dxa"/>
            <w:right w:w="0" w:type="dxa"/>
          </w:tblCellMar>
        </w:tblPrEx>
        <w:trPr>
          <w:trHeight w:val="510" w:hRule="exact"/>
        </w:trPr>
        <w:tc>
          <w:tcPr>
            <w:tcW w:w="2488"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公务接待费</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zh-CN" w:eastAsia="zh-CN" w:bidi="ar-SA"/>
              </w:rPr>
              <w:t>3</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3</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default"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en-US" w:eastAsia="zh-CN" w:bidi="ar-SA"/>
              </w:rPr>
              <w:t>3.43</w:t>
            </w:r>
          </w:p>
        </w:tc>
      </w:tr>
      <w:tr>
        <w:tblPrEx>
          <w:tblCellMar>
            <w:top w:w="0" w:type="dxa"/>
            <w:left w:w="0" w:type="dxa"/>
            <w:bottom w:w="0" w:type="dxa"/>
            <w:right w:w="0" w:type="dxa"/>
          </w:tblCellMar>
        </w:tblPrEx>
        <w:trPr>
          <w:trHeight w:val="454" w:hRule="exact"/>
        </w:trPr>
        <w:tc>
          <w:tcPr>
            <w:tcW w:w="2488"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公车运行维护费</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r>
      <w:tr>
        <w:tblPrEx>
          <w:tblCellMar>
            <w:top w:w="0" w:type="dxa"/>
            <w:left w:w="0" w:type="dxa"/>
            <w:bottom w:w="0" w:type="dxa"/>
            <w:right w:w="0" w:type="dxa"/>
          </w:tblCellMar>
        </w:tblPrEx>
        <w:trPr>
          <w:trHeight w:val="454" w:hRule="exact"/>
        </w:trPr>
        <w:tc>
          <w:tcPr>
            <w:tcW w:w="2488"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因公出国费用</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r>
      <w:tr>
        <w:tblPrEx>
          <w:tblCellMar>
            <w:top w:w="0" w:type="dxa"/>
            <w:left w:w="0" w:type="dxa"/>
            <w:bottom w:w="0" w:type="dxa"/>
            <w:right w:w="0" w:type="dxa"/>
          </w:tblCellMar>
        </w:tblPrEx>
        <w:trPr>
          <w:trHeight w:val="454" w:hRule="exact"/>
        </w:trPr>
        <w:tc>
          <w:tcPr>
            <w:tcW w:w="2488"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公务车购置费</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r>
      <w:tr>
        <w:tblPrEx>
          <w:tblCellMar>
            <w:top w:w="0" w:type="dxa"/>
            <w:left w:w="0" w:type="dxa"/>
            <w:bottom w:w="0" w:type="dxa"/>
            <w:right w:w="0" w:type="dxa"/>
          </w:tblCellMar>
        </w:tblPrEx>
        <w:trPr>
          <w:trHeight w:val="454" w:hRule="exact"/>
        </w:trPr>
        <w:tc>
          <w:tcPr>
            <w:tcW w:w="2488"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合计</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3</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3</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0</w:t>
            </w:r>
          </w:p>
        </w:tc>
        <w:tc>
          <w:tcPr>
            <w:tcW w:w="2173"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3</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3</w:t>
            </w:r>
          </w:p>
        </w:tc>
      </w:tr>
    </w:tbl>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我中心202</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年“三公”经费预算金额为3</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万元，全部为财政拨款资金，并在新田政府网站进行了公示。</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我中心202</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年度“三公”经费预算</w:t>
      </w:r>
      <w:r>
        <w:rPr>
          <w:rFonts w:hint="eastAsia" w:ascii="仿宋_GB2312" w:hAnsi="Calibri" w:eastAsia="仿宋_GB2312" w:cs="Times New Roman"/>
          <w:kern w:val="2"/>
          <w:sz w:val="32"/>
          <w:szCs w:val="32"/>
          <w:highlight w:val="none"/>
          <w:lang w:val="en-US" w:eastAsia="zh-CN" w:bidi="ar-SA"/>
        </w:rPr>
        <w:t>3.5</w:t>
      </w:r>
      <w:r>
        <w:rPr>
          <w:rFonts w:hint="eastAsia" w:ascii="仿宋_GB2312" w:hAnsi="Calibri" w:eastAsia="仿宋_GB2312" w:cs="Times New Roman"/>
          <w:kern w:val="2"/>
          <w:sz w:val="32"/>
          <w:szCs w:val="32"/>
          <w:highlight w:val="none"/>
          <w:lang w:val="zh-CN" w:eastAsia="zh-CN" w:bidi="ar-SA"/>
        </w:rPr>
        <w:t>万元，实际支出3</w:t>
      </w:r>
      <w:r>
        <w:rPr>
          <w:rFonts w:hint="eastAsia" w:ascii="仿宋_GB2312" w:hAnsi="Calibri" w:eastAsia="仿宋_GB2312" w:cs="Times New Roman"/>
          <w:kern w:val="2"/>
          <w:sz w:val="32"/>
          <w:szCs w:val="32"/>
          <w:highlight w:val="none"/>
          <w:lang w:val="en-US" w:eastAsia="zh-CN" w:bidi="ar-SA"/>
        </w:rPr>
        <w:t>.</w:t>
      </w:r>
      <w:r>
        <w:rPr>
          <w:rFonts w:hint="eastAsia" w:ascii="仿宋_GB2312" w:hAnsi="Calibri" w:eastAsia="仿宋_GB2312" w:cs="Times New Roman"/>
          <w:kern w:val="2"/>
          <w:sz w:val="32"/>
          <w:szCs w:val="32"/>
          <w:highlight w:val="none"/>
          <w:lang w:val="zh-CN" w:eastAsia="zh-CN" w:bidi="ar-SA"/>
        </w:rPr>
        <w:t>4</w:t>
      </w:r>
      <w:r>
        <w:rPr>
          <w:rFonts w:hint="eastAsia" w:ascii="仿宋_GB2312" w:hAnsi="Calibri" w:eastAsia="仿宋_GB2312" w:cs="Times New Roman"/>
          <w:kern w:val="2"/>
          <w:sz w:val="32"/>
          <w:szCs w:val="32"/>
          <w:highlight w:val="none"/>
          <w:lang w:val="en-US" w:eastAsia="zh-CN" w:bidi="ar-SA"/>
        </w:rPr>
        <w:t>3</w:t>
      </w:r>
      <w:r>
        <w:rPr>
          <w:rFonts w:hint="eastAsia" w:ascii="仿宋_GB2312" w:hAnsi="Calibri" w:eastAsia="仿宋_GB2312" w:cs="Times New Roman"/>
          <w:kern w:val="2"/>
          <w:sz w:val="32"/>
          <w:szCs w:val="32"/>
          <w:highlight w:val="none"/>
          <w:lang w:val="zh-CN" w:eastAsia="zh-CN" w:bidi="ar-SA"/>
        </w:rPr>
        <w:t>万元，</w:t>
      </w:r>
      <w:r>
        <w:rPr>
          <w:rFonts w:hint="eastAsia" w:ascii="仿宋_GB2312" w:hAnsi="Calibri" w:eastAsia="仿宋_GB2312" w:cs="Times New Roman"/>
          <w:kern w:val="2"/>
          <w:sz w:val="32"/>
          <w:szCs w:val="32"/>
          <w:highlight w:val="none"/>
          <w:lang w:val="en-US" w:eastAsia="zh-CN" w:bidi="ar-SA"/>
        </w:rPr>
        <w:t>减少0.07</w:t>
      </w:r>
      <w:r>
        <w:rPr>
          <w:rFonts w:hint="eastAsia" w:ascii="仿宋_GB2312" w:hAnsi="Calibri" w:eastAsia="仿宋_GB2312" w:cs="Times New Roman"/>
          <w:kern w:val="2"/>
          <w:sz w:val="32"/>
          <w:szCs w:val="32"/>
          <w:highlight w:val="none"/>
          <w:lang w:val="zh-CN" w:eastAsia="zh-CN" w:bidi="ar-SA"/>
        </w:rPr>
        <w:t>万元。</w:t>
      </w:r>
      <w:r>
        <w:rPr>
          <w:rFonts w:hint="eastAsia" w:ascii="仿宋_GB2312" w:hAnsi="Calibri" w:eastAsia="仿宋_GB2312" w:cs="Times New Roman"/>
          <w:kern w:val="2"/>
          <w:sz w:val="32"/>
          <w:szCs w:val="32"/>
          <w:highlight w:val="none"/>
          <w:lang w:val="en-US" w:eastAsia="zh-CN" w:bidi="ar-SA"/>
        </w:rPr>
        <w:t>降低</w:t>
      </w:r>
      <w:r>
        <w:rPr>
          <w:rFonts w:hint="eastAsia" w:ascii="仿宋_GB2312" w:hAnsi="Calibri" w:eastAsia="仿宋_GB2312" w:cs="Times New Roman"/>
          <w:kern w:val="2"/>
          <w:sz w:val="32"/>
          <w:szCs w:val="32"/>
          <w:highlight w:val="none"/>
          <w:lang w:val="zh-CN" w:eastAsia="zh-CN" w:bidi="ar-SA"/>
        </w:rPr>
        <w:t>率</w:t>
      </w:r>
      <w:r>
        <w:rPr>
          <w:rFonts w:hint="eastAsia" w:ascii="仿宋_GB2312" w:hAnsi="Calibri" w:eastAsia="仿宋_GB2312" w:cs="Times New Roman"/>
          <w:kern w:val="2"/>
          <w:sz w:val="32"/>
          <w:szCs w:val="32"/>
          <w:highlight w:val="none"/>
          <w:lang w:val="en-US" w:eastAsia="zh-CN" w:bidi="ar-SA"/>
        </w:rPr>
        <w:t>2</w:t>
      </w:r>
      <w:r>
        <w:rPr>
          <w:rFonts w:hint="eastAsia" w:ascii="仿宋_GB2312" w:hAnsi="Calibri" w:eastAsia="仿宋_GB2312" w:cs="Times New Roman"/>
          <w:kern w:val="2"/>
          <w:sz w:val="32"/>
          <w:szCs w:val="32"/>
          <w:highlight w:val="none"/>
          <w:lang w:val="zh-CN" w:eastAsia="zh-CN" w:bidi="ar-SA"/>
        </w:rPr>
        <w:t>%；主要是厉行节约，规范管理，进一步压缩“三公”经费。全年未购置公务用车，“三公”经费总体控制较好。</w:t>
      </w:r>
    </w:p>
    <w:p>
      <w:pPr>
        <w:widowControl/>
        <w:spacing w:line="500" w:lineRule="atLeast"/>
        <w:ind w:firstLine="640" w:firstLineChars="200"/>
        <w:jc w:val="left"/>
        <w:rPr>
          <w:rFonts w:hint="eastAsia" w:ascii="仿宋_GB2312" w:hAnsi="Calibri" w:eastAsia="仿宋_GB2312" w:cs="Times New Roman"/>
          <w:kern w:val="2"/>
          <w:sz w:val="32"/>
          <w:szCs w:val="32"/>
          <w:highlight w:val="none"/>
          <w:lang w:val="zh-CN" w:eastAsia="zh-CN" w:bidi="ar-SA"/>
        </w:rPr>
      </w:pPr>
      <w:r>
        <w:rPr>
          <w:rFonts w:hint="eastAsia" w:ascii="仿宋_GB2312" w:hAnsi="Calibri" w:eastAsia="仿宋_GB2312" w:cs="Times New Roman"/>
          <w:kern w:val="2"/>
          <w:sz w:val="32"/>
          <w:szCs w:val="32"/>
          <w:highlight w:val="none"/>
          <w:lang w:val="zh-CN" w:eastAsia="zh-CN" w:bidi="ar-SA"/>
        </w:rPr>
        <w:t>“三公”经费预决算情况             （单位：万元）</w:t>
      </w:r>
    </w:p>
    <w:tbl>
      <w:tblPr>
        <w:tblStyle w:val="3"/>
        <w:tblpPr w:leftFromText="180" w:rightFromText="180" w:vertAnchor="text" w:horzAnchor="page" w:tblpX="1295" w:tblpY="135"/>
        <w:tblOverlap w:val="never"/>
        <w:tblW w:w="9980" w:type="dxa"/>
        <w:tblInd w:w="0" w:type="dxa"/>
        <w:tblLayout w:type="fixed"/>
        <w:tblCellMar>
          <w:top w:w="0" w:type="dxa"/>
          <w:left w:w="0" w:type="dxa"/>
          <w:bottom w:w="0" w:type="dxa"/>
          <w:right w:w="0" w:type="dxa"/>
        </w:tblCellMar>
      </w:tblPr>
      <w:tblGrid>
        <w:gridCol w:w="1624"/>
        <w:gridCol w:w="1336"/>
        <w:gridCol w:w="1395"/>
        <w:gridCol w:w="1440"/>
        <w:gridCol w:w="1350"/>
        <w:gridCol w:w="1440"/>
        <w:gridCol w:w="1395"/>
      </w:tblGrid>
      <w:tr>
        <w:tblPrEx>
          <w:tblCellMar>
            <w:top w:w="0" w:type="dxa"/>
            <w:left w:w="0" w:type="dxa"/>
            <w:bottom w:w="0" w:type="dxa"/>
            <w:right w:w="0" w:type="dxa"/>
          </w:tblCellMar>
        </w:tblPrEx>
        <w:trPr>
          <w:trHeight w:val="454" w:hRule="exact"/>
        </w:trPr>
        <w:tc>
          <w:tcPr>
            <w:tcW w:w="1624" w:type="dxa"/>
            <w:vMerge w:val="restart"/>
            <w:tcBorders>
              <w:top w:val="single" w:color="000000" w:sz="8" w:space="0"/>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费用项目</w:t>
            </w:r>
          </w:p>
        </w:tc>
        <w:tc>
          <w:tcPr>
            <w:tcW w:w="2731" w:type="dxa"/>
            <w:gridSpan w:val="2"/>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预算金额</w:t>
            </w:r>
          </w:p>
        </w:tc>
        <w:tc>
          <w:tcPr>
            <w:tcW w:w="2790" w:type="dxa"/>
            <w:gridSpan w:val="2"/>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决算金额</w:t>
            </w:r>
          </w:p>
        </w:tc>
        <w:tc>
          <w:tcPr>
            <w:tcW w:w="2835" w:type="dxa"/>
            <w:gridSpan w:val="2"/>
            <w:tcBorders>
              <w:top w:val="single" w:color="000000" w:sz="8" w:space="0"/>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增加额（预-决）</w:t>
            </w:r>
          </w:p>
        </w:tc>
      </w:tr>
      <w:tr>
        <w:tblPrEx>
          <w:tblCellMar>
            <w:top w:w="0" w:type="dxa"/>
            <w:left w:w="0" w:type="dxa"/>
            <w:bottom w:w="0" w:type="dxa"/>
            <w:right w:w="0" w:type="dxa"/>
          </w:tblCellMar>
        </w:tblPrEx>
        <w:trPr>
          <w:trHeight w:val="1262" w:hRule="exact"/>
        </w:trPr>
        <w:tc>
          <w:tcPr>
            <w:tcW w:w="1624" w:type="dxa"/>
            <w:vMerge w:val="continue"/>
            <w:tcBorders>
              <w:top w:val="single" w:color="000000" w:sz="8" w:space="0"/>
              <w:left w:val="single" w:color="000000" w:sz="8" w:space="0"/>
              <w:bottom w:val="single" w:color="000000" w:sz="8" w:space="0"/>
              <w:right w:val="single" w:color="000000" w:sz="8" w:space="0"/>
            </w:tcBorders>
            <w:noWrap w:val="0"/>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基本支出</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项目支出</w:t>
            </w: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基本支出</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项目支出</w:t>
            </w: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基本支出</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项目支出</w:t>
            </w:r>
          </w:p>
        </w:tc>
      </w:tr>
      <w:tr>
        <w:tblPrEx>
          <w:tblCellMar>
            <w:top w:w="0" w:type="dxa"/>
            <w:left w:w="0" w:type="dxa"/>
            <w:bottom w:w="0" w:type="dxa"/>
            <w:right w:w="0" w:type="dxa"/>
          </w:tblCellMar>
        </w:tblPrEx>
        <w:trPr>
          <w:trHeight w:val="584" w:hRule="exact"/>
        </w:trPr>
        <w:tc>
          <w:tcPr>
            <w:tcW w:w="1624"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公务接待</w:t>
            </w: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3.5</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3.43</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0.07</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r>
      <w:tr>
        <w:tblPrEx>
          <w:tblCellMar>
            <w:top w:w="0" w:type="dxa"/>
            <w:left w:w="0" w:type="dxa"/>
            <w:bottom w:w="0" w:type="dxa"/>
            <w:right w:w="0" w:type="dxa"/>
          </w:tblCellMar>
        </w:tblPrEx>
        <w:trPr>
          <w:trHeight w:val="509" w:hRule="exact"/>
        </w:trPr>
        <w:tc>
          <w:tcPr>
            <w:tcW w:w="1624"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公车运行</w:t>
            </w: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r>
      <w:tr>
        <w:tblPrEx>
          <w:tblCellMar>
            <w:top w:w="0" w:type="dxa"/>
            <w:left w:w="0" w:type="dxa"/>
            <w:bottom w:w="0" w:type="dxa"/>
            <w:right w:w="0" w:type="dxa"/>
          </w:tblCellMar>
        </w:tblPrEx>
        <w:trPr>
          <w:trHeight w:val="554" w:hRule="exact"/>
        </w:trPr>
        <w:tc>
          <w:tcPr>
            <w:tcW w:w="1624"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公车购置</w:t>
            </w: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r>
      <w:tr>
        <w:tblPrEx>
          <w:tblCellMar>
            <w:top w:w="0" w:type="dxa"/>
            <w:left w:w="0" w:type="dxa"/>
            <w:bottom w:w="0" w:type="dxa"/>
            <w:right w:w="0" w:type="dxa"/>
          </w:tblCellMar>
        </w:tblPrEx>
        <w:trPr>
          <w:trHeight w:val="479" w:hRule="exact"/>
        </w:trPr>
        <w:tc>
          <w:tcPr>
            <w:tcW w:w="1624"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因公出国</w:t>
            </w: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0</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r>
      <w:tr>
        <w:tblPrEx>
          <w:tblCellMar>
            <w:top w:w="0" w:type="dxa"/>
            <w:left w:w="0" w:type="dxa"/>
            <w:bottom w:w="0" w:type="dxa"/>
            <w:right w:w="0" w:type="dxa"/>
          </w:tblCellMar>
        </w:tblPrEx>
        <w:trPr>
          <w:trHeight w:val="634" w:hRule="exact"/>
        </w:trPr>
        <w:tc>
          <w:tcPr>
            <w:tcW w:w="1624"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r>
              <w:rPr>
                <w:rFonts w:hint="eastAsia" w:ascii="仿宋_GB2312" w:hAnsi="Calibri" w:eastAsia="仿宋_GB2312" w:cs="Times New Roman"/>
                <w:kern w:val="2"/>
                <w:sz w:val="28"/>
                <w:szCs w:val="28"/>
                <w:highlight w:val="none"/>
                <w:lang w:val="zh-CN" w:eastAsia="zh-CN" w:bidi="ar-SA"/>
              </w:rPr>
              <w:t>合计</w:t>
            </w:r>
          </w:p>
        </w:tc>
        <w:tc>
          <w:tcPr>
            <w:tcW w:w="1336"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3.5</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3.43</w:t>
            </w:r>
          </w:p>
        </w:tc>
        <w:tc>
          <w:tcPr>
            <w:tcW w:w="135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center"/>
              <w:rPr>
                <w:rFonts w:hint="eastAsia" w:ascii="仿宋_GB2312" w:hAnsi="Calibri" w:eastAsia="仿宋_GB2312" w:cs="Times New Roman"/>
                <w:kern w:val="2"/>
                <w:sz w:val="28"/>
                <w:szCs w:val="28"/>
                <w:highlight w:val="none"/>
                <w:lang w:val="zh-CN" w:eastAsia="zh-CN" w:bidi="ar-SA"/>
              </w:rPr>
            </w:pPr>
          </w:p>
        </w:tc>
        <w:tc>
          <w:tcPr>
            <w:tcW w:w="1440"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jc w:val="center"/>
              <w:rPr>
                <w:rFonts w:hint="default" w:ascii="仿宋_GB2312" w:hAnsi="Calibri" w:eastAsia="仿宋_GB2312" w:cs="Times New Roman"/>
                <w:kern w:val="2"/>
                <w:sz w:val="28"/>
                <w:szCs w:val="28"/>
                <w:highlight w:val="none"/>
                <w:lang w:val="en-US" w:eastAsia="zh-CN" w:bidi="ar-SA"/>
              </w:rPr>
            </w:pPr>
            <w:r>
              <w:rPr>
                <w:rFonts w:hint="eastAsia" w:ascii="仿宋_GB2312" w:hAnsi="Calibri" w:eastAsia="仿宋_GB2312" w:cs="Times New Roman"/>
                <w:kern w:val="2"/>
                <w:sz w:val="28"/>
                <w:szCs w:val="28"/>
                <w:highlight w:val="none"/>
                <w:lang w:val="en-US" w:eastAsia="zh-CN" w:bidi="ar-SA"/>
              </w:rPr>
              <w:t>0.07</w:t>
            </w:r>
          </w:p>
        </w:tc>
        <w:tc>
          <w:tcPr>
            <w:tcW w:w="1395" w:type="dxa"/>
            <w:tcBorders>
              <w:top w:val="nil"/>
              <w:left w:val="nil"/>
              <w:bottom w:val="single" w:color="000000" w:sz="8" w:space="0"/>
              <w:right w:val="single" w:color="000000" w:sz="8" w:space="0"/>
            </w:tcBorders>
            <w:noWrap w:val="0"/>
            <w:tcMar>
              <w:top w:w="0" w:type="dxa"/>
              <w:left w:w="108" w:type="dxa"/>
              <w:bottom w:w="0" w:type="dxa"/>
              <w:right w:w="108" w:type="dxa"/>
            </w:tcMar>
            <w:vAlign w:val="center"/>
          </w:tcPr>
          <w:p>
            <w:pPr>
              <w:widowControl/>
              <w:spacing w:line="500" w:lineRule="atLeast"/>
              <w:ind w:firstLine="560" w:firstLineChars="200"/>
              <w:jc w:val="left"/>
              <w:rPr>
                <w:rFonts w:hint="eastAsia" w:ascii="仿宋_GB2312" w:hAnsi="Calibri" w:eastAsia="仿宋_GB2312" w:cs="Times New Roman"/>
                <w:kern w:val="2"/>
                <w:sz w:val="28"/>
                <w:szCs w:val="28"/>
                <w:highlight w:val="none"/>
                <w:lang w:val="zh-CN" w:eastAsia="zh-CN" w:bidi="ar-SA"/>
              </w:rPr>
            </w:pPr>
          </w:p>
        </w:tc>
      </w:tr>
    </w:tbl>
    <w:p>
      <w:pPr>
        <w:pStyle w:val="5"/>
        <w:numPr>
          <w:ilvl w:val="0"/>
          <w:numId w:val="0"/>
        </w:numPr>
        <w:spacing w:line="570" w:lineRule="exact"/>
        <w:ind w:firstLine="640" w:firstLineChars="200"/>
        <w:outlineLvl w:val="1"/>
        <w:rPr>
          <w:rFonts w:ascii="Times New Roman" w:hAnsi="Times New Roman" w:eastAsia="仿宋_GB2312"/>
          <w:sz w:val="32"/>
          <w:szCs w:val="32"/>
          <w:highlight w:val="none"/>
        </w:rPr>
      </w:pPr>
      <w:r>
        <w:rPr>
          <w:rFonts w:ascii="Times New Roman" w:hAnsi="Times New Roman" w:eastAsia="仿宋_GB2312"/>
          <w:sz w:val="32"/>
          <w:szCs w:val="32"/>
        </w:rPr>
        <w:t>（二）</w:t>
      </w:r>
      <w:r>
        <w:rPr>
          <w:rFonts w:ascii="Times New Roman" w:hAnsi="Times New Roman" w:eastAsia="仿宋_GB2312"/>
          <w:sz w:val="32"/>
          <w:szCs w:val="32"/>
          <w:highlight w:val="none"/>
        </w:rPr>
        <w:t>项目支出情况</w:t>
      </w:r>
    </w:p>
    <w:p>
      <w:pPr>
        <w:pStyle w:val="5"/>
        <w:numPr>
          <w:ilvl w:val="0"/>
          <w:numId w:val="0"/>
        </w:numPr>
        <w:spacing w:line="570" w:lineRule="exact"/>
        <w:ind w:firstLine="960" w:firstLineChars="300"/>
        <w:outlineLvl w:val="1"/>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202</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rPr>
        <w:t>年上级拨入专项资金</w:t>
      </w:r>
      <w:r>
        <w:rPr>
          <w:rFonts w:hint="eastAsia" w:ascii="Times New Roman" w:hAnsi="Times New Roman" w:eastAsia="仿宋_GB2312"/>
          <w:sz w:val="32"/>
          <w:szCs w:val="32"/>
          <w:highlight w:val="none"/>
          <w:lang w:val="en-US" w:eastAsia="zh-CN"/>
        </w:rPr>
        <w:t>482.74</w:t>
      </w:r>
      <w:r>
        <w:rPr>
          <w:rFonts w:hint="eastAsia" w:ascii="Times New Roman" w:hAnsi="Times New Roman" w:eastAsia="仿宋_GB2312"/>
          <w:sz w:val="32"/>
          <w:szCs w:val="32"/>
          <w:highlight w:val="none"/>
        </w:rPr>
        <w:t>万元，包含县财政专项资金</w:t>
      </w:r>
      <w:r>
        <w:rPr>
          <w:rFonts w:hint="eastAsia" w:ascii="Times New Roman" w:hAnsi="Times New Roman" w:eastAsia="仿宋_GB2312"/>
          <w:sz w:val="32"/>
          <w:szCs w:val="32"/>
          <w:highlight w:val="none"/>
          <w:lang w:val="en-US" w:eastAsia="zh-CN"/>
        </w:rPr>
        <w:t>42.2</w:t>
      </w:r>
      <w:r>
        <w:rPr>
          <w:rFonts w:hint="eastAsia" w:ascii="Times New Roman" w:hAnsi="Times New Roman" w:eastAsia="仿宋_GB2312"/>
          <w:sz w:val="32"/>
          <w:szCs w:val="32"/>
          <w:highlight w:val="none"/>
        </w:rPr>
        <w:t>万元</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其中：畜禽规模养殖场粪污治理项目工作经费19.2万元</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冷链设施运转专项经费（8立方冷库）5万元，动物及动物产品检疫专项经费8万元，畜禽保护专项经费10万元）</w:t>
      </w:r>
      <w:r>
        <w:rPr>
          <w:rFonts w:hint="eastAsia" w:ascii="Times New Roman" w:hAnsi="Times New Roman" w:eastAsia="仿宋_GB2312"/>
          <w:sz w:val="32"/>
          <w:szCs w:val="32"/>
          <w:highlight w:val="none"/>
        </w:rPr>
        <w:t>。行政事业类项目生猪调出大县奖励资金项目支出</w:t>
      </w:r>
      <w:r>
        <w:rPr>
          <w:rFonts w:hint="eastAsia" w:ascii="Times New Roman" w:hAnsi="Times New Roman" w:eastAsia="仿宋_GB2312"/>
          <w:sz w:val="32"/>
          <w:szCs w:val="32"/>
          <w:highlight w:val="none"/>
          <w:lang w:val="en-US" w:eastAsia="zh-CN"/>
        </w:rPr>
        <w:t>440.54</w:t>
      </w:r>
      <w:r>
        <w:rPr>
          <w:rFonts w:hint="eastAsia" w:ascii="Times New Roman" w:hAnsi="Times New Roman" w:eastAsia="仿宋_GB2312"/>
          <w:sz w:val="32"/>
          <w:szCs w:val="32"/>
          <w:highlight w:val="none"/>
        </w:rPr>
        <w:t>万元</w:t>
      </w:r>
      <w:r>
        <w:rPr>
          <w:rFonts w:hint="eastAsia" w:ascii="Times New Roman" w:hAnsi="Times New Roman" w:eastAsia="仿宋_GB2312"/>
          <w:sz w:val="32"/>
          <w:szCs w:val="32"/>
          <w:highlight w:val="none"/>
          <w:lang w:eastAsia="zh-CN"/>
        </w:rPr>
        <w:t>。</w:t>
      </w:r>
    </w:p>
    <w:p>
      <w:pPr>
        <w:pStyle w:val="5"/>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仿宋_GB2312"/>
          <w:sz w:val="32"/>
          <w:szCs w:val="32"/>
        </w:rPr>
      </w:pPr>
    </w:p>
    <w:p>
      <w:pPr>
        <w:pStyle w:val="5"/>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政府性基金预算支出情况</w:t>
      </w:r>
      <w:r>
        <w:rPr>
          <w:rFonts w:hint="eastAsia" w:ascii="Times New Roman" w:hAnsi="Times New Roman" w:eastAsia="黑体"/>
          <w:sz w:val="32"/>
          <w:szCs w:val="32"/>
        </w:rPr>
        <w:t>。</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我</w:t>
      </w:r>
      <w:r>
        <w:rPr>
          <w:rFonts w:hint="eastAsia" w:ascii="Times New Roman" w:hAnsi="Times New Roman" w:eastAsia="仿宋_GB2312"/>
          <w:color w:val="000000"/>
          <w:sz w:val="32"/>
          <w:szCs w:val="32"/>
          <w:lang w:val="en-US" w:eastAsia="zh-CN"/>
        </w:rPr>
        <w:t>单位</w:t>
      </w:r>
      <w:r>
        <w:rPr>
          <w:rFonts w:hint="eastAsia" w:ascii="Times New Roman" w:hAnsi="Times New Roman" w:eastAsia="仿宋_GB2312"/>
          <w:color w:val="000000"/>
          <w:sz w:val="32"/>
          <w:szCs w:val="32"/>
        </w:rPr>
        <w:t>本年度没有政府性基金预算</w:t>
      </w:r>
    </w:p>
    <w:p>
      <w:pPr>
        <w:pStyle w:val="5"/>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40" w:firstLineChars="200"/>
        <w:jc w:val="both"/>
        <w:textAlignment w:val="auto"/>
        <w:rPr>
          <w:rFonts w:hint="eastAsia" w:ascii="Times New Roman" w:hAnsi="Times New Roman" w:eastAsia="黑体"/>
          <w:sz w:val="32"/>
          <w:szCs w:val="32"/>
        </w:rPr>
      </w:pPr>
      <w:r>
        <w:rPr>
          <w:rFonts w:ascii="Times New Roman" w:hAnsi="Times New Roman" w:eastAsia="黑体"/>
          <w:sz w:val="32"/>
          <w:szCs w:val="32"/>
        </w:rPr>
        <w:t>国有资本经营预算支出情况</w:t>
      </w:r>
      <w:r>
        <w:rPr>
          <w:rFonts w:hint="eastAsia" w:ascii="Times New Roman" w:hAnsi="Times New Roman" w:eastAsia="黑体"/>
          <w:sz w:val="32"/>
          <w:szCs w:val="32"/>
        </w:rPr>
        <w:t>。</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firstLine="320" w:firstLineChars="100"/>
        <w:jc w:val="both"/>
        <w:textAlignment w:val="auto"/>
        <w:rPr>
          <w:rFonts w:hint="eastAsia" w:ascii="Times New Roman" w:hAnsi="Times New Roman" w:eastAsia="黑体"/>
          <w:sz w:val="32"/>
          <w:szCs w:val="32"/>
        </w:rPr>
      </w:pPr>
      <w:r>
        <w:rPr>
          <w:rFonts w:hint="eastAsia" w:ascii="Times New Roman" w:hAnsi="Times New Roman" w:eastAsia="仿宋_GB2312"/>
          <w:color w:val="000000"/>
          <w:sz w:val="32"/>
          <w:szCs w:val="32"/>
        </w:rPr>
        <w:t>我</w:t>
      </w:r>
      <w:r>
        <w:rPr>
          <w:rFonts w:hint="eastAsia" w:ascii="Times New Roman" w:hAnsi="Times New Roman" w:eastAsia="仿宋_GB2312"/>
          <w:color w:val="000000"/>
          <w:sz w:val="32"/>
          <w:szCs w:val="32"/>
          <w:lang w:val="en-US" w:eastAsia="zh-CN"/>
        </w:rPr>
        <w:t>单位</w:t>
      </w:r>
      <w:r>
        <w:rPr>
          <w:rFonts w:hint="eastAsia" w:ascii="Times New Roman" w:hAnsi="Times New Roman" w:eastAsia="仿宋_GB2312"/>
          <w:color w:val="000000"/>
          <w:sz w:val="32"/>
          <w:szCs w:val="32"/>
        </w:rPr>
        <w:t>无国有资本经营预算支出情况</w:t>
      </w:r>
    </w:p>
    <w:p>
      <w:pPr>
        <w:pStyle w:val="5"/>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40" w:firstLineChars="200"/>
        <w:jc w:val="both"/>
        <w:textAlignment w:val="auto"/>
        <w:rPr>
          <w:rFonts w:hint="eastAsia" w:ascii="Times New Roman" w:hAnsi="Times New Roman" w:eastAsia="黑体"/>
          <w:sz w:val="32"/>
          <w:szCs w:val="32"/>
        </w:rPr>
      </w:pPr>
      <w:r>
        <w:rPr>
          <w:rFonts w:ascii="Times New Roman" w:hAnsi="Times New Roman" w:eastAsia="黑体"/>
          <w:sz w:val="32"/>
          <w:szCs w:val="32"/>
        </w:rPr>
        <w:t>社会保险基金预算支出情况</w:t>
      </w:r>
      <w:r>
        <w:rPr>
          <w:rFonts w:hint="eastAsia" w:ascii="Times New Roman" w:hAnsi="Times New Roman" w:eastAsia="黑体"/>
          <w:sz w:val="32"/>
          <w:szCs w:val="32"/>
        </w:rPr>
        <w:t>。</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firstLine="320" w:firstLineChars="100"/>
        <w:jc w:val="both"/>
        <w:textAlignment w:val="auto"/>
        <w:rPr>
          <w:rFonts w:hint="eastAsia" w:ascii="Times New Roman" w:hAnsi="Times New Roman" w:eastAsia="黑体"/>
          <w:sz w:val="32"/>
          <w:szCs w:val="32"/>
        </w:rPr>
      </w:pPr>
      <w:r>
        <w:rPr>
          <w:rFonts w:hint="eastAsia" w:ascii="Times New Roman" w:hAnsi="Times New Roman" w:eastAsia="仿宋_GB2312"/>
          <w:color w:val="000000"/>
          <w:sz w:val="32"/>
          <w:szCs w:val="32"/>
        </w:rPr>
        <w:t>我单位无社会保险基金预算支出情况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六、部门整体支出绩效情况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rPr>
      </w:pPr>
      <w:r>
        <w:rPr>
          <w:rFonts w:hint="eastAsia" w:eastAsia="仿宋_GB2312"/>
          <w:color w:val="000000"/>
          <w:sz w:val="32"/>
          <w:szCs w:val="32"/>
        </w:rPr>
        <w:t>1、经济效益评价。本年预算配置控制较好，财政供养人员控制在202</w:t>
      </w:r>
      <w:r>
        <w:rPr>
          <w:rFonts w:hint="eastAsia" w:eastAsia="仿宋_GB2312"/>
          <w:color w:val="000000"/>
          <w:sz w:val="32"/>
          <w:szCs w:val="32"/>
          <w:lang w:val="en-US" w:eastAsia="zh-CN"/>
        </w:rPr>
        <w:t>3</w:t>
      </w:r>
      <w:r>
        <w:rPr>
          <w:rFonts w:hint="eastAsia" w:eastAsia="仿宋_GB2312"/>
          <w:color w:val="000000"/>
          <w:sz w:val="32"/>
          <w:szCs w:val="32"/>
        </w:rPr>
        <w:t>年编制数内，“三公”经费总额控制在财政预算内。一是预算执行方面。支出总额控制在预算总额以内，本年我中心未进行预算相关事项的调整。我中心专项资金到位后，严格按照养殖产业科技推广及生产发展资金使用管理的有关规定加强了资金管理。及时组织了养殖产业科技推广及生产发展项目的实施，畜牧水产资金专款专用。不存在截留或滞留专项资金情况。“三公”经费总体控制较好，未超本年预算。二是预算管理方面。制度执行总体较为有效，仍需进一步强化；资金使用管理需进一步加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rPr>
      </w:pPr>
      <w:r>
        <w:rPr>
          <w:rFonts w:hint="eastAsia" w:eastAsia="仿宋_GB2312"/>
          <w:color w:val="000000"/>
          <w:sz w:val="32"/>
          <w:szCs w:val="32"/>
        </w:rPr>
        <w:t>2、效率性评价和有效性评价。我中心牢固树立了养殖产业科技推广及生产发展的观念，在养殖产业科技推广及生产发展资金的管理和使用上，严守法律底线、纪律底线、道德底线。预算安排的基本支出保障了我中心正常的工作运转，体现了县委、县政府对畜牧水产工作的关心和重视。养殖产业科技推广及生产发展资金专项支出是非常必要的，项目资金使用规范、安全、高效。</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仿宋_GB2312"/>
          <w:color w:val="000000"/>
          <w:sz w:val="32"/>
          <w:szCs w:val="32"/>
        </w:rPr>
      </w:pPr>
      <w:r>
        <w:rPr>
          <w:rFonts w:hint="eastAsia" w:eastAsia="仿宋_GB2312"/>
          <w:color w:val="000000"/>
          <w:sz w:val="32"/>
          <w:szCs w:val="32"/>
        </w:rPr>
        <w:t>3、社会公众满意度评价。202</w:t>
      </w:r>
      <w:r>
        <w:rPr>
          <w:rFonts w:hint="eastAsia" w:eastAsia="仿宋_GB2312"/>
          <w:color w:val="000000"/>
          <w:sz w:val="32"/>
          <w:szCs w:val="32"/>
          <w:lang w:val="en-US" w:eastAsia="zh-CN"/>
        </w:rPr>
        <w:t>3</w:t>
      </w:r>
      <w:r>
        <w:rPr>
          <w:rFonts w:hint="eastAsia" w:eastAsia="仿宋_GB2312"/>
          <w:color w:val="000000"/>
          <w:sz w:val="32"/>
          <w:szCs w:val="32"/>
        </w:rPr>
        <w:t>年，我中心不断加强对养殖产业科技推广及生产发展资金绩效评价管理，开展了养殖产业科技推广及生产发展政策政务公开“阳光行动”，项目资金使用依法向社会公开，做到了“县上网、村上墙”，接受社会和</w:t>
      </w:r>
      <w:r>
        <w:rPr>
          <w:rFonts w:hint="eastAsia" w:eastAsia="仿宋_GB2312"/>
          <w:color w:val="000000"/>
          <w:sz w:val="32"/>
          <w:szCs w:val="32"/>
          <w:lang w:val="en-US" w:eastAsia="zh-CN"/>
        </w:rPr>
        <w:t>养殖</w:t>
      </w:r>
      <w:r>
        <w:rPr>
          <w:rFonts w:hint="eastAsia" w:eastAsia="仿宋_GB2312"/>
          <w:color w:val="000000"/>
          <w:sz w:val="32"/>
          <w:szCs w:val="32"/>
        </w:rPr>
        <w:t>群众的监督，群众满意度</w:t>
      </w:r>
      <w:r>
        <w:rPr>
          <w:rFonts w:hint="eastAsia" w:eastAsia="仿宋_GB2312"/>
          <w:color w:val="000000"/>
          <w:sz w:val="32"/>
          <w:szCs w:val="32"/>
          <w:lang w:val="en-US" w:eastAsia="zh-CN"/>
        </w:rPr>
        <w:t>95%</w:t>
      </w:r>
      <w:r>
        <w:rPr>
          <w:rFonts w:hint="eastAsia" w:eastAsia="仿宋_GB2312"/>
          <w:color w:val="000000"/>
          <w:sz w:val="32"/>
          <w:szCs w:val="32"/>
        </w:rPr>
        <w:t>，没有发生群众上访事件</w:t>
      </w:r>
      <w:r>
        <w:rPr>
          <w:rFonts w:eastAsia="仿宋_GB2312"/>
          <w:color w:val="000000"/>
          <w:sz w:val="32"/>
          <w:szCs w:val="32"/>
        </w:rPr>
        <w:t>。</w:t>
      </w:r>
    </w:p>
    <w:p>
      <w:pPr>
        <w:pStyle w:val="5"/>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sz w:val="32"/>
          <w:szCs w:val="32"/>
        </w:rPr>
      </w:pPr>
      <w:r>
        <w:rPr>
          <w:rFonts w:ascii="Times New Roman" w:hAnsi="Times New Roman" w:eastAsia="黑体"/>
          <w:sz w:val="32"/>
          <w:szCs w:val="32"/>
        </w:rPr>
        <w:t>七、存在的问题及原因分析</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sz w:val="32"/>
          <w:szCs w:val="32"/>
          <w:highlight w:val="none"/>
        </w:rPr>
      </w:pPr>
      <w:r>
        <w:rPr>
          <w:rFonts w:hint="eastAsia" w:eastAsia="仿宋_GB2312"/>
          <w:sz w:val="32"/>
          <w:szCs w:val="32"/>
          <w:highlight w:val="none"/>
        </w:rPr>
        <w:t>主要存在的问题是</w:t>
      </w:r>
      <w:r>
        <w:rPr>
          <w:rFonts w:hint="eastAsia" w:eastAsia="仿宋_GB2312"/>
          <w:sz w:val="32"/>
          <w:szCs w:val="32"/>
          <w:highlight w:val="none"/>
          <w:lang w:val="en-US" w:eastAsia="zh-CN"/>
        </w:rPr>
        <w:t>单位</w:t>
      </w:r>
      <w:r>
        <w:rPr>
          <w:rFonts w:hint="eastAsia" w:eastAsia="仿宋_GB2312"/>
          <w:sz w:val="32"/>
          <w:szCs w:val="32"/>
          <w:highlight w:val="none"/>
        </w:rPr>
        <w:t>基本支出中</w:t>
      </w:r>
      <w:r>
        <w:rPr>
          <w:rFonts w:hint="eastAsia" w:eastAsia="仿宋_GB2312"/>
          <w:sz w:val="32"/>
          <w:szCs w:val="32"/>
          <w:highlight w:val="none"/>
          <w:lang w:val="en-US" w:eastAsia="zh-CN"/>
        </w:rPr>
        <w:t>其他交通费高于</w:t>
      </w:r>
      <w:r>
        <w:rPr>
          <w:rFonts w:hint="eastAsia" w:eastAsia="仿宋_GB2312"/>
          <w:sz w:val="32"/>
          <w:szCs w:val="32"/>
          <w:highlight w:val="none"/>
        </w:rPr>
        <w:t>经费预算数需加强厉行节约。</w:t>
      </w:r>
    </w:p>
    <w:p>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下一步改进措施</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针对上述存在的问题及我中心整体支出管理工作的需要，下一步，我们将采取以下改进措施：</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1、细化预算编制工作，认真做好预算的编制。进一步加强中心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2、加强财务管理，严格财务审核。在费用报账支付时，按照预算规定的费用项目和用途进行资金使用审核、列报支付、财务核算，杜绝超支现象的发生。</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3、持续抓好“三公”经费控制管理。严格控制“三公”经费的规模和比例，严格“三公”经费支出的审核、审批，杜绝挪用和挤占其他预算资金行为；进一步细化“三公”经费的管理，合理压缩“三公”经费支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4、加强对养殖产业科技推广及生产发展资金项目实施进度的跟踪，开展项目绩效评价，确保项目绩效目标的完成。</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Times New Roman" w:hAnsi="Times New Roman" w:eastAsia="仿宋_GB2312" w:cs="Times New Roman"/>
          <w:b w:val="0"/>
          <w:bCs w:val="0"/>
          <w:kern w:val="2"/>
          <w:sz w:val="32"/>
          <w:szCs w:val="32"/>
          <w:highlight w:val="none"/>
          <w:lang w:val="en-US" w:eastAsia="zh-CN" w:bidi="ar-SA"/>
        </w:rPr>
      </w:pPr>
      <w:r>
        <w:rPr>
          <w:rFonts w:hint="eastAsia" w:ascii="Times New Roman" w:hAnsi="Times New Roman" w:eastAsia="仿宋_GB2312" w:cs="Times New Roman"/>
          <w:b w:val="0"/>
          <w:bCs w:val="0"/>
          <w:kern w:val="2"/>
          <w:sz w:val="32"/>
          <w:szCs w:val="32"/>
          <w:highlight w:val="none"/>
          <w:lang w:val="en-US" w:eastAsia="zh-CN" w:bidi="ar-SA"/>
        </w:rPr>
        <w:t>通过加强预算收支管理，不断建立健全内部管理制度，梳理内部管理流程，我心中整体支出管理情况得到提升，贯彻落实厉行节约、严控“三公”经费、降低一般运行经费、加强项目支出管理等，成绩显著，依据部门整体支出绩效评价指标体系，本中心2023年度自评得分为9</w:t>
      </w:r>
      <w:r>
        <w:rPr>
          <w:rFonts w:hint="eastAsia" w:eastAsia="仿宋_GB2312" w:cs="Times New Roman"/>
          <w:b w:val="0"/>
          <w:bCs w:val="0"/>
          <w:kern w:val="2"/>
          <w:sz w:val="32"/>
          <w:szCs w:val="32"/>
          <w:highlight w:val="none"/>
          <w:lang w:val="en-US" w:eastAsia="zh-CN" w:bidi="ar-SA"/>
        </w:rPr>
        <w:t>7.2</w:t>
      </w:r>
      <w:bookmarkStart w:id="0" w:name="_GoBack"/>
      <w:bookmarkEnd w:id="0"/>
      <w:r>
        <w:rPr>
          <w:rFonts w:hint="eastAsia" w:ascii="Times New Roman" w:hAnsi="Times New Roman" w:eastAsia="仿宋_GB2312" w:cs="Times New Roman"/>
          <w:b w:val="0"/>
          <w:bCs w:val="0"/>
          <w:kern w:val="2"/>
          <w:sz w:val="32"/>
          <w:szCs w:val="32"/>
          <w:highlight w:val="none"/>
          <w:lang w:val="en-US" w:eastAsia="zh-CN" w:bidi="ar-SA"/>
        </w:rPr>
        <w:t>分</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hint="eastAsia" w:eastAsia="黑体"/>
          <w:sz w:val="32"/>
          <w:szCs w:val="32"/>
        </w:rPr>
        <w:t>十、</w:t>
      </w:r>
      <w:r>
        <w:rPr>
          <w:rFonts w:eastAsia="黑体"/>
          <w:sz w:val="32"/>
          <w:szCs w:val="32"/>
        </w:rPr>
        <w:t>其他需要说明的情况</w:t>
      </w:r>
    </w:p>
    <w:p>
      <w:pPr>
        <w:keepNext w:val="0"/>
        <w:keepLines w:val="0"/>
        <w:pageBreakBefore w:val="0"/>
        <w:widowControl w:val="0"/>
        <w:kinsoku/>
        <w:wordWrap/>
        <w:overflowPunct/>
        <w:topLinePunct w:val="0"/>
        <w:autoSpaceDE/>
        <w:autoSpaceDN/>
        <w:bidi w:val="0"/>
        <w:adjustRightInd/>
        <w:snapToGrid/>
        <w:spacing w:line="460" w:lineRule="exact"/>
        <w:ind w:firstLine="960" w:firstLineChars="300"/>
        <w:jc w:val="both"/>
        <w:textAlignment w:val="auto"/>
        <w:rPr>
          <w:rFonts w:hint="default" w:ascii="Times New Roman" w:hAnsi="Times New Roman" w:eastAsia="仿宋_GB2312" w:cs="Times New Roman"/>
          <w:b w:val="0"/>
          <w:bCs w:val="0"/>
          <w:kern w:val="2"/>
          <w:sz w:val="32"/>
          <w:szCs w:val="32"/>
          <w:highlight w:val="none"/>
          <w:lang w:val="en-US" w:eastAsia="zh-CN" w:bidi="ar-SA"/>
        </w:rPr>
      </w:pPr>
      <w:r>
        <w:rPr>
          <w:rFonts w:hint="eastAsia" w:ascii="Times New Roman" w:hAnsi="Times New Roman" w:eastAsia="仿宋_GB2312" w:cs="Times New Roman"/>
          <w:b w:val="0"/>
          <w:bCs w:val="0"/>
          <w:kern w:val="2"/>
          <w:sz w:val="32"/>
          <w:szCs w:val="32"/>
          <w:highlight w:val="none"/>
          <w:lang w:val="en-US" w:eastAsia="zh-CN" w:bidi="ar-SA"/>
        </w:rPr>
        <w:t>无其他需要说明情况</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E6DF79F"/>
    <w:multiLevelType w:val="singleLevel"/>
    <w:tmpl w:val="AE6DF79F"/>
    <w:lvl w:ilvl="0" w:tentative="0">
      <w:start w:val="3"/>
      <w:numFmt w:val="chineseCounting"/>
      <w:suff w:val="nothing"/>
      <w:lvlText w:val="%1、"/>
      <w:lvlJc w:val="left"/>
      <w:rPr>
        <w:rFonts w:hint="eastAsia"/>
      </w:rPr>
    </w:lvl>
  </w:abstractNum>
  <w:abstractNum w:abstractNumId="1">
    <w:nsid w:val="4D243134"/>
    <w:multiLevelType w:val="singleLevel"/>
    <w:tmpl w:val="4D243134"/>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wYzA0ZjZmNzRjODZmNGI5M2MwY2UzMzA2ODA0MzYifQ=="/>
  </w:docVars>
  <w:rsids>
    <w:rsidRoot w:val="00000000"/>
    <w:rsid w:val="2679043D"/>
    <w:rsid w:val="28776D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样式2"/>
    <w:basedOn w:val="1"/>
    <w:qFormat/>
    <w:uiPriority w:val="0"/>
    <w:pPr>
      <w:widowControl/>
      <w:shd w:val="clear" w:color="auto" w:fill="FFFFFF"/>
      <w:spacing w:before="100" w:beforeAutospacing="1" w:after="100" w:afterAutospacing="1"/>
      <w:ind w:left="562"/>
      <w:jc w:val="center"/>
    </w:pPr>
    <w:rPr>
      <w:rFonts w:ascii="宋体" w:hAnsi="宋体"/>
      <w:b/>
      <w:bCs/>
      <w:szCs w:val="21"/>
    </w:rPr>
  </w:style>
  <w:style w:type="paragraph" w:styleId="5">
    <w:name w:val="List Paragraph"/>
    <w:basedOn w:val="1"/>
    <w:qFormat/>
    <w:uiPriority w:val="99"/>
    <w:pPr>
      <w:ind w:firstLine="420" w:firstLineChars="200"/>
    </w:pPr>
    <w:rPr>
      <w:rFonts w:ascii="Calibri" w:hAnsi="Calibri"/>
      <w:kern w:val="0"/>
      <w:sz w:val="28"/>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2024-05-25T12:36:00Z</dcterms:created>
  <dc:creator>10958</dc:creator>
  <cp:lastModifiedBy>Administrator</cp:lastModifiedBy>
  <dcterms:modified xsi:type="dcterms:W3CDTF">2024-05-28T01:17:33Z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y fmtid="{D5CDD505-2E9C-101B-9397-08002B2CF9AE}" pid="3" name="ICV">
    <vt:lpwstr>8203CCB805E34359800F86460B363F6F_12</vt:lpwstr>
  </property>
</Properties>
</file>