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96CBE4">
      <w:pPr>
        <w:spacing w:line="600" w:lineRule="exact"/>
        <w:rPr>
          <w:rFonts w:eastAsia="黑体"/>
          <w:sz w:val="32"/>
          <w:szCs w:val="32"/>
          <w:highlight w:val="none"/>
        </w:rPr>
      </w:pPr>
    </w:p>
    <w:p w14:paraId="71A120F9">
      <w:pPr>
        <w:jc w:val="center"/>
        <w:outlineLvl w:val="1"/>
        <w:rPr>
          <w:rFonts w:hint="eastAsia" w:ascii="方正小标宋简体" w:eastAsia="方正小标宋简体"/>
          <w:sz w:val="52"/>
          <w:szCs w:val="52"/>
          <w:highlight w:val="none"/>
        </w:rPr>
      </w:pPr>
      <w:r>
        <w:rPr>
          <w:rFonts w:hint="eastAsia" w:ascii="方正小标宋简体" w:eastAsia="方正小标宋简体"/>
          <w:sz w:val="44"/>
          <w:szCs w:val="44"/>
          <w:highlight w:val="none"/>
        </w:rPr>
        <w:t>202</w:t>
      </w:r>
      <w:r>
        <w:rPr>
          <w:rFonts w:hint="eastAsia" w:ascii="方正小标宋简体" w:eastAsia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eastAsia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eastAsia="方正小标宋简体"/>
          <w:sz w:val="44"/>
          <w:szCs w:val="44"/>
          <w:highlight w:val="none"/>
          <w:lang w:val="en-US" w:eastAsia="zh-CN"/>
        </w:rPr>
        <w:t>新田县妇幼保健计划生育服务中心</w:t>
      </w:r>
      <w:r>
        <w:rPr>
          <w:rFonts w:hint="eastAsia" w:ascii="方正小标宋简体" w:eastAsia="方正小标宋简体"/>
          <w:sz w:val="44"/>
          <w:szCs w:val="44"/>
          <w:highlight w:val="none"/>
        </w:rPr>
        <w:t>整体支出绩效自评报告</w:t>
      </w:r>
    </w:p>
    <w:p w14:paraId="30A7738B">
      <w:pPr>
        <w:numPr>
          <w:ilvl w:val="0"/>
          <w:numId w:val="0"/>
        </w:numPr>
        <w:autoSpaceDE w:val="0"/>
        <w:ind w:leftChars="200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一、机构基本情况</w:t>
      </w:r>
    </w:p>
    <w:p w14:paraId="342F984E">
      <w:pPr>
        <w:numPr>
          <w:ilvl w:val="0"/>
          <w:numId w:val="0"/>
        </w:numPr>
        <w:autoSpaceDE w:val="0"/>
        <w:ind w:leftChars="200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一）指导思想</w:t>
      </w:r>
    </w:p>
    <w:p w14:paraId="37E3BAFE">
      <w:pPr>
        <w:numPr>
          <w:ilvl w:val="0"/>
          <w:numId w:val="0"/>
        </w:numPr>
        <w:autoSpaceDE w:val="0"/>
        <w:ind w:firstLine="560" w:firstLineChars="200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我院以习近平新时代中国特色社会主义思想为指导，遵循“一法两纲”，坚持“一个中心，两个基本点”以保健为中心，既做好妇幼健康服务，又做好辖区业务管理。以保障生殖健康为目的，保健与临床相结合，面向群体，面向基层，预防为主的妇幼卫生方针。按照《二级甲等妇幼保健院》的标准，充分发挥绩效考核“指挥棒”的作用，开展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预防保健、临床医疗、培训指导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等医疗保健业务的公益性质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事业单位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。</w:t>
      </w:r>
    </w:p>
    <w:p w14:paraId="6BDED900">
      <w:pPr>
        <w:numPr>
          <w:ilvl w:val="0"/>
          <w:numId w:val="0"/>
        </w:numPr>
        <w:autoSpaceDE w:val="0"/>
        <w:ind w:leftChars="0" w:firstLine="560" w:firstLineChars="200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二）、基本信息</w:t>
      </w:r>
    </w:p>
    <w:p w14:paraId="27663758">
      <w:pPr>
        <w:pStyle w:val="20"/>
        <w:shd w:val="clear" w:color="auto" w:fill="auto"/>
        <w:tabs>
          <w:tab w:val="left" w:pos="1439"/>
        </w:tabs>
        <w:spacing w:before="0"/>
        <w:ind w:firstLine="560" w:firstLineChars="200"/>
        <w:jc w:val="both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我院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地处永州市新田县龙泉镇龙泉路149号，占地面积30亩，建筑面积2万平方米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开设四大业务部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（儿童保健部、孕产保健部、妇女保健部、计生服务部）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、临床、医技、职能科室共计34个，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开设儿科、新生儿科、产科及妇科住院部，共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开放床位1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00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张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，（儿科、新生儿科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60张、产科28张、妇科12张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b w:val="0"/>
          <w:bCs w:val="0"/>
          <w:color w:val="333333"/>
          <w:sz w:val="28"/>
          <w:szCs w:val="28"/>
        </w:rPr>
        <w:t>医疗设备配备达到了县级妇幼保健院配备标准，助产技术提供和产科建设完全符合机构和人员准入标准， 产房急救设施、 设备齐全</w:t>
      </w:r>
      <w:r>
        <w:rPr>
          <w:rFonts w:hint="eastAsia" w:ascii="仿宋" w:hAnsi="仿宋" w:eastAsia="仿宋" w:cs="仿宋"/>
          <w:b w:val="0"/>
          <w:bCs w:val="0"/>
          <w:color w:val="333333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b w:val="0"/>
          <w:bCs w:val="0"/>
          <w:color w:val="333333"/>
          <w:sz w:val="28"/>
          <w:szCs w:val="28"/>
        </w:rPr>
        <w:t>功能完好</w:t>
      </w:r>
      <w:r>
        <w:rPr>
          <w:rFonts w:hint="eastAsia" w:ascii="仿宋" w:hAnsi="仿宋" w:eastAsia="仿宋" w:cs="仿宋"/>
          <w:b w:val="0"/>
          <w:bCs w:val="0"/>
          <w:color w:val="333333"/>
          <w:sz w:val="28"/>
          <w:szCs w:val="28"/>
          <w:lang w:eastAsia="zh-CN"/>
        </w:rPr>
        <w:t>。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2023年，出院患者总人数3448人、健康体检人次数13229人次、门诊总人次数54769人、中医门诊人次数1564人。年医疗活动收入4399.04万、医疗收入2562.88万元、医疗服务收入1103.95万元。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现有在职职工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172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人，其中卫生专业技术人员1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56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人，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</w:rPr>
        <w:t xml:space="preserve">技术人员占全院职工总数的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lang w:val="en-US" w:eastAsia="zh-CN"/>
        </w:rPr>
        <w:t>91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</w:rPr>
        <w:t>%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</w:rPr>
        <w:t>。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专业技术人员中具有高级职称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14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人，中级职称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43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人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,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中、高级职称卫生技术人员占比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36.5%，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全院注册护士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72人</w:t>
      </w:r>
      <w:r>
        <w:rPr>
          <w:rFonts w:hint="eastAsia" w:ascii="仿宋" w:hAnsi="仿宋" w:eastAsia="仿宋" w:cs="仿宋"/>
          <w:b w:val="0"/>
          <w:bCs w:val="0"/>
          <w:color w:val="333333"/>
          <w:sz w:val="28"/>
          <w:szCs w:val="28"/>
        </w:rPr>
        <w:t xml:space="preserve"> </w:t>
      </w:r>
      <w:r>
        <w:rPr>
          <w:rFonts w:hint="eastAsia" w:ascii="仿宋" w:hAnsi="仿宋" w:eastAsia="仿宋" w:cs="仿宋"/>
          <w:b w:val="0"/>
          <w:bCs w:val="0"/>
          <w:color w:val="333333"/>
          <w:sz w:val="28"/>
          <w:szCs w:val="28"/>
          <w:lang w:eastAsia="zh-CN"/>
        </w:rPr>
        <w:t>，医护比</w:t>
      </w:r>
      <w:r>
        <w:rPr>
          <w:rFonts w:hint="eastAsia" w:ascii="仿宋" w:hAnsi="仿宋" w:eastAsia="仿宋" w:cs="仿宋"/>
          <w:b w:val="0"/>
          <w:bCs w:val="0"/>
          <w:color w:val="333333"/>
          <w:sz w:val="28"/>
          <w:szCs w:val="28"/>
          <w:lang w:val="en-US" w:eastAsia="zh-CN"/>
        </w:rPr>
        <w:t>1：1.4。</w:t>
      </w:r>
    </w:p>
    <w:p w14:paraId="6CB0779D">
      <w:pPr>
        <w:pStyle w:val="18"/>
        <w:numPr>
          <w:ilvl w:val="0"/>
          <w:numId w:val="1"/>
        </w:numPr>
        <w:ind w:left="640" w:leftChars="0" w:firstLine="0" w:firstLineChars="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一般公共预算出支情况</w:t>
      </w:r>
    </w:p>
    <w:p w14:paraId="2D7B87C3">
      <w:pPr>
        <w:pStyle w:val="18"/>
        <w:numPr>
          <w:ilvl w:val="0"/>
          <w:numId w:val="0"/>
        </w:numPr>
        <w:ind w:left="640" w:leftChars="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（一）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收入支出决算总体情况说明</w:t>
      </w:r>
    </w:p>
    <w:p w14:paraId="78AB7A20">
      <w:pPr>
        <w:pStyle w:val="18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560" w:firstLineChars="200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202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年度收、支总计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4399.04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万元。与上年相比，增加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78.5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万元，增长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1.8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%，主要是因为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增加妇女儿童健康服务能力提升建设项目专项债券资金。</w:t>
      </w:r>
    </w:p>
    <w:p w14:paraId="623396DA">
      <w:pPr>
        <w:pStyle w:val="18"/>
        <w:ind w:firstLine="560" w:firstLineChars="20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（二）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收入决算情况说明</w:t>
      </w:r>
    </w:p>
    <w:p w14:paraId="2A19FDE5">
      <w:pPr>
        <w:pStyle w:val="18"/>
        <w:ind w:firstLine="560" w:firstLineChars="20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202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年度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本年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收入合计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4399.04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万元，其中：财政拨款收入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1836.16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万元，占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41.74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%；上级补助收入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0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万元，占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0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%；事业收入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2565.88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万元，占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58.26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%；经营收入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0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万元，占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0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%；附属单位上缴收入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0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万元，占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0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%；其他收入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0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万元，占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0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%。</w:t>
      </w:r>
    </w:p>
    <w:p w14:paraId="2430353F">
      <w:pPr>
        <w:pStyle w:val="18"/>
        <w:ind w:firstLine="560" w:firstLineChars="20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（三）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支出决算情况说明</w:t>
      </w:r>
    </w:p>
    <w:p w14:paraId="6A6C844D">
      <w:pPr>
        <w:pStyle w:val="18"/>
        <w:ind w:firstLine="560" w:firstLineChars="20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202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年度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本年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支出合计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4399.04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万元，其中：基本支出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3599.04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万元，占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81.81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%；项目支出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800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万元，占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18.19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%。</w:t>
      </w:r>
    </w:p>
    <w:p w14:paraId="4DFB448A">
      <w:pPr>
        <w:pStyle w:val="18"/>
        <w:ind w:firstLine="560" w:firstLineChars="20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（四）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财政拨款收入支出决算总体情况说明</w:t>
      </w:r>
    </w:p>
    <w:p w14:paraId="1BAB4814">
      <w:pPr>
        <w:pStyle w:val="18"/>
        <w:ind w:firstLine="560" w:firstLineChars="20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202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年度财政拨款收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入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总计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1836.16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万元，与上年相比，增加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92.8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万元,增长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5.3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%，主要是因为本年度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增加妇女儿童健康服务能力提升建设项目专项债券资金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。</w:t>
      </w:r>
    </w:p>
    <w:p w14:paraId="6ED88F64">
      <w:pPr>
        <w:pStyle w:val="18"/>
        <w:ind w:firstLine="560" w:firstLineChars="20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202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年度财政拨款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支出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总计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1836.16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万元，与上年相比，增加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92.8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万元,增长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5.3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%，主要是因为本年度支付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妇女儿童健康服务能力提升建设项目款项。</w:t>
      </w:r>
    </w:p>
    <w:p w14:paraId="3D6F28C3">
      <w:pPr>
        <w:pStyle w:val="17"/>
        <w:spacing w:line="570" w:lineRule="exact"/>
        <w:ind w:firstLine="640"/>
        <w:jc w:val="left"/>
        <w:outlineLvl w:val="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  <w:t>三、政府性基金预算支出情况。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妇女儿童健康服务能力提升建设项目专项债券资金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  <w:t>政府性基金预算支出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  <w:lang w:val="en-US" w:eastAsia="zh-CN"/>
        </w:rPr>
        <w:t>500万元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  <w:lang w:eastAsia="zh-CN"/>
        </w:rPr>
        <w:t>。</w:t>
      </w:r>
    </w:p>
    <w:p w14:paraId="088EA028">
      <w:pPr>
        <w:pStyle w:val="17"/>
        <w:spacing w:line="570" w:lineRule="exact"/>
        <w:ind w:firstLine="640"/>
        <w:jc w:val="left"/>
        <w:outlineLvl w:val="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  <w:t>四、国有资本经营预算支出情况。我单位无国有资本经营预算支出情况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  <w:lang w:eastAsia="zh-CN"/>
        </w:rPr>
        <w:t>。</w:t>
      </w:r>
    </w:p>
    <w:p w14:paraId="1226C5BE">
      <w:pPr>
        <w:pStyle w:val="17"/>
        <w:spacing w:line="570" w:lineRule="exact"/>
        <w:ind w:firstLine="640"/>
        <w:jc w:val="left"/>
        <w:outlineLvl w:val="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  <w:t>五、社会保险基金预算支出情况。我单位无社会保险基金预算支出情况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  <w:lang w:eastAsia="zh-CN"/>
        </w:rPr>
        <w:t>。</w:t>
      </w:r>
    </w:p>
    <w:p w14:paraId="32B67A00">
      <w:pPr>
        <w:pStyle w:val="17"/>
        <w:spacing w:line="570" w:lineRule="exact"/>
        <w:ind w:firstLine="640"/>
        <w:jc w:val="left"/>
        <w:outlineLvl w:val="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</w:pP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六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  <w:t>、部门整体支出绩效情况</w:t>
      </w:r>
    </w:p>
    <w:p w14:paraId="698AFECD">
      <w:pPr>
        <w:pStyle w:val="17"/>
        <w:spacing w:line="570" w:lineRule="exact"/>
        <w:ind w:firstLine="640"/>
        <w:jc w:val="left"/>
        <w:outlineLvl w:val="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  <w:t>　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  <w:lang w:val="en-US" w:eastAsia="zh-CN"/>
        </w:rPr>
        <w:t>2023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  <w:t>年，我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  <w:lang w:val="en-US" w:eastAsia="zh-CN"/>
        </w:rPr>
        <w:t>院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  <w:t>积极履职，强化管理，较好地完成了年度工作目标。通过加强预算收支管理，不断建立健全内部管理制度，梳理内部管理流程，部门整体支出管理水平得到提升。</w:t>
      </w:r>
    </w:p>
    <w:p w14:paraId="67C78A11">
      <w:pPr>
        <w:pStyle w:val="17"/>
        <w:spacing w:line="570" w:lineRule="exact"/>
        <w:ind w:firstLine="640"/>
        <w:jc w:val="left"/>
        <w:outlineLvl w:val="0"/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</w:pP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  <w:t>七、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存在的问题及原因分析</w:t>
      </w:r>
    </w:p>
    <w:p w14:paraId="1DACFD52">
      <w:pPr>
        <w:pStyle w:val="17"/>
        <w:spacing w:line="570" w:lineRule="exact"/>
        <w:ind w:firstLine="640"/>
        <w:jc w:val="left"/>
        <w:outlineLvl w:val="0"/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</w:pP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  <w:t>1、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智慧服务发展方面。信息化较综合医院滞后，诊间结算、移动支付、网上查询与推送检查检验结果等智慧服务不完善，门诊服务对象预约人数、复诊人数以及患者预约等待时间、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  <w:t>转介工作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等等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只能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靠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人工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统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算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，增加了工作难度及数据提取的准确性。</w:t>
      </w:r>
    </w:p>
    <w:p w14:paraId="0205FF08">
      <w:pPr>
        <w:pStyle w:val="17"/>
        <w:spacing w:line="570" w:lineRule="exact"/>
        <w:ind w:firstLine="640"/>
        <w:jc w:val="left"/>
        <w:outlineLvl w:val="0"/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</w:pP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  <w:t>2、学科、专科项目开展少。在出生人口下降影响下，面临着业务扩展升级和服务模式创新的严峻挑战。因人才引进困难（因为地域、设备设施、待遇等原因，导致人才引进困难，特别是相关专业学科带头人及专业性强的技术人员引进困难，多次人才招聘拟引进人才均未能按计划完成，特别是学科带头人、B超诊断医师、中医师、招聘存在较大困难,限制了服务项目的拓展(如小儿外科、乳腺外科等专科建设)。</w:t>
      </w:r>
    </w:p>
    <w:p w14:paraId="2F696727">
      <w:pPr>
        <w:pStyle w:val="17"/>
        <w:spacing w:line="570" w:lineRule="exact"/>
        <w:ind w:firstLine="640"/>
        <w:jc w:val="left"/>
        <w:outlineLvl w:val="0"/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</w:pP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  <w:t>3、基于“大部制”的绩效分配体系不完善。“大部制”改革后，因人员欠缺，保健与临床业务能力、业务水平整体不高，从事保健的人员短期内无法胜任临床工作，从事临床工作的人员短期内无法胜任保健工作。</w:t>
      </w:r>
    </w:p>
    <w:p w14:paraId="1985EA36">
      <w:pPr>
        <w:pStyle w:val="17"/>
        <w:spacing w:line="570" w:lineRule="exact"/>
        <w:ind w:firstLine="640"/>
        <w:jc w:val="left"/>
        <w:outlineLvl w:val="0"/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</w:pP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  <w:t>八、意见建议</w:t>
      </w:r>
    </w:p>
    <w:p w14:paraId="089B8604">
      <w:pPr>
        <w:pStyle w:val="17"/>
        <w:spacing w:line="570" w:lineRule="exact"/>
        <w:ind w:firstLine="640"/>
        <w:jc w:val="left"/>
        <w:outlineLvl w:val="0"/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</w:pP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1、 积极争取政府重视，加大财政支持力度，做好经费保障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，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使服务项目能够顺利开展。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完善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人才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引进机制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，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为加快人才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  <w:t>引进提供保障。</w:t>
      </w:r>
    </w:p>
    <w:p w14:paraId="66548BFC">
      <w:pPr>
        <w:pStyle w:val="17"/>
        <w:spacing w:line="570" w:lineRule="exact"/>
        <w:ind w:firstLine="640"/>
        <w:jc w:val="left"/>
        <w:outlineLvl w:val="0"/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</w:pP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 xml:space="preserve">2、 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开展多学科、省、市重点专科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建设项目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，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  <w:t>提高儿童保健服务、妇女保健服务的专业性水平，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能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更全面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满足广大妇女儿童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全生命周期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的服务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。</w:t>
      </w:r>
    </w:p>
    <w:p w14:paraId="67F50155">
      <w:pPr>
        <w:pStyle w:val="17"/>
        <w:spacing w:line="570" w:lineRule="exact"/>
        <w:ind w:firstLine="640"/>
        <w:jc w:val="left"/>
        <w:outlineLvl w:val="0"/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</w:pP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 xml:space="preserve">3、 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eastAsia="zh-CN"/>
        </w:rPr>
        <w:t>加大人才培养经费支出。加快人才培养，特别是复合型人才、专业性极强人才及学科带头人的培养；</w:t>
      </w: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</w:rPr>
        <w:t>加强乡村两级妇幼保健人员培训， 提高业务能力和服务水平。</w:t>
      </w:r>
    </w:p>
    <w:p w14:paraId="6A33D44D">
      <w:pPr>
        <w:pStyle w:val="17"/>
        <w:spacing w:line="570" w:lineRule="exact"/>
        <w:ind w:firstLine="640"/>
        <w:jc w:val="left"/>
        <w:outlineLvl w:val="0"/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</w:pPr>
      <w:r>
        <w:rPr>
          <w:rStyle w:val="9"/>
          <w:rFonts w:hint="eastAsia" w:ascii="仿宋" w:hAnsi="仿宋" w:eastAsia="仿宋" w:cs="仿宋"/>
          <w:b w:val="0"/>
          <w:bCs w:val="0"/>
          <w:color w:val="auto"/>
          <w:sz w:val="28"/>
          <w:szCs w:val="28"/>
          <w:shd w:val="clear" w:fill="FFFFFF"/>
          <w:lang w:val="en-US" w:eastAsia="zh-CN"/>
        </w:rPr>
        <w:t>4、加强宣传力度。做到我院的健康理念服务让全县人民妇孺皆知，周边县的老百姓家喻户晓。</w:t>
      </w:r>
    </w:p>
    <w:p w14:paraId="06D39B1F">
      <w:pPr>
        <w:pStyle w:val="17"/>
        <w:spacing w:line="570" w:lineRule="exact"/>
        <w:ind w:left="0" w:leftChars="0" w:firstLine="560" w:firstLineChars="200"/>
        <w:jc w:val="left"/>
        <w:outlineLvl w:val="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  <w:t>九、绩效自评结果拟应用和公开情况</w:t>
      </w:r>
    </w:p>
    <w:p w14:paraId="015DBC8B">
      <w:pPr>
        <w:pStyle w:val="17"/>
        <w:spacing w:line="570" w:lineRule="exact"/>
        <w:ind w:firstLine="640"/>
        <w:jc w:val="left"/>
        <w:outlineLvl w:val="0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  <w:t>根据预算绩效管理要求，我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  <w:lang w:val="en-US" w:eastAsia="zh-CN"/>
        </w:rPr>
        <w:t>院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  <w:t>认真贯彻国家和省、市关于预算绩效管理工作的有关要求，确定部门预算项目和预算额度，清晰描述预算项目开支范围和内容，确定预算项目的绩效目标、绩效指标和评价标准，为预算绩效控制、绩效分析、绩效评价打下好的基础。建立了绩效管理贯穿预算全过程的机制。</w:t>
      </w:r>
    </w:p>
    <w:p w14:paraId="557D2846">
      <w:pPr>
        <w:spacing w:after="120" w:afterLines="50" w:line="600" w:lineRule="exact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highlight w:val="none"/>
        </w:rPr>
        <w:t>　　</w:t>
      </w:r>
    </w:p>
    <w:p w14:paraId="696A2D5D">
      <w:pPr>
        <w:pStyle w:val="4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</w:pPr>
    </w:p>
    <w:p w14:paraId="26F90F89">
      <w:pPr>
        <w:pStyle w:val="18"/>
        <w:jc w:val="center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</w:pPr>
    </w:p>
    <w:p w14:paraId="5878ABF6">
      <w:pPr>
        <w:pStyle w:val="18"/>
        <w:jc w:val="center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</w:pPr>
    </w:p>
    <w:p w14:paraId="580250BD">
      <w:pPr>
        <w:pStyle w:val="18"/>
        <w:jc w:val="center"/>
        <w:rPr>
          <w:color w:val="auto"/>
          <w:sz w:val="72"/>
          <w:szCs w:val="72"/>
        </w:rPr>
      </w:pPr>
    </w:p>
    <w:p w14:paraId="4FE0AA5A">
      <w:pPr>
        <w:spacing w:after="0" w:afterLines="0" w:line="56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 w14:paraId="68995BC3">
      <w:pPr>
        <w:spacing w:after="0" w:afterLines="0" w:line="56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 w14:paraId="79216B44">
      <w:pPr>
        <w:spacing w:after="120" w:afterLines="50" w:line="520" w:lineRule="exact"/>
        <w:jc w:val="center"/>
        <w:outlineLvl w:val="1"/>
        <w:rPr>
          <w:rFonts w:hint="eastAsia" w:ascii="方正小标宋简体" w:eastAsia="方正小标宋简体"/>
          <w:color w:val="auto"/>
          <w:sz w:val="44"/>
          <w:szCs w:val="44"/>
          <w:highlight w:val="none"/>
        </w:rPr>
      </w:pPr>
      <w:r>
        <w:rPr>
          <w:rFonts w:hint="eastAsia" w:ascii="方正小标宋简体" w:eastAsia="方正小标宋简体"/>
          <w:color w:val="auto"/>
          <w:sz w:val="44"/>
          <w:szCs w:val="44"/>
          <w:highlight w:val="none"/>
        </w:rPr>
        <w:t>202</w:t>
      </w:r>
      <w:r>
        <w:rPr>
          <w:rFonts w:hint="eastAsia" w:ascii="方正小标宋简体" w:eastAsia="方正小标宋简体"/>
          <w:color w:val="auto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eastAsia="方正小标宋简体"/>
          <w:color w:val="auto"/>
          <w:sz w:val="44"/>
          <w:szCs w:val="44"/>
          <w:highlight w:val="none"/>
        </w:rPr>
        <w:t>年度部门整体支出绩效评价基础数据表</w:t>
      </w:r>
    </w:p>
    <w:tbl>
      <w:tblPr>
        <w:tblStyle w:val="7"/>
        <w:tblW w:w="960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0"/>
        <w:gridCol w:w="1062"/>
        <w:gridCol w:w="784"/>
        <w:gridCol w:w="1228"/>
        <w:gridCol w:w="1062"/>
        <w:gridCol w:w="1027"/>
        <w:gridCol w:w="1045"/>
      </w:tblGrid>
      <w:tr w14:paraId="6DAEAE6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Merge w:val="restart"/>
            <w:noWrap w:val="0"/>
            <w:vAlign w:val="center"/>
          </w:tcPr>
          <w:p w14:paraId="2EC771AE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221A5752">
            <w:pPr>
              <w:jc w:val="center"/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90" w:type="dxa"/>
            <w:gridSpan w:val="2"/>
            <w:noWrap w:val="0"/>
            <w:vAlign w:val="center"/>
          </w:tcPr>
          <w:p w14:paraId="662EF936">
            <w:pPr>
              <w:jc w:val="center"/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  <w:t>202</w:t>
            </w:r>
            <w:r>
              <w:rPr>
                <w:rFonts w:hint="eastAsia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72" w:type="dxa"/>
            <w:gridSpan w:val="2"/>
            <w:noWrap w:val="0"/>
            <w:vAlign w:val="center"/>
          </w:tcPr>
          <w:p w14:paraId="227ABEB4">
            <w:pPr>
              <w:jc w:val="center"/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  <w:t>控制率</w:t>
            </w:r>
          </w:p>
        </w:tc>
      </w:tr>
      <w:tr w14:paraId="686DD3D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3400" w:type="dxa"/>
            <w:vMerge w:val="continue"/>
            <w:noWrap w:val="0"/>
            <w:vAlign w:val="center"/>
          </w:tcPr>
          <w:p w14:paraId="18586DB1">
            <w:pPr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846" w:type="dxa"/>
            <w:gridSpan w:val="2"/>
            <w:noWrap w:val="0"/>
            <w:vAlign w:val="center"/>
          </w:tcPr>
          <w:p w14:paraId="3500DBCD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  <w:t>99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90" w:type="dxa"/>
            <w:gridSpan w:val="2"/>
            <w:noWrap w:val="0"/>
            <w:vAlign w:val="center"/>
          </w:tcPr>
          <w:p w14:paraId="0B6C91D3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  <w:t>79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72" w:type="dxa"/>
            <w:gridSpan w:val="2"/>
            <w:noWrap w:val="0"/>
            <w:vAlign w:val="center"/>
          </w:tcPr>
          <w:p w14:paraId="40FC4A5A">
            <w:pPr>
              <w:jc w:val="both"/>
              <w:rPr>
                <w:rFonts w:hint="default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  <w:t>125%</w:t>
            </w:r>
          </w:p>
        </w:tc>
      </w:tr>
      <w:tr w14:paraId="06FA1AF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1E8F40E9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2CBF6372">
            <w:pPr>
              <w:jc w:val="center"/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  <w:t>202</w:t>
            </w:r>
            <w:r>
              <w:rPr>
                <w:rFonts w:hint="eastAsia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90" w:type="dxa"/>
            <w:gridSpan w:val="2"/>
            <w:noWrap w:val="0"/>
            <w:vAlign w:val="center"/>
          </w:tcPr>
          <w:p w14:paraId="260E8A96">
            <w:pPr>
              <w:jc w:val="center"/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  <w:t>202</w:t>
            </w:r>
            <w:r>
              <w:rPr>
                <w:rFonts w:hint="eastAsia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72" w:type="dxa"/>
            <w:gridSpan w:val="2"/>
            <w:noWrap w:val="0"/>
            <w:vAlign w:val="center"/>
          </w:tcPr>
          <w:p w14:paraId="2F566B20">
            <w:pPr>
              <w:jc w:val="center"/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  <w:t>202</w:t>
            </w:r>
            <w:r>
              <w:rPr>
                <w:rFonts w:hint="eastAsia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eastAsia="仿宋_GB2312"/>
                <w:b/>
                <w:bCs/>
                <w:color w:val="auto"/>
                <w:sz w:val="20"/>
                <w:szCs w:val="20"/>
                <w:highlight w:val="none"/>
              </w:rPr>
              <w:t>年决算数</w:t>
            </w:r>
          </w:p>
        </w:tc>
      </w:tr>
      <w:tr w14:paraId="49D16F1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3400" w:type="dxa"/>
            <w:noWrap w:val="0"/>
            <w:vAlign w:val="center"/>
          </w:tcPr>
          <w:p w14:paraId="47579C46">
            <w:pPr>
              <w:jc w:val="center"/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>一、部门基本支出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0D7F5141">
            <w:pPr>
              <w:jc w:val="center"/>
              <w:rPr>
                <w:rFonts w:hint="default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4320.54</w:t>
            </w:r>
          </w:p>
        </w:tc>
        <w:tc>
          <w:tcPr>
            <w:tcW w:w="2290" w:type="dxa"/>
            <w:gridSpan w:val="2"/>
            <w:noWrap w:val="0"/>
            <w:vAlign w:val="center"/>
          </w:tcPr>
          <w:p w14:paraId="13AF573A">
            <w:pPr>
              <w:jc w:val="center"/>
              <w:rPr>
                <w:rFonts w:hint="default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4399.04</w:t>
            </w:r>
          </w:p>
        </w:tc>
        <w:tc>
          <w:tcPr>
            <w:tcW w:w="2072" w:type="dxa"/>
            <w:gridSpan w:val="2"/>
            <w:noWrap w:val="0"/>
            <w:vAlign w:val="center"/>
          </w:tcPr>
          <w:p w14:paraId="1F01E0D9">
            <w:pPr>
              <w:jc w:val="center"/>
              <w:rPr>
                <w:rFonts w:hint="default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4399.04</w:t>
            </w:r>
          </w:p>
        </w:tc>
      </w:tr>
      <w:tr w14:paraId="6985858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2170B6CF">
            <w:pP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>其中：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72EACD0F">
            <w:pPr>
              <w:jc w:val="center"/>
              <w:rPr>
                <w:rFonts w:hint="default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53</w:t>
            </w:r>
          </w:p>
        </w:tc>
        <w:tc>
          <w:tcPr>
            <w:tcW w:w="2290" w:type="dxa"/>
            <w:gridSpan w:val="2"/>
            <w:noWrap w:val="0"/>
            <w:vAlign w:val="center"/>
          </w:tcPr>
          <w:p w14:paraId="06CCB864">
            <w:pPr>
              <w:jc w:val="center"/>
              <w:rPr>
                <w:rFonts w:hint="default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48</w:t>
            </w:r>
          </w:p>
        </w:tc>
        <w:tc>
          <w:tcPr>
            <w:tcW w:w="2072" w:type="dxa"/>
            <w:gridSpan w:val="2"/>
            <w:noWrap w:val="0"/>
            <w:vAlign w:val="center"/>
          </w:tcPr>
          <w:p w14:paraId="3D6366D0">
            <w:pPr>
              <w:jc w:val="center"/>
              <w:rPr>
                <w:rFonts w:hint="default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48</w:t>
            </w:r>
          </w:p>
        </w:tc>
      </w:tr>
      <w:tr w14:paraId="1F20866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4C35D36C">
            <w:pPr>
              <w:ind w:firstLine="600" w:firstLineChars="300"/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其中：办公费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594B473C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  <w:t>38</w:t>
            </w:r>
          </w:p>
        </w:tc>
        <w:tc>
          <w:tcPr>
            <w:tcW w:w="2290" w:type="dxa"/>
            <w:gridSpan w:val="2"/>
            <w:noWrap w:val="0"/>
            <w:vAlign w:val="center"/>
          </w:tcPr>
          <w:p w14:paraId="1871BE99">
            <w:pPr>
              <w:jc w:val="center"/>
              <w:rPr>
                <w:rFonts w:hint="default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  <w:t>48</w:t>
            </w:r>
          </w:p>
        </w:tc>
        <w:tc>
          <w:tcPr>
            <w:tcW w:w="2072" w:type="dxa"/>
            <w:gridSpan w:val="2"/>
            <w:noWrap w:val="0"/>
            <w:vAlign w:val="center"/>
          </w:tcPr>
          <w:p w14:paraId="3908AE7F">
            <w:pPr>
              <w:jc w:val="center"/>
              <w:rPr>
                <w:rFonts w:hint="default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  <w:t>48</w:t>
            </w:r>
          </w:p>
        </w:tc>
      </w:tr>
      <w:tr w14:paraId="0DDD05D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42F02240">
            <w:pPr>
              <w:ind w:firstLine="600" w:firstLineChars="300"/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水费、电费、差旅费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4AFF4FFE">
            <w:pPr>
              <w:jc w:val="center"/>
              <w:rPr>
                <w:rFonts w:hint="default" w:eastAsia="仿宋_GB2312"/>
                <w:color w:val="auto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  <w:t>8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90" w:type="dxa"/>
            <w:gridSpan w:val="2"/>
            <w:noWrap w:val="0"/>
            <w:vAlign w:val="center"/>
          </w:tcPr>
          <w:p w14:paraId="5CBCACBE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2072" w:type="dxa"/>
            <w:gridSpan w:val="2"/>
            <w:noWrap w:val="0"/>
            <w:vAlign w:val="center"/>
          </w:tcPr>
          <w:p w14:paraId="1D3CBB42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</w:p>
        </w:tc>
      </w:tr>
      <w:tr w14:paraId="76996F2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29F6F021">
            <w:pPr>
              <w:ind w:firstLine="600" w:firstLineChars="300"/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会议费、培训费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4F55BE47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  <w:t>7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90" w:type="dxa"/>
            <w:gridSpan w:val="2"/>
            <w:noWrap w:val="0"/>
            <w:vAlign w:val="center"/>
          </w:tcPr>
          <w:p w14:paraId="493140E5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2072" w:type="dxa"/>
            <w:gridSpan w:val="2"/>
            <w:noWrap w:val="0"/>
            <w:vAlign w:val="center"/>
          </w:tcPr>
          <w:p w14:paraId="2CC9C8D6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</w:p>
        </w:tc>
      </w:tr>
      <w:tr w14:paraId="3CC010A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1AC55EA6">
            <w:pPr>
              <w:ind w:firstLine="600" w:firstLineChars="300"/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54E4412D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90" w:type="dxa"/>
            <w:gridSpan w:val="2"/>
            <w:noWrap w:val="0"/>
            <w:vAlign w:val="center"/>
          </w:tcPr>
          <w:p w14:paraId="155075C2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72" w:type="dxa"/>
            <w:gridSpan w:val="2"/>
            <w:noWrap w:val="0"/>
            <w:vAlign w:val="center"/>
          </w:tcPr>
          <w:p w14:paraId="2452284C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 w14:paraId="793DD8F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47A2FF7B">
            <w:pPr>
              <w:ind w:firstLine="600" w:firstLineChars="300"/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1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>.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公务用车购置和维护经费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0F740DD6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90" w:type="dxa"/>
            <w:gridSpan w:val="2"/>
            <w:noWrap w:val="0"/>
            <w:vAlign w:val="center"/>
          </w:tcPr>
          <w:p w14:paraId="61916EC7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72" w:type="dxa"/>
            <w:gridSpan w:val="2"/>
            <w:noWrap w:val="0"/>
            <w:vAlign w:val="center"/>
          </w:tcPr>
          <w:p w14:paraId="22F5424C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 w14:paraId="66FB859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463ADFCA">
            <w:pPr>
              <w:ind w:firstLine="600" w:firstLineChars="300"/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其中：公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  <w:lang w:eastAsia="zh-CN"/>
              </w:rPr>
              <w:t>务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车购置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7EF86AA3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90" w:type="dxa"/>
            <w:gridSpan w:val="2"/>
            <w:noWrap w:val="0"/>
            <w:vAlign w:val="center"/>
          </w:tcPr>
          <w:p w14:paraId="24951135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72" w:type="dxa"/>
            <w:gridSpan w:val="2"/>
            <w:noWrap w:val="0"/>
            <w:vAlign w:val="center"/>
          </w:tcPr>
          <w:p w14:paraId="43CC9D0F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 w14:paraId="5D2B3E7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70601E08">
            <w:pPr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 xml:space="preserve">      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 xml:space="preserve">      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公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  <w:lang w:eastAsia="zh-CN"/>
              </w:rPr>
              <w:t>务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车运行维护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0FA9537D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90" w:type="dxa"/>
            <w:gridSpan w:val="2"/>
            <w:noWrap w:val="0"/>
            <w:vAlign w:val="center"/>
          </w:tcPr>
          <w:p w14:paraId="6EBB2E4D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72" w:type="dxa"/>
            <w:gridSpan w:val="2"/>
            <w:noWrap w:val="0"/>
            <w:vAlign w:val="center"/>
          </w:tcPr>
          <w:p w14:paraId="416FEB6A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 w14:paraId="21F268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48021334">
            <w:pPr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 xml:space="preserve">  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 xml:space="preserve">    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2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>.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出国经费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24CEBAD0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2290" w:type="dxa"/>
            <w:gridSpan w:val="2"/>
            <w:noWrap w:val="0"/>
            <w:vAlign w:val="center"/>
          </w:tcPr>
          <w:p w14:paraId="677845A3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2072" w:type="dxa"/>
            <w:gridSpan w:val="2"/>
            <w:noWrap w:val="0"/>
            <w:vAlign w:val="center"/>
          </w:tcPr>
          <w:p w14:paraId="3B4FAB15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</w:p>
        </w:tc>
      </w:tr>
      <w:tr w14:paraId="4BE9F66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2064EB73">
            <w:pPr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 xml:space="preserve"> 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 xml:space="preserve">    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 xml:space="preserve"> 3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>.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公务接待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4DCCB499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2290" w:type="dxa"/>
            <w:gridSpan w:val="2"/>
            <w:noWrap w:val="0"/>
            <w:vAlign w:val="center"/>
          </w:tcPr>
          <w:p w14:paraId="28312827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2072" w:type="dxa"/>
            <w:gridSpan w:val="2"/>
            <w:noWrap w:val="0"/>
            <w:vAlign w:val="center"/>
          </w:tcPr>
          <w:p w14:paraId="44337875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</w:p>
        </w:tc>
      </w:tr>
      <w:tr w14:paraId="5C27BA0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49C8FA4F">
            <w:pPr>
              <w:ind w:firstLine="800" w:firstLineChars="400"/>
              <w:jc w:val="left"/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>二、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项目支出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>小计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3CC9DF72">
            <w:pPr>
              <w:jc w:val="center"/>
              <w:rPr>
                <w:rFonts w:hint="default" w:eastAsia="仿宋_GB2312"/>
                <w:color w:val="auto"/>
                <w:sz w:val="20"/>
                <w:szCs w:val="20"/>
                <w:highlight w:val="yellow"/>
                <w:lang w:val="en-US" w:eastAsia="zh-CN"/>
              </w:rPr>
            </w:pPr>
          </w:p>
        </w:tc>
        <w:tc>
          <w:tcPr>
            <w:tcW w:w="2290" w:type="dxa"/>
            <w:gridSpan w:val="2"/>
            <w:noWrap w:val="0"/>
            <w:vAlign w:val="center"/>
          </w:tcPr>
          <w:p w14:paraId="306D057B">
            <w:pPr>
              <w:jc w:val="center"/>
              <w:rPr>
                <w:rFonts w:hint="default" w:eastAsia="仿宋_GB2312"/>
                <w:color w:val="auto"/>
                <w:sz w:val="20"/>
                <w:szCs w:val="20"/>
                <w:highlight w:val="yellow"/>
                <w:lang w:val="en-US" w:eastAsia="zh-CN"/>
              </w:rPr>
            </w:pPr>
          </w:p>
        </w:tc>
        <w:tc>
          <w:tcPr>
            <w:tcW w:w="2072" w:type="dxa"/>
            <w:gridSpan w:val="2"/>
            <w:noWrap w:val="0"/>
            <w:vAlign w:val="center"/>
          </w:tcPr>
          <w:p w14:paraId="2354D4E8">
            <w:pPr>
              <w:jc w:val="center"/>
              <w:rPr>
                <w:rFonts w:hint="default" w:eastAsia="仿宋_GB2312"/>
                <w:color w:val="auto"/>
                <w:sz w:val="20"/>
                <w:szCs w:val="20"/>
                <w:highlight w:val="yellow"/>
                <w:lang w:val="en-US" w:eastAsia="zh-CN"/>
              </w:rPr>
            </w:pPr>
          </w:p>
        </w:tc>
      </w:tr>
      <w:tr w14:paraId="54DEA69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5A206262">
            <w:pPr>
              <w:jc w:val="left"/>
              <w:rPr>
                <w:rFonts w:hint="default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 xml:space="preserve">  1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>.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  <w:t>业务工作专项经费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6CD9A49A">
            <w:pPr>
              <w:jc w:val="center"/>
              <w:rPr>
                <w:rFonts w:hint="default" w:eastAsia="仿宋_GB2312"/>
                <w:color w:val="auto"/>
                <w:sz w:val="20"/>
                <w:szCs w:val="20"/>
                <w:highlight w:val="yellow"/>
                <w:lang w:val="en-US" w:eastAsia="zh-CN"/>
              </w:rPr>
            </w:pPr>
          </w:p>
        </w:tc>
        <w:tc>
          <w:tcPr>
            <w:tcW w:w="2290" w:type="dxa"/>
            <w:gridSpan w:val="2"/>
            <w:noWrap w:val="0"/>
            <w:vAlign w:val="center"/>
          </w:tcPr>
          <w:p w14:paraId="089A898E">
            <w:pPr>
              <w:jc w:val="center"/>
              <w:rPr>
                <w:rFonts w:hint="default" w:eastAsia="仿宋_GB2312"/>
                <w:color w:val="auto"/>
                <w:sz w:val="20"/>
                <w:szCs w:val="20"/>
                <w:highlight w:val="yellow"/>
                <w:lang w:val="en-US" w:eastAsia="zh-CN"/>
              </w:rPr>
            </w:pPr>
          </w:p>
        </w:tc>
        <w:tc>
          <w:tcPr>
            <w:tcW w:w="2072" w:type="dxa"/>
            <w:gridSpan w:val="2"/>
            <w:noWrap w:val="0"/>
            <w:vAlign w:val="center"/>
          </w:tcPr>
          <w:p w14:paraId="1D170412">
            <w:pPr>
              <w:jc w:val="center"/>
              <w:rPr>
                <w:rFonts w:hint="default" w:eastAsia="仿宋_GB2312"/>
                <w:color w:val="auto"/>
                <w:sz w:val="20"/>
                <w:szCs w:val="20"/>
                <w:highlight w:val="yellow"/>
                <w:lang w:val="en-US" w:eastAsia="zh-CN"/>
              </w:rPr>
            </w:pPr>
          </w:p>
        </w:tc>
      </w:tr>
      <w:tr w14:paraId="49CB197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4F45D58F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31E2307E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290" w:type="dxa"/>
            <w:gridSpan w:val="2"/>
            <w:noWrap w:val="0"/>
            <w:vAlign w:val="center"/>
          </w:tcPr>
          <w:p w14:paraId="489FAFF0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072" w:type="dxa"/>
            <w:gridSpan w:val="2"/>
            <w:noWrap w:val="0"/>
            <w:vAlign w:val="center"/>
          </w:tcPr>
          <w:p w14:paraId="62543E4B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</w:tr>
      <w:tr w14:paraId="43678B9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3FDE76A7">
            <w:pPr>
              <w:ind w:firstLine="200" w:firstLineChars="100"/>
              <w:jc w:val="left"/>
              <w:rPr>
                <w:rFonts w:hint="default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2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>.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  <w:lang w:val="en-US" w:eastAsia="zh-CN"/>
              </w:rPr>
              <w:t>业务有房基建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4CDCB702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290" w:type="dxa"/>
            <w:gridSpan w:val="2"/>
            <w:noWrap w:val="0"/>
            <w:vAlign w:val="center"/>
          </w:tcPr>
          <w:p w14:paraId="20FFFA92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072" w:type="dxa"/>
            <w:gridSpan w:val="2"/>
            <w:noWrap w:val="0"/>
            <w:vAlign w:val="center"/>
          </w:tcPr>
          <w:p w14:paraId="33A7D2B9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</w:tr>
      <w:tr w14:paraId="7374B69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536F7390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26B4665D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290" w:type="dxa"/>
            <w:gridSpan w:val="2"/>
            <w:noWrap w:val="0"/>
            <w:vAlign w:val="center"/>
          </w:tcPr>
          <w:p w14:paraId="53648B8B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072" w:type="dxa"/>
            <w:gridSpan w:val="2"/>
            <w:noWrap w:val="0"/>
            <w:vAlign w:val="center"/>
          </w:tcPr>
          <w:p w14:paraId="5AE5D711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</w:tr>
      <w:tr w14:paraId="0A39D30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6517CBAD">
            <w:pPr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 xml:space="preserve">  3</w:t>
            </w: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>.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 xml:space="preserve">（一个项目一行）  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18FC84D7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290" w:type="dxa"/>
            <w:gridSpan w:val="2"/>
            <w:noWrap w:val="0"/>
            <w:vAlign w:val="center"/>
          </w:tcPr>
          <w:p w14:paraId="76C2D9EF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072" w:type="dxa"/>
            <w:gridSpan w:val="2"/>
            <w:noWrap w:val="0"/>
            <w:vAlign w:val="center"/>
          </w:tcPr>
          <w:p w14:paraId="6E41F989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</w:tr>
      <w:tr w14:paraId="08970C4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175DBEDF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6435DEE1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290" w:type="dxa"/>
            <w:gridSpan w:val="2"/>
            <w:noWrap w:val="0"/>
            <w:vAlign w:val="center"/>
          </w:tcPr>
          <w:p w14:paraId="1AE3BA48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072" w:type="dxa"/>
            <w:gridSpan w:val="2"/>
            <w:noWrap w:val="0"/>
            <w:vAlign w:val="center"/>
          </w:tcPr>
          <w:p w14:paraId="38315CD9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</w:tr>
      <w:tr w14:paraId="36BF36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6BBB2404">
            <w:pPr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7FD48FA0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290" w:type="dxa"/>
            <w:gridSpan w:val="2"/>
            <w:noWrap w:val="0"/>
            <w:vAlign w:val="center"/>
          </w:tcPr>
          <w:p w14:paraId="3743B881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072" w:type="dxa"/>
            <w:gridSpan w:val="2"/>
            <w:noWrap w:val="0"/>
            <w:vAlign w:val="center"/>
          </w:tcPr>
          <w:p w14:paraId="29510F64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yellow"/>
              </w:rPr>
            </w:pPr>
          </w:p>
        </w:tc>
      </w:tr>
      <w:tr w14:paraId="2443BA2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noWrap w:val="0"/>
            <w:vAlign w:val="center"/>
          </w:tcPr>
          <w:p w14:paraId="69263A1D">
            <w:pPr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1846" w:type="dxa"/>
            <w:gridSpan w:val="2"/>
            <w:noWrap w:val="0"/>
            <w:vAlign w:val="center"/>
          </w:tcPr>
          <w:p w14:paraId="779B4A04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90" w:type="dxa"/>
            <w:gridSpan w:val="2"/>
            <w:noWrap w:val="0"/>
            <w:vAlign w:val="center"/>
          </w:tcPr>
          <w:p w14:paraId="5EB06C78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72" w:type="dxa"/>
            <w:gridSpan w:val="2"/>
            <w:noWrap w:val="0"/>
            <w:vAlign w:val="center"/>
          </w:tcPr>
          <w:p w14:paraId="3E3D6E57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 w14:paraId="1ECDF0C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3400" w:type="dxa"/>
            <w:vMerge w:val="restart"/>
            <w:noWrap w:val="0"/>
            <w:vAlign w:val="center"/>
          </w:tcPr>
          <w:p w14:paraId="4A40F285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楼堂馆所控制情况</w:t>
            </w:r>
          </w:p>
          <w:p w14:paraId="0E48D02A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（202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  <w:lang w:val="en"/>
              </w:rPr>
              <w:t>2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062" w:type="dxa"/>
            <w:noWrap w:val="0"/>
            <w:vAlign w:val="center"/>
          </w:tcPr>
          <w:p w14:paraId="25731D4E">
            <w:pPr>
              <w:spacing w:line="240" w:lineRule="exact"/>
              <w:jc w:val="center"/>
              <w:rPr>
                <w:rFonts w:eastAsia="仿宋_GB2312"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bCs/>
                <w:color w:val="auto"/>
                <w:sz w:val="20"/>
                <w:szCs w:val="20"/>
                <w:highlight w:val="none"/>
              </w:rPr>
              <w:t>批复规模</w:t>
            </w:r>
          </w:p>
          <w:p w14:paraId="1EE22046">
            <w:pPr>
              <w:spacing w:line="240" w:lineRule="exact"/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bCs/>
                <w:color w:val="auto"/>
                <w:sz w:val="20"/>
                <w:szCs w:val="20"/>
                <w:highlight w:val="none"/>
              </w:rPr>
              <w:t>（</w:t>
            </w:r>
            <w:r>
              <w:rPr>
                <w:bCs/>
                <w:color w:val="auto"/>
                <w:sz w:val="20"/>
                <w:szCs w:val="20"/>
                <w:highlight w:val="none"/>
              </w:rPr>
              <w:t>㎡</w:t>
            </w:r>
            <w:r>
              <w:rPr>
                <w:rFonts w:eastAsia="仿宋_GB2312"/>
                <w:bCs/>
                <w:color w:val="auto"/>
                <w:sz w:val="20"/>
                <w:szCs w:val="20"/>
                <w:highlight w:val="none"/>
              </w:rPr>
              <w:t>）</w:t>
            </w:r>
          </w:p>
        </w:tc>
        <w:tc>
          <w:tcPr>
            <w:tcW w:w="784" w:type="dxa"/>
            <w:noWrap w:val="0"/>
            <w:vAlign w:val="center"/>
          </w:tcPr>
          <w:p w14:paraId="73B8D29C">
            <w:pPr>
              <w:spacing w:line="240" w:lineRule="exact"/>
              <w:jc w:val="center"/>
              <w:rPr>
                <w:color w:val="auto"/>
                <w:highlight w:val="none"/>
              </w:rPr>
            </w:pPr>
            <w:r>
              <w:rPr>
                <w:rFonts w:eastAsia="仿宋_GB2312"/>
                <w:bCs/>
                <w:color w:val="auto"/>
                <w:sz w:val="20"/>
                <w:szCs w:val="20"/>
                <w:highlight w:val="none"/>
              </w:rPr>
              <w:t>实际规模（</w:t>
            </w:r>
            <w:r>
              <w:rPr>
                <w:bCs/>
                <w:color w:val="auto"/>
                <w:sz w:val="20"/>
                <w:szCs w:val="20"/>
                <w:highlight w:val="none"/>
              </w:rPr>
              <w:t>㎡</w:t>
            </w:r>
            <w:r>
              <w:rPr>
                <w:rFonts w:eastAsia="仿宋_GB2312"/>
                <w:bCs/>
                <w:color w:val="auto"/>
                <w:sz w:val="20"/>
                <w:szCs w:val="20"/>
                <w:highlight w:val="none"/>
              </w:rPr>
              <w:t>）</w:t>
            </w:r>
          </w:p>
        </w:tc>
        <w:tc>
          <w:tcPr>
            <w:tcW w:w="1228" w:type="dxa"/>
            <w:noWrap w:val="0"/>
            <w:vAlign w:val="center"/>
          </w:tcPr>
          <w:p w14:paraId="12256D9C">
            <w:pPr>
              <w:spacing w:line="240" w:lineRule="exact"/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bCs/>
                <w:color w:val="auto"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062" w:type="dxa"/>
            <w:noWrap w:val="0"/>
            <w:vAlign w:val="center"/>
          </w:tcPr>
          <w:p w14:paraId="14DA4698">
            <w:pPr>
              <w:spacing w:line="240" w:lineRule="exact"/>
              <w:jc w:val="center"/>
              <w:rPr>
                <w:color w:val="auto"/>
                <w:highlight w:val="none"/>
              </w:rPr>
            </w:pPr>
            <w:r>
              <w:rPr>
                <w:rFonts w:eastAsia="仿宋_GB2312"/>
                <w:bCs/>
                <w:color w:val="auto"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27" w:type="dxa"/>
            <w:noWrap w:val="0"/>
            <w:vAlign w:val="center"/>
          </w:tcPr>
          <w:p w14:paraId="550166A3">
            <w:pPr>
              <w:spacing w:line="240" w:lineRule="exact"/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bCs/>
                <w:color w:val="auto"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1045" w:type="dxa"/>
            <w:noWrap w:val="0"/>
            <w:vAlign w:val="center"/>
          </w:tcPr>
          <w:p w14:paraId="30C2F500">
            <w:pPr>
              <w:spacing w:line="240" w:lineRule="exact"/>
              <w:jc w:val="center"/>
              <w:rPr>
                <w:color w:val="auto"/>
                <w:highlight w:val="none"/>
              </w:rPr>
            </w:pPr>
            <w:r>
              <w:rPr>
                <w:rFonts w:eastAsia="仿宋_GB2312"/>
                <w:bCs/>
                <w:color w:val="auto"/>
                <w:sz w:val="20"/>
                <w:szCs w:val="20"/>
                <w:highlight w:val="none"/>
              </w:rPr>
              <w:t>投资概算控制率</w:t>
            </w:r>
          </w:p>
        </w:tc>
      </w:tr>
      <w:tr w14:paraId="7D37A8F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  <w:jc w:val="center"/>
        </w:trPr>
        <w:tc>
          <w:tcPr>
            <w:tcW w:w="3400" w:type="dxa"/>
            <w:vMerge w:val="continue"/>
            <w:noWrap w:val="0"/>
            <w:vAlign w:val="center"/>
          </w:tcPr>
          <w:p w14:paraId="51788E91">
            <w:pPr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62" w:type="dxa"/>
            <w:noWrap w:val="0"/>
            <w:vAlign w:val="center"/>
          </w:tcPr>
          <w:p w14:paraId="68069DE4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84" w:type="dxa"/>
            <w:noWrap w:val="0"/>
            <w:vAlign w:val="center"/>
          </w:tcPr>
          <w:p w14:paraId="46E1C90C">
            <w:pPr>
              <w:jc w:val="left"/>
              <w:rPr>
                <w:color w:val="auto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8" w:type="dxa"/>
            <w:noWrap w:val="0"/>
            <w:vAlign w:val="center"/>
          </w:tcPr>
          <w:p w14:paraId="700359BE">
            <w:pPr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62" w:type="dxa"/>
            <w:noWrap w:val="0"/>
            <w:vAlign w:val="center"/>
          </w:tcPr>
          <w:p w14:paraId="35A10E88">
            <w:pPr>
              <w:jc w:val="left"/>
              <w:rPr>
                <w:color w:val="auto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27" w:type="dxa"/>
            <w:noWrap w:val="0"/>
            <w:vAlign w:val="center"/>
          </w:tcPr>
          <w:p w14:paraId="0E438C70">
            <w:pPr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45" w:type="dxa"/>
            <w:noWrap w:val="0"/>
            <w:vAlign w:val="center"/>
          </w:tcPr>
          <w:p w14:paraId="59CBFF12">
            <w:pPr>
              <w:jc w:val="left"/>
              <w:rPr>
                <w:color w:val="auto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 w14:paraId="04FDCD3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  <w:jc w:val="center"/>
        </w:trPr>
        <w:tc>
          <w:tcPr>
            <w:tcW w:w="3400" w:type="dxa"/>
            <w:noWrap w:val="0"/>
            <w:vAlign w:val="center"/>
          </w:tcPr>
          <w:p w14:paraId="45C7AE43">
            <w:pPr>
              <w:jc w:val="center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208" w:type="dxa"/>
            <w:gridSpan w:val="6"/>
            <w:noWrap w:val="0"/>
            <w:vAlign w:val="center"/>
          </w:tcPr>
          <w:p w14:paraId="416BE9AF">
            <w:pPr>
              <w:jc w:val="left"/>
              <w:rPr>
                <w:rFonts w:eastAsia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eastAsia="仿宋_GB2312"/>
                <w:color w:val="auto"/>
                <w:sz w:val="20"/>
                <w:szCs w:val="20"/>
                <w:highlight w:val="none"/>
              </w:rPr>
              <w:t>将“过紧日子”的理念融入日常工作，严控一般支出、非刚性支出、控制不合理支出，从严控制“三公”经费支出，确保全员参与、全流程管控。</w:t>
            </w:r>
            <w:r>
              <w:rPr>
                <w:rFonts w:eastAsia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</w:tbl>
    <w:p w14:paraId="4E254D9E">
      <w:pPr>
        <w:rPr>
          <w:rFonts w:hint="eastAsia" w:ascii="仿宋" w:hAnsi="仿宋" w:eastAsia="仿宋" w:cs="仿宋"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EB91F6"/>
    <w:multiLevelType w:val="singleLevel"/>
    <w:tmpl w:val="57EB91F6"/>
    <w:lvl w:ilvl="0" w:tentative="0">
      <w:start w:val="1"/>
      <w:numFmt w:val="chineseCounting"/>
      <w:suff w:val="nothing"/>
      <w:lvlText w:val="%1、"/>
      <w:lvlJc w:val="left"/>
      <w:pPr>
        <w:ind w:left="640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Y0MmE1Njc0ZWU2OWZlNjhmMGYzMzdlNDRiNjI4NzgifQ=="/>
  </w:docVars>
  <w:rsids>
    <w:rsidRoot w:val="668C0B79"/>
    <w:rsid w:val="077E5F0A"/>
    <w:rsid w:val="111B02A9"/>
    <w:rsid w:val="137968EC"/>
    <w:rsid w:val="2296645D"/>
    <w:rsid w:val="2EF77137"/>
    <w:rsid w:val="3C7225F0"/>
    <w:rsid w:val="59945DA9"/>
    <w:rsid w:val="668C0B79"/>
    <w:rsid w:val="70467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lock Text"/>
    <w:basedOn w:val="1"/>
    <w:qFormat/>
    <w:uiPriority w:val="0"/>
    <w:pPr>
      <w:ind w:left="1440" w:leftChars="700" w:right="700" w:rightChars="700"/>
    </w:pPr>
  </w:style>
  <w:style w:type="paragraph" w:styleId="4">
    <w:name w:val="Normal Indent"/>
    <w:qFormat/>
    <w:uiPriority w:val="0"/>
    <w:pPr>
      <w:widowControl w:val="0"/>
      <w:ind w:firstLine="420" w:firstLineChars="20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qFormat/>
    <w:uiPriority w:val="0"/>
    <w:rPr>
      <w:color w:val="000000"/>
      <w:u w:val="none"/>
    </w:rPr>
  </w:style>
  <w:style w:type="character" w:styleId="11">
    <w:name w:val="Emphasis"/>
    <w:basedOn w:val="8"/>
    <w:qFormat/>
    <w:uiPriority w:val="0"/>
  </w:style>
  <w:style w:type="character" w:styleId="12">
    <w:name w:val="HTML Definition"/>
    <w:basedOn w:val="8"/>
    <w:qFormat/>
    <w:uiPriority w:val="0"/>
  </w:style>
  <w:style w:type="character" w:styleId="13">
    <w:name w:val="HTML Variable"/>
    <w:basedOn w:val="8"/>
    <w:qFormat/>
    <w:uiPriority w:val="0"/>
  </w:style>
  <w:style w:type="character" w:styleId="14">
    <w:name w:val="Hyperlink"/>
    <w:basedOn w:val="8"/>
    <w:uiPriority w:val="0"/>
    <w:rPr>
      <w:color w:val="000000"/>
      <w:u w:val="none"/>
    </w:rPr>
  </w:style>
  <w:style w:type="character" w:styleId="15">
    <w:name w:val="HTML Code"/>
    <w:basedOn w:val="8"/>
    <w:qFormat/>
    <w:uiPriority w:val="0"/>
    <w:rPr>
      <w:rFonts w:ascii="Courier New" w:hAnsi="Courier New"/>
      <w:sz w:val="20"/>
    </w:rPr>
  </w:style>
  <w:style w:type="character" w:styleId="16">
    <w:name w:val="HTML Cite"/>
    <w:basedOn w:val="8"/>
    <w:qFormat/>
    <w:uiPriority w:val="0"/>
  </w:style>
  <w:style w:type="paragraph" w:customStyle="1" w:styleId="17">
    <w:name w:val="List Paragraph"/>
    <w:basedOn w:val="1"/>
    <w:qFormat/>
    <w:uiPriority w:val="0"/>
    <w:pPr>
      <w:ind w:firstLine="420" w:firstLineChars="200"/>
    </w:pPr>
    <w:rPr>
      <w:rFonts w:ascii="Calibri" w:hAnsi="Calibri"/>
    </w:rPr>
  </w:style>
  <w:style w:type="paragraph" w:customStyle="1" w:styleId="18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eastAsia="黑体" w:cs="黑体" w:hAnsiTheme="minorHAnsi"/>
      <w:color w:val="000000"/>
      <w:kern w:val="0"/>
      <w:sz w:val="24"/>
      <w:szCs w:val="24"/>
      <w:lang w:val="en-US" w:eastAsia="zh-CN" w:bidi="ar-SA"/>
    </w:rPr>
  </w:style>
  <w:style w:type="character" w:customStyle="1" w:styleId="19">
    <w:name w:val="hover6"/>
    <w:basedOn w:val="8"/>
    <w:qFormat/>
    <w:uiPriority w:val="0"/>
    <w:rPr>
      <w:color w:val="FF7B00"/>
    </w:rPr>
  </w:style>
  <w:style w:type="paragraph" w:customStyle="1" w:styleId="20">
    <w:name w:val="正文文本 (4)"/>
    <w:basedOn w:val="1"/>
    <w:qFormat/>
    <w:uiPriority w:val="99"/>
    <w:pPr>
      <w:shd w:val="clear" w:color="auto" w:fill="FFFFFF"/>
      <w:spacing w:before="420" w:line="625" w:lineRule="exact"/>
    </w:pPr>
    <w:rPr>
      <w:rFonts w:ascii="黑体" w:hAnsi="黑体" w:eastAsia="黑体" w:cs="黑体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2079</Words>
  <Characters>2277</Characters>
  <Lines>0</Lines>
  <Paragraphs>0</Paragraphs>
  <TotalTime>8</TotalTime>
  <ScaleCrop>false</ScaleCrop>
  <LinksUpToDate>false</LinksUpToDate>
  <CharactersWithSpaces>2352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2023-06-28T07:16:00Z</dcterms:created>
  <dc:creator>宝宝贝贝</dc:creator>
  <cp:lastModifiedBy>宝宝贝贝</cp:lastModifiedBy>
  <dcterms:modified xsi:type="dcterms:W3CDTF">2024-09-10T03:48:40Z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79580553E8264DBA89B7447D563248F1_13</vt:lpwstr>
  </property>
</Properties>
</file>