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8A" w:rsidRDefault="0069088A" w:rsidP="0069088A">
      <w:pPr>
        <w:rPr>
          <w:rFonts w:eastAsia="黑体"/>
          <w:sz w:val="32"/>
          <w:szCs w:val="32"/>
        </w:rPr>
      </w:pPr>
      <w:r>
        <w:rPr>
          <w:rFonts w:eastAsia="黑体"/>
          <w:sz w:val="32"/>
          <w:szCs w:val="32"/>
        </w:rPr>
        <w:t>附件</w:t>
      </w:r>
      <w:r>
        <w:rPr>
          <w:rFonts w:eastAsia="黑体"/>
          <w:sz w:val="32"/>
          <w:szCs w:val="32"/>
        </w:rPr>
        <w:t>1</w:t>
      </w:r>
    </w:p>
    <w:p w:rsidR="0069088A" w:rsidRDefault="0069088A" w:rsidP="0069088A">
      <w:pPr>
        <w:spacing w:line="600" w:lineRule="exact"/>
        <w:rPr>
          <w:rFonts w:eastAsia="黑体"/>
          <w:sz w:val="32"/>
          <w:szCs w:val="32"/>
        </w:rPr>
      </w:pPr>
    </w:p>
    <w:p w:rsidR="0069088A" w:rsidRDefault="0069088A" w:rsidP="0069088A">
      <w:pPr>
        <w:spacing w:line="600" w:lineRule="exact"/>
        <w:rPr>
          <w:rFonts w:eastAsia="黑体"/>
          <w:sz w:val="32"/>
          <w:szCs w:val="32"/>
        </w:rPr>
      </w:pPr>
    </w:p>
    <w:p w:rsidR="0069088A" w:rsidRDefault="0069088A" w:rsidP="0069088A">
      <w:pPr>
        <w:spacing w:line="600" w:lineRule="exact"/>
        <w:rPr>
          <w:rFonts w:eastAsia="黑体"/>
          <w:sz w:val="32"/>
          <w:szCs w:val="32"/>
        </w:rPr>
      </w:pPr>
    </w:p>
    <w:p w:rsidR="0069088A" w:rsidRDefault="0069088A" w:rsidP="0069088A">
      <w:pPr>
        <w:jc w:val="center"/>
        <w:rPr>
          <w:rFonts w:ascii="方正小标宋简体" w:eastAsia="方正小标宋简体" w:hint="eastAsia"/>
          <w:sz w:val="52"/>
          <w:szCs w:val="52"/>
        </w:rPr>
      </w:pPr>
      <w:r>
        <w:rPr>
          <w:rFonts w:ascii="方正小标宋简体" w:eastAsia="方正小标宋简体" w:hint="eastAsia"/>
          <w:sz w:val="52"/>
          <w:szCs w:val="52"/>
        </w:rPr>
        <w:t>2023年度新田县劳动保障监察大队部门（单位）整体支出绩效自评报告</w:t>
      </w:r>
    </w:p>
    <w:p w:rsidR="0069088A" w:rsidRDefault="0069088A" w:rsidP="0069088A">
      <w:pPr>
        <w:jc w:val="center"/>
        <w:rPr>
          <w:rFonts w:eastAsia="方正小标宋_GBK"/>
          <w:b/>
          <w:sz w:val="52"/>
          <w:szCs w:val="52"/>
        </w:rPr>
      </w:pPr>
    </w:p>
    <w:p w:rsidR="0069088A" w:rsidRDefault="0069088A" w:rsidP="0069088A">
      <w:pPr>
        <w:jc w:val="center"/>
        <w:rPr>
          <w:rFonts w:eastAsia="楷体_GB2312"/>
          <w:b/>
          <w:sz w:val="32"/>
          <w:szCs w:val="32"/>
        </w:rPr>
      </w:pPr>
    </w:p>
    <w:p w:rsidR="0069088A" w:rsidRDefault="0069088A" w:rsidP="0069088A">
      <w:pPr>
        <w:jc w:val="center"/>
        <w:rPr>
          <w:rFonts w:eastAsia="楷体_GB2312"/>
          <w:b/>
          <w:sz w:val="32"/>
          <w:szCs w:val="32"/>
        </w:rPr>
      </w:pPr>
    </w:p>
    <w:p w:rsidR="0069088A" w:rsidRDefault="0069088A" w:rsidP="0069088A">
      <w:pPr>
        <w:jc w:val="center"/>
        <w:rPr>
          <w:rFonts w:eastAsia="楷体_GB2312"/>
          <w:b/>
          <w:sz w:val="32"/>
          <w:szCs w:val="32"/>
        </w:rPr>
      </w:pPr>
    </w:p>
    <w:p w:rsidR="0069088A" w:rsidRDefault="0069088A" w:rsidP="0069088A">
      <w:pPr>
        <w:jc w:val="center"/>
        <w:rPr>
          <w:rFonts w:eastAsia="楷体_GB2312"/>
          <w:b/>
          <w:sz w:val="32"/>
          <w:szCs w:val="32"/>
        </w:rPr>
      </w:pPr>
    </w:p>
    <w:p w:rsidR="0069088A" w:rsidRDefault="0069088A" w:rsidP="0069088A">
      <w:pPr>
        <w:jc w:val="center"/>
        <w:rPr>
          <w:rFonts w:eastAsia="楷体_GB2312"/>
          <w:b/>
          <w:sz w:val="32"/>
          <w:szCs w:val="32"/>
        </w:rPr>
      </w:pPr>
    </w:p>
    <w:p w:rsidR="0069088A" w:rsidRDefault="0069088A" w:rsidP="0069088A">
      <w:pPr>
        <w:jc w:val="center"/>
        <w:rPr>
          <w:rFonts w:eastAsia="楷体_GB2312"/>
          <w:b/>
          <w:sz w:val="32"/>
          <w:szCs w:val="32"/>
        </w:rPr>
      </w:pPr>
    </w:p>
    <w:p w:rsidR="0069088A" w:rsidRDefault="0069088A" w:rsidP="0069088A">
      <w:pPr>
        <w:jc w:val="center"/>
        <w:rPr>
          <w:rFonts w:eastAsia="黑体"/>
          <w:sz w:val="32"/>
          <w:szCs w:val="32"/>
        </w:rPr>
      </w:pPr>
    </w:p>
    <w:p w:rsidR="0069088A" w:rsidRDefault="0069088A" w:rsidP="0069088A">
      <w:pPr>
        <w:jc w:val="center"/>
        <w:rPr>
          <w:rFonts w:eastAsia="黑体"/>
          <w:sz w:val="32"/>
          <w:szCs w:val="32"/>
        </w:rPr>
      </w:pPr>
    </w:p>
    <w:p w:rsidR="0069088A" w:rsidRDefault="0069088A" w:rsidP="0069088A">
      <w:pPr>
        <w:spacing w:line="600" w:lineRule="exact"/>
        <w:jc w:val="center"/>
        <w:rPr>
          <w:rFonts w:eastAsia="仿宋_GB2312"/>
          <w:sz w:val="32"/>
          <w:szCs w:val="32"/>
          <w:u w:val="single"/>
        </w:rPr>
      </w:pPr>
      <w:r>
        <w:rPr>
          <w:rFonts w:eastAsia="仿宋_GB2312"/>
          <w:sz w:val="32"/>
          <w:szCs w:val="32"/>
        </w:rPr>
        <w:t>单位名称：</w:t>
      </w:r>
      <w:r>
        <w:rPr>
          <w:rFonts w:eastAsia="仿宋_GB2312"/>
          <w:sz w:val="32"/>
          <w:szCs w:val="32"/>
          <w:u w:val="single"/>
        </w:rPr>
        <w:t>（盖章）</w:t>
      </w:r>
    </w:p>
    <w:p w:rsidR="0069088A" w:rsidRDefault="0069088A" w:rsidP="0069088A">
      <w:pPr>
        <w:spacing w:line="600" w:lineRule="exact"/>
        <w:ind w:firstLineChars="1000" w:firstLine="3200"/>
        <w:rPr>
          <w:rFonts w:eastAsia="楷体_GB2312"/>
          <w:sz w:val="32"/>
          <w:szCs w:val="32"/>
        </w:rPr>
      </w:pPr>
      <w:r>
        <w:rPr>
          <w:rFonts w:eastAsia="楷体_GB2312" w:hint="eastAsia"/>
          <w:sz w:val="32"/>
          <w:szCs w:val="32"/>
        </w:rPr>
        <w:t>2024</w:t>
      </w:r>
      <w:r>
        <w:rPr>
          <w:rFonts w:eastAsia="楷体_GB2312"/>
          <w:sz w:val="32"/>
          <w:szCs w:val="32"/>
        </w:rPr>
        <w:t>年</w:t>
      </w:r>
      <w:r>
        <w:rPr>
          <w:rFonts w:eastAsia="楷体_GB2312" w:hint="eastAsia"/>
          <w:sz w:val="32"/>
          <w:szCs w:val="32"/>
        </w:rPr>
        <w:t>5</w:t>
      </w:r>
      <w:r>
        <w:rPr>
          <w:rFonts w:eastAsia="楷体_GB2312"/>
          <w:sz w:val="32"/>
          <w:szCs w:val="32"/>
        </w:rPr>
        <w:t>月</w:t>
      </w:r>
      <w:r>
        <w:rPr>
          <w:rFonts w:eastAsia="楷体_GB2312" w:hint="eastAsia"/>
          <w:sz w:val="32"/>
          <w:szCs w:val="32"/>
        </w:rPr>
        <w:t>29</w:t>
      </w:r>
      <w:r>
        <w:rPr>
          <w:rFonts w:eastAsia="楷体_GB2312"/>
          <w:sz w:val="32"/>
          <w:szCs w:val="32"/>
        </w:rPr>
        <w:t>日</w:t>
      </w:r>
    </w:p>
    <w:p w:rsidR="0069088A" w:rsidRDefault="0069088A" w:rsidP="0069088A">
      <w:pPr>
        <w:jc w:val="center"/>
        <w:rPr>
          <w:rFonts w:eastAsia="黑体"/>
          <w:sz w:val="32"/>
          <w:szCs w:val="32"/>
        </w:rPr>
      </w:pPr>
    </w:p>
    <w:p w:rsidR="0069088A" w:rsidRDefault="0069088A" w:rsidP="0069088A">
      <w:pPr>
        <w:jc w:val="center"/>
        <w:rPr>
          <w:rFonts w:eastAsia="仿宋_GB2312"/>
          <w:sz w:val="32"/>
          <w:szCs w:val="32"/>
        </w:rPr>
      </w:pPr>
      <w:r>
        <w:rPr>
          <w:rFonts w:eastAsia="仿宋_GB2312"/>
          <w:sz w:val="32"/>
          <w:szCs w:val="32"/>
        </w:rPr>
        <w:t>（此页为封面）</w:t>
      </w:r>
    </w:p>
    <w:p w:rsidR="0069088A" w:rsidRDefault="0069088A" w:rsidP="0069088A">
      <w:pPr>
        <w:spacing w:line="460" w:lineRule="exact"/>
        <w:ind w:firstLineChars="200" w:firstLine="640"/>
        <w:rPr>
          <w:rFonts w:eastAsia="黑体"/>
          <w:sz w:val="32"/>
          <w:szCs w:val="32"/>
        </w:rPr>
      </w:pPr>
      <w:r>
        <w:rPr>
          <w:rFonts w:eastAsia="仿宋_GB2312"/>
          <w:sz w:val="32"/>
          <w:szCs w:val="32"/>
        </w:rPr>
        <w:br w:type="page"/>
      </w:r>
      <w:r>
        <w:rPr>
          <w:rFonts w:ascii="黑体" w:eastAsia="黑体" w:hAnsi="黑体" w:cs="黑体" w:hint="eastAsia"/>
          <w:sz w:val="32"/>
          <w:szCs w:val="32"/>
        </w:rPr>
        <w:lastRenderedPageBreak/>
        <w:t>一、</w:t>
      </w:r>
      <w:r>
        <w:rPr>
          <w:rFonts w:eastAsia="黑体"/>
          <w:sz w:val="32"/>
          <w:szCs w:val="32"/>
        </w:rPr>
        <w:t>部门（单位）基本情况</w:t>
      </w:r>
    </w:p>
    <w:p w:rsidR="0069088A" w:rsidRDefault="0069088A" w:rsidP="0069088A">
      <w:pPr>
        <w:shd w:val="clear" w:color="auto" w:fill="FFFFFF"/>
        <w:spacing w:line="460" w:lineRule="exact"/>
        <w:ind w:firstLineChars="200" w:firstLine="640"/>
        <w:rPr>
          <w:rFonts w:ascii="仿宋_GB2312" w:eastAsia="仿宋_GB2312" w:hint="eastAsia"/>
          <w:sz w:val="32"/>
          <w:szCs w:val="32"/>
        </w:rPr>
      </w:pPr>
      <w:r>
        <w:rPr>
          <w:rFonts w:ascii="仿宋_GB2312" w:eastAsia="仿宋_GB2312" w:hint="eastAsia"/>
          <w:sz w:val="32"/>
          <w:szCs w:val="32"/>
        </w:rPr>
        <w:t>（一）部门（单位）职能职责、机构编制、人员构成等。</w:t>
      </w:r>
    </w:p>
    <w:p w:rsidR="0069088A" w:rsidRDefault="0069088A" w:rsidP="0069088A">
      <w:pPr>
        <w:shd w:val="clear" w:color="auto" w:fill="FFFFFF"/>
        <w:spacing w:line="570" w:lineRule="exact"/>
        <w:ind w:firstLineChars="100" w:firstLine="320"/>
        <w:outlineLvl w:val="1"/>
        <w:rPr>
          <w:rFonts w:ascii="仿宋_GB2312" w:eastAsia="仿宋_GB2312"/>
          <w:sz w:val="32"/>
          <w:szCs w:val="32"/>
        </w:rPr>
      </w:pPr>
      <w:r>
        <w:rPr>
          <w:rFonts w:ascii="仿宋_GB2312" w:eastAsia="仿宋_GB2312" w:hint="eastAsia"/>
          <w:sz w:val="32"/>
          <w:szCs w:val="32"/>
        </w:rPr>
        <w:t>（一）单位职责</w:t>
      </w:r>
    </w:p>
    <w:p w:rsidR="0069088A" w:rsidRDefault="0069088A" w:rsidP="0069088A">
      <w:pPr>
        <w:pStyle w:val="a3"/>
        <w:spacing w:line="400" w:lineRule="exact"/>
        <w:ind w:firstLineChars="200" w:firstLine="600"/>
        <w:rPr>
          <w:rFonts w:ascii="仿宋_GB2312" w:eastAsia="仿宋_GB2312"/>
          <w:sz w:val="30"/>
          <w:szCs w:val="30"/>
        </w:rPr>
      </w:pPr>
      <w:r>
        <w:rPr>
          <w:rFonts w:ascii="仿宋_GB2312" w:eastAsia="仿宋_GB2312" w:hint="eastAsia"/>
          <w:sz w:val="30"/>
          <w:szCs w:val="30"/>
        </w:rPr>
        <w:t>1、督促用人单位贯彻执行劳动保障方针政策和劳动保障法律、法规、规章；</w:t>
      </w:r>
    </w:p>
    <w:p w:rsidR="0069088A" w:rsidRDefault="0069088A" w:rsidP="0069088A">
      <w:pPr>
        <w:pStyle w:val="a3"/>
        <w:spacing w:line="400" w:lineRule="exact"/>
        <w:rPr>
          <w:rFonts w:ascii="仿宋_GB2312" w:eastAsia="仿宋_GB2312"/>
          <w:sz w:val="30"/>
          <w:szCs w:val="30"/>
        </w:rPr>
      </w:pPr>
      <w:r>
        <w:rPr>
          <w:rFonts w:ascii="仿宋_GB2312" w:eastAsia="仿宋_GB2312" w:hint="eastAsia"/>
          <w:sz w:val="30"/>
          <w:szCs w:val="30"/>
        </w:rPr>
        <w:t xml:space="preserve">　　2、对用人单位遵守劳动保障法律、法规、规章情况进行监督检查，依法查处和纠正违法行为；</w:t>
      </w:r>
    </w:p>
    <w:p w:rsidR="0069088A" w:rsidRDefault="0069088A" w:rsidP="0069088A">
      <w:pPr>
        <w:pStyle w:val="a3"/>
        <w:spacing w:line="400" w:lineRule="exact"/>
        <w:rPr>
          <w:rFonts w:ascii="仿宋_GB2312" w:eastAsia="仿宋_GB2312"/>
          <w:sz w:val="30"/>
          <w:szCs w:val="30"/>
        </w:rPr>
      </w:pPr>
      <w:r>
        <w:rPr>
          <w:rFonts w:ascii="仿宋_GB2312" w:eastAsia="仿宋_GB2312" w:hint="eastAsia"/>
          <w:sz w:val="30"/>
          <w:szCs w:val="30"/>
        </w:rPr>
        <w:t xml:space="preserve">　　3、受理对用人单位违反劳动保障法律、法规、规章的举报；</w:t>
      </w:r>
    </w:p>
    <w:p w:rsidR="0069088A" w:rsidRDefault="0069088A" w:rsidP="0069088A">
      <w:pPr>
        <w:pStyle w:val="a3"/>
        <w:spacing w:line="400" w:lineRule="exact"/>
        <w:rPr>
          <w:rFonts w:ascii="仿宋_GB2312" w:eastAsia="仿宋_GB2312"/>
          <w:sz w:val="30"/>
          <w:szCs w:val="30"/>
        </w:rPr>
      </w:pPr>
      <w:r>
        <w:rPr>
          <w:rFonts w:ascii="仿宋_GB2312" w:eastAsia="仿宋_GB2312" w:hint="eastAsia"/>
          <w:sz w:val="30"/>
          <w:szCs w:val="30"/>
        </w:rPr>
        <w:t xml:space="preserve">　　4、承办同级政府或者上一级劳动行政部门交办的劳动保障监察案件；</w:t>
      </w:r>
    </w:p>
    <w:p w:rsidR="0069088A" w:rsidRDefault="0069088A" w:rsidP="0069088A">
      <w:pPr>
        <w:pStyle w:val="a3"/>
        <w:spacing w:line="400" w:lineRule="exact"/>
        <w:rPr>
          <w:rFonts w:ascii="仿宋_GB2312" w:eastAsia="仿宋_GB2312"/>
          <w:sz w:val="30"/>
          <w:szCs w:val="30"/>
        </w:rPr>
      </w:pPr>
      <w:r>
        <w:rPr>
          <w:rFonts w:ascii="仿宋_GB2312" w:eastAsia="仿宋_GB2312" w:hint="eastAsia"/>
          <w:sz w:val="30"/>
          <w:szCs w:val="30"/>
        </w:rPr>
        <w:t xml:space="preserve">　　5、配合有关部门处理因劳动保障纠纷引起的职工集体上访、罢工等突发事件；</w:t>
      </w:r>
    </w:p>
    <w:p w:rsidR="0069088A" w:rsidRDefault="0069088A" w:rsidP="0069088A">
      <w:pPr>
        <w:pStyle w:val="a3"/>
        <w:spacing w:line="400" w:lineRule="exact"/>
        <w:rPr>
          <w:rFonts w:ascii="仿宋_GB2312" w:eastAsia="仿宋_GB2312"/>
          <w:sz w:val="30"/>
          <w:szCs w:val="30"/>
        </w:rPr>
      </w:pPr>
      <w:r>
        <w:rPr>
          <w:rFonts w:ascii="仿宋_GB2312" w:eastAsia="仿宋_GB2312" w:hint="eastAsia"/>
          <w:sz w:val="30"/>
          <w:szCs w:val="30"/>
        </w:rPr>
        <w:t xml:space="preserve">　　6、指导下级劳动保障行政部门的劳动保障监察业务工作；</w:t>
      </w:r>
    </w:p>
    <w:p w:rsidR="0069088A" w:rsidRDefault="0069088A" w:rsidP="0069088A">
      <w:pPr>
        <w:pStyle w:val="a3"/>
        <w:spacing w:line="400" w:lineRule="exact"/>
        <w:ind w:firstLine="600"/>
        <w:rPr>
          <w:rFonts w:ascii="仿宋_GB2312" w:eastAsia="仿宋_GB2312"/>
          <w:sz w:val="30"/>
          <w:szCs w:val="30"/>
        </w:rPr>
      </w:pPr>
      <w:r>
        <w:rPr>
          <w:rFonts w:ascii="仿宋_GB2312" w:eastAsia="仿宋_GB2312" w:hint="eastAsia"/>
          <w:sz w:val="30"/>
          <w:szCs w:val="30"/>
        </w:rPr>
        <w:t>7、法律、法规、规章规定的其他劳动保障监督职责。</w:t>
      </w:r>
    </w:p>
    <w:p w:rsidR="0069088A" w:rsidRDefault="0069088A" w:rsidP="0069088A">
      <w:pPr>
        <w:ind w:firstLineChars="200" w:firstLine="600"/>
        <w:rPr>
          <w:rFonts w:ascii="仿宋_GB2312" w:eastAsia="仿宋_GB2312"/>
          <w:sz w:val="30"/>
          <w:szCs w:val="30"/>
        </w:rPr>
      </w:pPr>
      <w:r>
        <w:rPr>
          <w:rFonts w:ascii="仿宋_GB2312" w:eastAsia="仿宋_GB2312" w:hint="eastAsia"/>
          <w:sz w:val="30"/>
          <w:szCs w:val="30"/>
        </w:rPr>
        <w:t>新田县劳动保障监察大队是县人力资源和社会保障局下属参照公务员管理机构，20</w:t>
      </w:r>
      <w:r>
        <w:rPr>
          <w:rFonts w:ascii="仿宋_GB2312" w:eastAsia="仿宋_GB2312"/>
          <w:sz w:val="30"/>
          <w:szCs w:val="30"/>
        </w:rPr>
        <w:t>2</w:t>
      </w:r>
      <w:r>
        <w:rPr>
          <w:rFonts w:ascii="仿宋_GB2312" w:eastAsia="仿宋_GB2312" w:hint="eastAsia"/>
          <w:sz w:val="30"/>
          <w:szCs w:val="30"/>
        </w:rPr>
        <w:t>2年底机构编制9人，参照公务员管理事业编制9人，年末在职人员7人，内设机构2个：办公室、业务股</w:t>
      </w:r>
    </w:p>
    <w:p w:rsidR="0069088A" w:rsidRDefault="0069088A" w:rsidP="0069088A">
      <w:pPr>
        <w:shd w:val="clear" w:color="auto" w:fill="FFFFFF"/>
        <w:spacing w:line="460" w:lineRule="exact"/>
        <w:ind w:firstLineChars="200" w:firstLine="640"/>
        <w:rPr>
          <w:rFonts w:ascii="仿宋_GB2312" w:eastAsia="仿宋_GB2312" w:hint="eastAsia"/>
          <w:sz w:val="32"/>
          <w:szCs w:val="32"/>
        </w:rPr>
      </w:pPr>
    </w:p>
    <w:p w:rsidR="0069088A" w:rsidRDefault="0069088A" w:rsidP="0069088A">
      <w:pPr>
        <w:pStyle w:val="211"/>
        <w:ind w:left="0" w:firstLineChars="200" w:firstLine="640"/>
        <w:jc w:val="both"/>
        <w:rPr>
          <w:rFonts w:ascii="仿宋" w:eastAsia="仿宋" w:hAnsi="仿宋" w:cs="仿宋"/>
          <w:sz w:val="30"/>
          <w:szCs w:val="30"/>
        </w:rPr>
      </w:pPr>
      <w:r>
        <w:rPr>
          <w:rFonts w:ascii="仿宋_GB2312" w:eastAsia="仿宋_GB2312" w:hint="eastAsia"/>
          <w:sz w:val="32"/>
          <w:szCs w:val="32"/>
        </w:rPr>
        <w:t>（二）部门（单位）整体支出规模</w:t>
      </w:r>
      <w:r>
        <w:rPr>
          <w:rFonts w:ascii="仿宋_GB2312" w:eastAsia="仿宋_GB2312" w:hAnsi="仿宋_GB2312" w:cs="仿宋_GB2312" w:hint="eastAsia"/>
          <w:sz w:val="32"/>
          <w:szCs w:val="32"/>
        </w:rPr>
        <w:t>，</w:t>
      </w:r>
      <w:r>
        <w:rPr>
          <w:rFonts w:eastAsia="仿宋_GB2312" w:hint="eastAsia"/>
          <w:color w:val="000000"/>
          <w:sz w:val="32"/>
          <w:szCs w:val="32"/>
        </w:rPr>
        <w:t>包括但不限于部门整体支出情况、部门预算收支决算情况及“三公经费”支出使用和管理情况。</w:t>
      </w:r>
      <w:r>
        <w:rPr>
          <w:rFonts w:ascii="仿宋" w:eastAsia="仿宋" w:hAnsi="仿宋" w:cs="仿宋" w:hint="eastAsia"/>
          <w:sz w:val="30"/>
          <w:szCs w:val="30"/>
        </w:rPr>
        <w:t>1、部门整体支出情况：</w:t>
      </w:r>
    </w:p>
    <w:p w:rsidR="0069088A" w:rsidRDefault="0069088A" w:rsidP="0069088A">
      <w:pPr>
        <w:pStyle w:val="211"/>
        <w:ind w:left="0"/>
        <w:jc w:val="both"/>
        <w:rPr>
          <w:rFonts w:ascii="仿宋" w:eastAsia="仿宋" w:hAnsi="仿宋" w:cs="仿宋"/>
          <w:sz w:val="30"/>
          <w:szCs w:val="30"/>
        </w:rPr>
      </w:pPr>
      <w:r>
        <w:rPr>
          <w:rFonts w:ascii="仿宋" w:eastAsia="仿宋" w:hAnsi="仿宋" w:cs="仿宋" w:hint="eastAsia"/>
          <w:sz w:val="30"/>
          <w:szCs w:val="30"/>
        </w:rPr>
        <w:lastRenderedPageBreak/>
        <w:t>2</w:t>
      </w:r>
      <w:r>
        <w:rPr>
          <w:rFonts w:ascii="仿宋" w:eastAsia="仿宋" w:hAnsi="仿宋" w:cs="仿宋"/>
          <w:sz w:val="30"/>
          <w:szCs w:val="30"/>
        </w:rPr>
        <w:t>02</w:t>
      </w:r>
      <w:r>
        <w:rPr>
          <w:rFonts w:ascii="仿宋" w:eastAsia="仿宋" w:hAnsi="仿宋" w:cs="仿宋" w:hint="eastAsia"/>
          <w:sz w:val="30"/>
          <w:szCs w:val="30"/>
        </w:rPr>
        <w:t>3年部门整体支出规模83.16万元，其中：工资福利支出63.32  万元、商品和服务支出18.28万元、对个人和家庭的补助0.34  万元、资本性支出1.22万元。</w:t>
      </w:r>
    </w:p>
    <w:p w:rsidR="0069088A" w:rsidRDefault="0069088A" w:rsidP="0069088A">
      <w:pPr>
        <w:pStyle w:val="Defaul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2、部门预算收支决算情况：</w:t>
      </w:r>
    </w:p>
    <w:p w:rsidR="0069088A" w:rsidRDefault="0069088A" w:rsidP="0069088A">
      <w:pPr>
        <w:pStyle w:val="Defaul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2023年度收入总计83.16万元。与上年相比，减少4.61万元，减少5.3%，主要是因为对个人和家庭的补助支出减少。</w:t>
      </w:r>
    </w:p>
    <w:p w:rsidR="0069088A" w:rsidRDefault="0069088A" w:rsidP="0069088A">
      <w:pPr>
        <w:pStyle w:val="Defaul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2023年度支出总计83.16万元。与上年相比，减少4.61万元，减少5.3%，主要是因为对个人和家庭的补助支出减少。</w:t>
      </w:r>
    </w:p>
    <w:p w:rsidR="0069088A" w:rsidRDefault="0069088A" w:rsidP="0069088A">
      <w:pPr>
        <w:pStyle w:val="Defaul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3、2023年“三公经费”支出2.06万元，其中：公务接待费1.06万元，比上年减少0.14万元，减少11%。公车运行维护费用1万元，比上年减少0.74万元。无出国（境）费用。</w:t>
      </w:r>
    </w:p>
    <w:p w:rsidR="0069088A" w:rsidRDefault="0069088A" w:rsidP="0069088A">
      <w:pPr>
        <w:spacing w:line="460" w:lineRule="exact"/>
        <w:ind w:firstLineChars="200" w:firstLine="640"/>
        <w:rPr>
          <w:rFonts w:eastAsia="仿宋_GB2312" w:hint="eastAsia"/>
          <w:color w:val="000000"/>
          <w:sz w:val="32"/>
          <w:szCs w:val="32"/>
        </w:rPr>
      </w:pPr>
    </w:p>
    <w:p w:rsidR="0069088A" w:rsidRDefault="0069088A" w:rsidP="0069088A">
      <w:pPr>
        <w:pStyle w:val="a4"/>
        <w:spacing w:line="46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69088A" w:rsidRDefault="0069088A" w:rsidP="0069088A">
      <w:pPr>
        <w:pStyle w:val="10"/>
        <w:spacing w:line="580" w:lineRule="exact"/>
        <w:ind w:firstLine="640"/>
        <w:rPr>
          <w:rFonts w:ascii="Times New Roman" w:eastAsia="仿宋_GB2312" w:hAnsi="Times New Roman" w:hint="eastAsia"/>
          <w:sz w:val="32"/>
          <w:szCs w:val="32"/>
        </w:rPr>
      </w:pPr>
      <w:r>
        <w:rPr>
          <w:rFonts w:ascii="Times New Roman" w:eastAsia="仿宋_GB2312" w:hAnsi="Times New Roman"/>
          <w:sz w:val="32"/>
          <w:szCs w:val="32"/>
        </w:rPr>
        <w:t>（一）基本支出情况</w:t>
      </w:r>
    </w:p>
    <w:p w:rsidR="0069088A" w:rsidRDefault="0069088A" w:rsidP="0069088A">
      <w:pPr>
        <w:pStyle w:val="10"/>
        <w:spacing w:line="580" w:lineRule="exact"/>
        <w:ind w:firstLine="640"/>
        <w:rPr>
          <w:rFonts w:ascii="仿宋_GB2312" w:eastAsia="仿宋_GB2312" w:cs="仿宋_GB2312" w:hint="eastAsia"/>
          <w:sz w:val="32"/>
          <w:szCs w:val="32"/>
        </w:rPr>
      </w:pPr>
      <w:r>
        <w:rPr>
          <w:rFonts w:ascii="仿宋_GB2312" w:eastAsia="仿宋_GB2312" w:cs="仿宋_GB2312" w:hint="eastAsia"/>
          <w:sz w:val="32"/>
          <w:szCs w:val="32"/>
        </w:rPr>
        <w:t>2023年度财政拨款基本支出71.54万元，其中：人员经费63.32万元，占基本支出的88.5%,主要包括基本工资、津贴补贴、奖金、伙食补助费、绩效工资、基本养老保险费、其他工资福利支出；公用经费8.22万元，占基本支出的11.5%，主要包括办公费、印刷费、水费、电费、邮电费、差旅费、会议费、公务接待费、工会经费、公务用车运行维护费、其他交通费、其他商品和服务费。</w:t>
      </w:r>
    </w:p>
    <w:p w:rsidR="0069088A" w:rsidRPr="00383239" w:rsidRDefault="0069088A" w:rsidP="0069088A">
      <w:pPr>
        <w:pStyle w:val="10"/>
        <w:spacing w:line="580" w:lineRule="exact"/>
        <w:ind w:firstLine="640"/>
        <w:rPr>
          <w:rFonts w:ascii="仿宋_GB2312" w:eastAsia="仿宋_GB2312" w:cs="仿宋_GB2312" w:hint="eastAsia"/>
          <w:sz w:val="32"/>
          <w:szCs w:val="32"/>
        </w:rPr>
      </w:pPr>
      <w:r>
        <w:rPr>
          <w:rFonts w:ascii="Times New Roman" w:eastAsia="仿宋_GB2312" w:hAnsi="Times New Roman"/>
          <w:sz w:val="32"/>
          <w:szCs w:val="32"/>
        </w:rPr>
        <w:t>（二）项目支出情况</w:t>
      </w:r>
    </w:p>
    <w:p w:rsidR="0069088A" w:rsidRDefault="0069088A" w:rsidP="0069088A">
      <w:pPr>
        <w:autoSpaceDE w:val="0"/>
        <w:autoSpaceDN w:val="0"/>
        <w:adjustRightInd w:val="0"/>
        <w:ind w:firstLineChars="200" w:firstLine="640"/>
        <w:jc w:val="left"/>
        <w:rPr>
          <w:rFonts w:eastAsia="仿宋_GB2312"/>
          <w:sz w:val="32"/>
          <w:szCs w:val="32"/>
        </w:rPr>
      </w:pPr>
      <w:r>
        <w:rPr>
          <w:rFonts w:ascii="仿宋_GB2312" w:eastAsia="仿宋_GB2312" w:hAnsi="Calibri" w:cs="仿宋_GB2312" w:hint="eastAsia"/>
          <w:sz w:val="32"/>
          <w:szCs w:val="32"/>
        </w:rPr>
        <w:t>2023年劳动保障监察项目支出11.62万元。</w:t>
      </w:r>
    </w:p>
    <w:p w:rsidR="0069088A" w:rsidRDefault="0069088A" w:rsidP="0069088A">
      <w:pPr>
        <w:pStyle w:val="a4"/>
        <w:spacing w:line="460" w:lineRule="exact"/>
        <w:ind w:firstLine="640"/>
        <w:rPr>
          <w:rFonts w:ascii="Times New Roman" w:eastAsia="仿宋_GB2312" w:hAnsi="Times New Roman"/>
          <w:sz w:val="32"/>
          <w:szCs w:val="32"/>
        </w:rPr>
      </w:pPr>
    </w:p>
    <w:p w:rsidR="0069088A" w:rsidRDefault="0069088A" w:rsidP="0069088A">
      <w:pPr>
        <w:pStyle w:val="a4"/>
        <w:spacing w:line="460" w:lineRule="exact"/>
        <w:ind w:firstLine="640"/>
        <w:rPr>
          <w:rFonts w:ascii="Times New Roman" w:eastAsia="仿宋_GB2312" w:hAnsi="Times New Roman" w:hint="eastAsia"/>
          <w:color w:val="000000"/>
          <w:sz w:val="32"/>
          <w:szCs w:val="32"/>
        </w:rPr>
      </w:pPr>
      <w:r>
        <w:rPr>
          <w:rFonts w:ascii="Times New Roman" w:eastAsia="黑体" w:hAnsi="Times New Roman"/>
          <w:sz w:val="32"/>
          <w:szCs w:val="32"/>
        </w:rPr>
        <w:t>三、政府性基金预算支出情况</w:t>
      </w:r>
      <w:r>
        <w:rPr>
          <w:rFonts w:ascii="Times New Roman" w:eastAsia="黑体" w:hAnsi="Times New Roman" w:hint="eastAsia"/>
          <w:sz w:val="32"/>
          <w:szCs w:val="32"/>
        </w:rPr>
        <w:t>。</w:t>
      </w:r>
    </w:p>
    <w:p w:rsidR="0069088A" w:rsidRDefault="0069088A" w:rsidP="0069088A">
      <w:pPr>
        <w:pStyle w:val="a4"/>
        <w:spacing w:line="460" w:lineRule="exact"/>
        <w:ind w:firstLine="640"/>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我单位无政府性基金预算支出情况。</w:t>
      </w:r>
    </w:p>
    <w:p w:rsidR="0069088A" w:rsidRDefault="0069088A" w:rsidP="0069088A">
      <w:pPr>
        <w:pStyle w:val="a4"/>
        <w:spacing w:line="460" w:lineRule="exact"/>
        <w:ind w:firstLine="640"/>
        <w:rPr>
          <w:rFonts w:ascii="Times New Roman" w:eastAsia="仿宋_GB2312" w:hAnsi="Times New Roman" w:hint="eastAsia"/>
          <w:color w:val="000000"/>
          <w:sz w:val="32"/>
          <w:szCs w:val="32"/>
        </w:rPr>
      </w:pPr>
      <w:r>
        <w:rPr>
          <w:rFonts w:ascii="Times New Roman" w:eastAsia="黑体" w:hAnsi="Times New Roman"/>
          <w:sz w:val="32"/>
          <w:szCs w:val="32"/>
        </w:rPr>
        <w:t>四、国有资本经营预算支出情况</w:t>
      </w:r>
      <w:r>
        <w:rPr>
          <w:rFonts w:ascii="Times New Roman" w:eastAsia="黑体" w:hAnsi="Times New Roman" w:hint="eastAsia"/>
          <w:sz w:val="32"/>
          <w:szCs w:val="32"/>
        </w:rPr>
        <w:t>。</w:t>
      </w:r>
    </w:p>
    <w:p w:rsidR="0069088A" w:rsidRDefault="0069088A" w:rsidP="0069088A">
      <w:pPr>
        <w:pStyle w:val="a4"/>
        <w:spacing w:line="460" w:lineRule="exact"/>
        <w:ind w:firstLine="640"/>
        <w:rPr>
          <w:rFonts w:ascii="Times New Roman" w:eastAsia="黑体" w:hAnsi="Times New Roman" w:hint="eastAsia"/>
          <w:sz w:val="32"/>
          <w:szCs w:val="32"/>
        </w:rPr>
      </w:pPr>
      <w:r>
        <w:rPr>
          <w:rFonts w:ascii="Times New Roman" w:eastAsia="仿宋_GB2312" w:hAnsi="Times New Roman" w:hint="eastAsia"/>
          <w:color w:val="000000"/>
          <w:sz w:val="32"/>
          <w:szCs w:val="32"/>
        </w:rPr>
        <w:t>我单位无国有资本经营预算支出情况。</w:t>
      </w:r>
    </w:p>
    <w:p w:rsidR="0069088A" w:rsidRDefault="0069088A" w:rsidP="0069088A">
      <w:pPr>
        <w:pStyle w:val="a4"/>
        <w:spacing w:line="460" w:lineRule="exact"/>
        <w:ind w:firstLine="640"/>
        <w:rPr>
          <w:rFonts w:ascii="Times New Roman" w:eastAsia="仿宋_GB2312" w:hAnsi="Times New Roman" w:hint="eastAsia"/>
          <w:color w:val="000000"/>
          <w:sz w:val="32"/>
          <w:szCs w:val="32"/>
        </w:rPr>
      </w:pPr>
      <w:r>
        <w:rPr>
          <w:rFonts w:ascii="Times New Roman" w:eastAsia="黑体" w:hAnsi="Times New Roman"/>
          <w:sz w:val="32"/>
          <w:szCs w:val="32"/>
        </w:rPr>
        <w:t>五、社会保险基金预算支出情况</w:t>
      </w:r>
      <w:r>
        <w:rPr>
          <w:rFonts w:ascii="Times New Roman" w:eastAsia="黑体" w:hAnsi="Times New Roman" w:hint="eastAsia"/>
          <w:sz w:val="32"/>
          <w:szCs w:val="32"/>
        </w:rPr>
        <w:t>。</w:t>
      </w:r>
    </w:p>
    <w:p w:rsidR="0069088A" w:rsidRDefault="0069088A" w:rsidP="0069088A">
      <w:pPr>
        <w:pStyle w:val="a4"/>
        <w:spacing w:line="460" w:lineRule="exact"/>
        <w:ind w:firstLine="640"/>
        <w:rPr>
          <w:rFonts w:ascii="Times New Roman" w:eastAsia="黑体" w:hAnsi="Times New Roman" w:hint="eastAsia"/>
          <w:sz w:val="32"/>
          <w:szCs w:val="32"/>
        </w:rPr>
      </w:pPr>
      <w:r>
        <w:rPr>
          <w:rFonts w:ascii="Times New Roman" w:eastAsia="仿宋_GB2312" w:hAnsi="Times New Roman" w:hint="eastAsia"/>
          <w:color w:val="000000"/>
          <w:sz w:val="32"/>
          <w:szCs w:val="32"/>
        </w:rPr>
        <w:t>我单位无社会保险基金预算支出情况。</w:t>
      </w:r>
    </w:p>
    <w:p w:rsidR="0069088A" w:rsidRDefault="0069088A" w:rsidP="0069088A">
      <w:pPr>
        <w:spacing w:line="460" w:lineRule="exact"/>
        <w:ind w:firstLineChars="200" w:firstLine="640"/>
        <w:rPr>
          <w:rFonts w:eastAsia="黑体"/>
          <w:sz w:val="32"/>
          <w:szCs w:val="32"/>
        </w:rPr>
      </w:pPr>
      <w:r>
        <w:rPr>
          <w:rFonts w:eastAsia="黑体"/>
          <w:sz w:val="32"/>
          <w:szCs w:val="32"/>
        </w:rPr>
        <w:t>六、部门整体支出绩效情况</w:t>
      </w:r>
    </w:p>
    <w:p w:rsidR="0069088A" w:rsidRDefault="0069088A" w:rsidP="0069088A">
      <w:pPr>
        <w:spacing w:line="560" w:lineRule="exact"/>
        <w:ind w:firstLineChars="200" w:firstLine="640"/>
        <w:rPr>
          <w:rFonts w:ascii="仿宋_GB2312" w:eastAsia="仿宋_GB2312" w:hAnsi="仿宋_GB2312" w:cs="仿宋_GB2312" w:hint="eastAsia"/>
          <w:color w:val="000000"/>
          <w:spacing w:val="8"/>
          <w:sz w:val="32"/>
          <w:szCs w:val="32"/>
        </w:rPr>
      </w:pPr>
      <w:r>
        <w:rPr>
          <w:rFonts w:ascii="黑体" w:eastAsia="黑体" w:hAnsi="黑体" w:cs="黑体" w:hint="eastAsia"/>
          <w:color w:val="000000"/>
          <w:sz w:val="32"/>
          <w:szCs w:val="32"/>
        </w:rPr>
        <w:t>（一）劳资纠纷案件快审快办，劳动者权益得到维护</w:t>
      </w:r>
      <w:r>
        <w:rPr>
          <w:rStyle w:val="a5"/>
          <w:rFonts w:ascii="仿宋_GB2312" w:eastAsia="仿宋_GB2312" w:hAnsi="仿宋_GB2312" w:cs="仿宋_GB2312" w:hint="eastAsia"/>
          <w:color w:val="000000"/>
          <w:spacing w:val="8"/>
          <w:sz w:val="32"/>
          <w:szCs w:val="32"/>
        </w:rPr>
        <w:t>。</w:t>
      </w:r>
    </w:p>
    <w:p w:rsidR="0069088A" w:rsidRDefault="0069088A" w:rsidP="0069088A">
      <w:pPr>
        <w:spacing w:line="560" w:lineRule="exact"/>
        <w:ind w:firstLineChars="200" w:firstLine="672"/>
        <w:rPr>
          <w:rFonts w:ascii="仿宋_GB2312" w:eastAsia="仿宋_GB2312" w:hAnsi="仿宋_GB2312" w:cs="仿宋_GB2312" w:hint="eastAsia"/>
          <w:color w:val="000000"/>
          <w:spacing w:val="8"/>
          <w:sz w:val="32"/>
          <w:szCs w:val="32"/>
        </w:rPr>
      </w:pPr>
      <w:r>
        <w:rPr>
          <w:rFonts w:ascii="仿宋_GB2312" w:eastAsia="仿宋_GB2312" w:hAnsi="仿宋_GB2312" w:cs="仿宋_GB2312" w:hint="eastAsia"/>
          <w:color w:val="000000"/>
          <w:spacing w:val="8"/>
          <w:sz w:val="32"/>
          <w:szCs w:val="32"/>
        </w:rPr>
        <w:t>2023年以来，对举报投诉案件，发现一起，查处一起，做到有诉必理，有理必果。对群体性案件的举报投诉，坚持随接投诉，在第一时间赶赴现场，随即处理。</w:t>
      </w:r>
      <w:r>
        <w:rPr>
          <w:rFonts w:ascii="仿宋_GB2312" w:eastAsia="仿宋_GB2312" w:hAnsi="仿宋_GB2312" w:cs="仿宋_GB2312" w:hint="eastAsia"/>
          <w:color w:val="000000"/>
          <w:sz w:val="32"/>
          <w:szCs w:val="32"/>
        </w:rPr>
        <w:t>今年以来已接受来电来人政策咨询200起，接待投诉举报45批次（协调处理42起，立案处理3起）；共核处“</w:t>
      </w:r>
      <w:r>
        <w:rPr>
          <w:rFonts w:ascii="仿宋_GB2312" w:eastAsia="仿宋_GB2312" w:hAnsi="仿宋_GB2312" w:cs="仿宋_GB2312" w:hint="eastAsia"/>
          <w:color w:val="000000"/>
          <w:kern w:val="0"/>
          <w:sz w:val="32"/>
          <w:szCs w:val="32"/>
        </w:rPr>
        <w:t>全国根治欠薪线索反映平台</w:t>
      </w:r>
      <w:r>
        <w:rPr>
          <w:rFonts w:ascii="仿宋_GB2312" w:eastAsia="仿宋_GB2312" w:hAnsi="仿宋_GB2312" w:cs="仿宋_GB2312" w:hint="eastAsia"/>
          <w:color w:val="000000"/>
          <w:sz w:val="32"/>
          <w:szCs w:val="32"/>
        </w:rPr>
        <w:t>”案件线索135件，其中工程建筑领域40件，非工程领域95件，目前已全部办结。</w:t>
      </w:r>
      <w:r>
        <w:rPr>
          <w:rFonts w:ascii="仿宋_GB2312" w:eastAsia="仿宋_GB2312" w:hAnsi="仿宋_GB2312" w:cs="仿宋_GB2312" w:hint="eastAsia"/>
          <w:color w:val="000000"/>
          <w:kern w:val="0"/>
          <w:sz w:val="32"/>
          <w:szCs w:val="32"/>
        </w:rPr>
        <w:t>全县未发生因拖欠农</w:t>
      </w:r>
      <w:r>
        <w:rPr>
          <w:rFonts w:ascii="仿宋_GB2312" w:eastAsia="仿宋_GB2312" w:hAnsi="仿宋_GB2312" w:cs="仿宋_GB2312" w:hint="eastAsia"/>
          <w:color w:val="000000"/>
          <w:sz w:val="32"/>
          <w:szCs w:val="32"/>
        </w:rPr>
        <w:t>民工工资而导致的上访事件和重大突发事件，有力保障了广大农民工合法权益，切实维护了社会大局和谐稳定。</w:t>
      </w:r>
    </w:p>
    <w:p w:rsidR="0069088A" w:rsidRDefault="0069088A" w:rsidP="0069088A">
      <w:pPr>
        <w:spacing w:line="560" w:lineRule="exact"/>
        <w:ind w:firstLineChars="200" w:firstLine="640"/>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t>（二）双随机一公开制度稳步推进，</w:t>
      </w:r>
      <w:r>
        <w:rPr>
          <w:rFonts w:ascii="黑体" w:eastAsia="黑体" w:hAnsi="黑体" w:cs="黑体" w:hint="eastAsia"/>
          <w:color w:val="000000"/>
          <w:sz w:val="32"/>
          <w:szCs w:val="32"/>
        </w:rPr>
        <w:t>执法检查有序开展</w:t>
      </w:r>
      <w:r>
        <w:rPr>
          <w:rFonts w:ascii="黑体" w:eastAsia="黑体" w:hAnsi="黑体" w:cs="黑体" w:hint="eastAsia"/>
          <w:color w:val="000000"/>
          <w:sz w:val="32"/>
          <w:szCs w:val="32"/>
          <w:shd w:val="clear" w:color="auto" w:fill="FFFFFF"/>
        </w:rPr>
        <w:t>。</w:t>
      </w:r>
    </w:p>
    <w:p w:rsidR="0069088A" w:rsidRDefault="0069088A" w:rsidP="0069088A">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出台了《</w:t>
      </w:r>
      <w:r>
        <w:rPr>
          <w:rFonts w:ascii="仿宋_GB2312" w:eastAsia="仿宋_GB2312" w:hAnsi="仿宋_GB2312" w:cs="仿宋_GB2312" w:hint="eastAsia"/>
          <w:color w:val="000000"/>
          <w:sz w:val="32"/>
          <w:szCs w:val="32"/>
        </w:rPr>
        <w:t>新田县人力资源社会保障局2023年度“双随机一公开”抽查工作计划和实施方案</w:t>
      </w:r>
      <w:r>
        <w:rPr>
          <w:rFonts w:ascii="仿宋_GB2312" w:eastAsia="仿宋_GB2312" w:hAnsi="仿宋_GB2312" w:cs="仿宋_GB2312" w:hint="eastAsia"/>
          <w:color w:val="000000"/>
          <w:sz w:val="32"/>
          <w:szCs w:val="32"/>
          <w:shd w:val="clear" w:color="auto" w:fill="FFFFFF"/>
        </w:rPr>
        <w:t>》，科学制定检查计划任务，明确任务分工与目标责任，细化检查内容的重点，</w:t>
      </w:r>
      <w:r>
        <w:rPr>
          <w:rFonts w:ascii="仿宋_GB2312" w:eastAsia="仿宋_GB2312" w:hAnsi="仿宋_GB2312" w:cs="仿宋_GB2312" w:hint="eastAsia"/>
          <w:color w:val="000000"/>
          <w:sz w:val="32"/>
          <w:szCs w:val="32"/>
        </w:rPr>
        <w:t>全面推进2023年度人力资源社会保障系统“双随机一公开”执法检查，严格按照时间要求组织开展双随机抽查工作</w:t>
      </w:r>
      <w:r>
        <w:rPr>
          <w:rFonts w:ascii="仿宋_GB2312" w:eastAsia="仿宋_GB2312" w:hAnsi="仿宋_GB2312" w:cs="仿宋_GB2312" w:hint="eastAsia"/>
          <w:color w:val="000000"/>
          <w:sz w:val="32"/>
          <w:szCs w:val="32"/>
          <w:shd w:val="clear" w:color="auto" w:fill="FFFFFF"/>
        </w:rPr>
        <w:t>，确保随机抽查不随意，实地检查不走样，抽查工作全面公开、全程留痕，责任可追溯。</w:t>
      </w:r>
    </w:p>
    <w:p w:rsidR="0069088A" w:rsidRDefault="0069088A" w:rsidP="0069088A">
      <w:pPr>
        <w:pStyle w:val="1"/>
        <w:widowControl/>
        <w:shd w:val="clear" w:color="auto" w:fill="FFFFFF"/>
        <w:spacing w:before="0" w:beforeAutospacing="0" w:after="0" w:afterAutospacing="0" w:line="560" w:lineRule="exact"/>
        <w:ind w:leftChars="200" w:left="420"/>
        <w:jc w:val="both"/>
        <w:rPr>
          <w:rFonts w:ascii="黑体" w:eastAsia="黑体" w:hAnsi="黑体" w:cs="黑体"/>
          <w:b w:val="0"/>
          <w:bCs w:val="0"/>
          <w:color w:val="000000"/>
          <w:sz w:val="32"/>
          <w:szCs w:val="32"/>
          <w:shd w:val="clear" w:color="auto" w:fill="FFFFFF"/>
        </w:rPr>
      </w:pPr>
      <w:r>
        <w:rPr>
          <w:rFonts w:ascii="黑体" w:eastAsia="黑体" w:hAnsi="黑体" w:cs="黑体"/>
          <w:b w:val="0"/>
          <w:bCs w:val="0"/>
          <w:color w:val="000000"/>
          <w:sz w:val="32"/>
          <w:szCs w:val="32"/>
          <w:shd w:val="clear" w:color="auto" w:fill="FFFFFF"/>
        </w:rPr>
        <w:lastRenderedPageBreak/>
        <w:t>（三）五项制度全面推进，源头治理效果显著。</w:t>
      </w:r>
    </w:p>
    <w:p w:rsidR="0069088A" w:rsidRDefault="0069088A" w:rsidP="0069088A">
      <w:pPr>
        <w:pStyle w:val="1"/>
        <w:widowControl/>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kern w:val="0"/>
          <w:sz w:val="32"/>
          <w:szCs w:val="32"/>
          <w:lang/>
        </w:rPr>
      </w:pPr>
      <w:r>
        <w:rPr>
          <w:rFonts w:ascii="仿宋_GB2312" w:eastAsia="仿宋_GB2312" w:hAnsi="仿宋_GB2312" w:cs="仿宋_GB2312"/>
          <w:b w:val="0"/>
          <w:bCs w:val="0"/>
          <w:color w:val="000000"/>
          <w:kern w:val="2"/>
          <w:sz w:val="32"/>
          <w:szCs w:val="32"/>
        </w:rPr>
        <w:t>工程建设领域劳动用工和工资支付不规范是农民工工资拖欠情况易发多发的重要原因。为有效防范工程建设领域拖欠农民工工资，《保障农民工工资支付条例》确立了保障农民工工资支付“五项制度”，即农民工实名制管理制度、农民工工资专用账户管理制度、总包单位代发工资制度、工资保证金制度、施工现场维权公示牌制度，旨在从法律层面引导和帮助工程建设用人单位规范劳动用工和工资支付行为，从而实现用人单位和农民工在经济效益和社会效益上的“双赢”局面。我县在建工程项目实行每月必检制度，检查在建项目保障农民工工资支付相关制度建立情况，要求各工程项目全力推行劳动用工实名制管理、缴纳农民工工资保障金、开设农民工工资专户、实行银行代发工资和按月发放工资制度。针对部分项目还存在落实保障农民工工资支付“五项制度”不到位的问题，现场下达《限期整改指令书》，责令限期整改到位，对拒不整改的，依法予以处罚。目前我县两网化监督平台在建工程项目均已全部落实以上各项制度，从源头杜绝拖欠农民工工资</w:t>
      </w:r>
      <w:r>
        <w:rPr>
          <w:rFonts w:ascii="仿宋_GB2312" w:eastAsia="仿宋_GB2312" w:hAnsi="仿宋_GB2312" w:cs="仿宋_GB2312"/>
          <w:color w:val="000000"/>
          <w:kern w:val="0"/>
          <w:sz w:val="32"/>
          <w:szCs w:val="32"/>
          <w:lang/>
        </w:rPr>
        <w:t>。</w:t>
      </w:r>
    </w:p>
    <w:p w:rsidR="0069088A" w:rsidRDefault="0069088A" w:rsidP="0069088A">
      <w:pPr>
        <w:pStyle w:val="1"/>
        <w:widowControl/>
        <w:shd w:val="clear" w:color="auto" w:fill="FFFFFF"/>
        <w:spacing w:before="0" w:beforeAutospacing="0" w:after="0" w:afterAutospacing="0" w:line="560" w:lineRule="exact"/>
        <w:ind w:firstLineChars="200" w:firstLine="640"/>
        <w:jc w:val="both"/>
        <w:rPr>
          <w:rFonts w:ascii="黑体" w:eastAsia="黑体" w:hAnsi="黑体" w:cs="黑体"/>
          <w:b w:val="0"/>
          <w:bCs w:val="0"/>
          <w:color w:val="000000"/>
          <w:sz w:val="32"/>
          <w:szCs w:val="32"/>
          <w:shd w:val="clear" w:color="auto" w:fill="FFFFFF"/>
        </w:rPr>
      </w:pPr>
      <w:r>
        <w:rPr>
          <w:rFonts w:ascii="黑体" w:eastAsia="黑体" w:hAnsi="黑体" w:cs="黑体"/>
          <w:b w:val="0"/>
          <w:bCs w:val="0"/>
          <w:color w:val="000000"/>
          <w:sz w:val="32"/>
          <w:szCs w:val="32"/>
          <w:shd w:val="clear" w:color="auto" w:fill="FFFFFF"/>
        </w:rPr>
        <w:t>（四）普法活动积极开展，依法维权意识得到提升。</w:t>
      </w:r>
    </w:p>
    <w:p w:rsidR="0069088A" w:rsidRDefault="0069088A" w:rsidP="0069088A">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借助县政府网站、新田发布等平台，大力宣传农民工工资支付方面的政策法规，制作微信版“致广大农民工朋友的一封信”和“保障农民工工资支付宣传片”，引导农民工依法表达诉求和依法维权。通过组织开展劳动保障执法入企宣传、办理投诉案件以案说法宣传及“用心用情·湘薪湘护”</w:t>
      </w:r>
      <w:r>
        <w:rPr>
          <w:rFonts w:ascii="仿宋_GB2312" w:eastAsia="仿宋_GB2312" w:hAnsi="仿宋_GB2312" w:cs="仿宋_GB2312" w:hint="eastAsia"/>
          <w:sz w:val="32"/>
          <w:szCs w:val="32"/>
        </w:rPr>
        <w:lastRenderedPageBreak/>
        <w:t>根治欠薪制度落实夏季专项行动，将《劳动法》、《劳动合同法》、《保障农民工工资支付条例》、《劳动维权问答》等政策法律法规及宣传材料送到企业职工手中，今年以来共发放各类宣传资料1500余份，发表宣传报道5篇（其中省级新闻稿件13篇，省级以下13篇），有效提升了劳动者的法律意识和维权意识。进一步创新工作方式，对工程建设单位采取印发宣传材料、用工风险提示等方式压实用工管理主体责任；对广大农民工采取在工程建设项目部设立维权公示牌、向农民工送达维权提示、引导广大农民工依法维权、理性维权。</w:t>
      </w:r>
    </w:p>
    <w:p w:rsidR="0069088A" w:rsidRDefault="0069088A" w:rsidP="0069088A">
      <w:pPr>
        <w:pStyle w:val="a4"/>
        <w:spacing w:line="46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69088A" w:rsidRDefault="0069088A" w:rsidP="0069088A">
      <w:pPr>
        <w:ind w:firstLineChars="200" w:firstLine="640"/>
        <w:rPr>
          <w:rFonts w:eastAsia="仿宋_GB2312" w:hint="eastAsia"/>
          <w:sz w:val="32"/>
          <w:szCs w:val="32"/>
        </w:rPr>
      </w:pPr>
      <w:r>
        <w:rPr>
          <w:rFonts w:ascii="仿宋" w:eastAsia="仿宋" w:hAnsi="仿宋" w:cs="仿宋" w:hint="eastAsia"/>
          <w:sz w:val="32"/>
          <w:szCs w:val="32"/>
        </w:rPr>
        <w:t>随着部门预算改革的深入，财政预算管理整体水平得到了提升，财政资金使用效益和效果有所提高，但近年来我们在部门预算执行中发现以下问题：预算执行未严格按照时间进度，主要表现在年初、年中用得少，年底用得多。预算编制的计划性和预算执行的管理有待加强，制度的执行有待进一步强化，资金使用的合规性有待进一步规范。</w:t>
      </w:r>
    </w:p>
    <w:p w:rsidR="0069088A" w:rsidRPr="00383239" w:rsidRDefault="0069088A" w:rsidP="0069088A">
      <w:pPr>
        <w:ind w:firstLineChars="200" w:firstLine="640"/>
        <w:rPr>
          <w:rFonts w:eastAsia="仿宋_GB2312" w:hint="eastAsia"/>
          <w:sz w:val="32"/>
          <w:szCs w:val="32"/>
        </w:rPr>
      </w:pPr>
      <w:r>
        <w:rPr>
          <w:rFonts w:eastAsia="黑体"/>
          <w:sz w:val="32"/>
          <w:szCs w:val="32"/>
        </w:rPr>
        <w:t>八、下一步改进措施</w:t>
      </w:r>
    </w:p>
    <w:p w:rsidR="0069088A" w:rsidRDefault="0069088A" w:rsidP="0069088A">
      <w:pPr>
        <w:spacing w:line="570" w:lineRule="exact"/>
        <w:ind w:firstLineChars="200" w:firstLine="640"/>
        <w:jc w:val="left"/>
        <w:outlineLvl w:val="0"/>
        <w:rPr>
          <w:rFonts w:eastAsia="黑体"/>
          <w:sz w:val="32"/>
          <w:szCs w:val="32"/>
        </w:rPr>
      </w:pPr>
      <w:r>
        <w:rPr>
          <w:rFonts w:ascii="仿宋" w:eastAsia="仿宋" w:hAnsi="仿宋" w:cs="仿宋" w:hint="eastAsia"/>
          <w:sz w:val="32"/>
          <w:szCs w:val="32"/>
        </w:rPr>
        <w:t>争取严格按照时间进度安排支出，财务督促办公室每季度进行结账，避免集中在年底支出，确保费用核算的及时性和完整性。</w:t>
      </w:r>
    </w:p>
    <w:p w:rsidR="0069088A" w:rsidRDefault="0069088A" w:rsidP="0069088A">
      <w:pPr>
        <w:spacing w:line="460" w:lineRule="exact"/>
        <w:ind w:firstLineChars="200" w:firstLine="640"/>
        <w:rPr>
          <w:rFonts w:eastAsia="黑体"/>
          <w:sz w:val="32"/>
          <w:szCs w:val="32"/>
        </w:rPr>
      </w:pPr>
    </w:p>
    <w:p w:rsidR="0069088A" w:rsidRDefault="0069088A" w:rsidP="0069088A">
      <w:pPr>
        <w:spacing w:line="460" w:lineRule="exact"/>
        <w:ind w:firstLineChars="200" w:firstLine="640"/>
        <w:rPr>
          <w:rFonts w:eastAsia="黑体"/>
          <w:sz w:val="32"/>
          <w:szCs w:val="32"/>
        </w:rPr>
      </w:pPr>
      <w:r>
        <w:rPr>
          <w:rFonts w:eastAsia="黑体"/>
          <w:sz w:val="32"/>
          <w:szCs w:val="32"/>
        </w:rPr>
        <w:t>九、部门整体支出绩效自评结果拟应用和公开情况</w:t>
      </w:r>
    </w:p>
    <w:p w:rsidR="0069088A" w:rsidRDefault="0069088A" w:rsidP="0069088A">
      <w:pPr>
        <w:spacing w:line="460" w:lineRule="exact"/>
        <w:ind w:firstLineChars="200" w:firstLine="640"/>
        <w:rPr>
          <w:rFonts w:eastAsia="黑体"/>
          <w:sz w:val="32"/>
          <w:szCs w:val="32"/>
        </w:rPr>
      </w:pPr>
      <w:r>
        <w:rPr>
          <w:rFonts w:eastAsia="黑体" w:hint="eastAsia"/>
          <w:sz w:val="32"/>
          <w:szCs w:val="32"/>
        </w:rPr>
        <w:t>十、</w:t>
      </w:r>
      <w:r>
        <w:rPr>
          <w:rFonts w:eastAsia="黑体"/>
          <w:sz w:val="32"/>
          <w:szCs w:val="32"/>
        </w:rPr>
        <w:t>其他需要说明的情况</w:t>
      </w:r>
    </w:p>
    <w:p w:rsidR="0069088A" w:rsidRDefault="0069088A" w:rsidP="0069088A">
      <w:pPr>
        <w:spacing w:line="460" w:lineRule="exact"/>
        <w:ind w:firstLineChars="200" w:firstLine="640"/>
        <w:rPr>
          <w:rFonts w:eastAsia="黑体"/>
          <w:sz w:val="32"/>
          <w:szCs w:val="32"/>
        </w:rPr>
      </w:pPr>
    </w:p>
    <w:p w:rsidR="00163E88" w:rsidRDefault="00163E88"/>
    <w:sectPr w:rsidR="00163E88" w:rsidSect="00163E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088A"/>
    <w:rsid w:val="00163E88"/>
    <w:rsid w:val="006908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8A"/>
    <w:pPr>
      <w:widowControl w:val="0"/>
      <w:jc w:val="both"/>
    </w:pPr>
    <w:rPr>
      <w:rFonts w:ascii="Times New Roman" w:eastAsia="宋体" w:hAnsi="Times New Roman" w:cs="Times New Roman"/>
      <w:szCs w:val="24"/>
    </w:rPr>
  </w:style>
  <w:style w:type="paragraph" w:styleId="1">
    <w:name w:val="heading 1"/>
    <w:basedOn w:val="a"/>
    <w:next w:val="a"/>
    <w:link w:val="1Char"/>
    <w:qFormat/>
    <w:rsid w:val="0069088A"/>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9088A"/>
    <w:rPr>
      <w:rFonts w:ascii="宋体" w:eastAsia="宋体" w:hAnsi="宋体" w:cs="Times New Roman"/>
      <w:b/>
      <w:bCs/>
      <w:kern w:val="44"/>
      <w:sz w:val="48"/>
      <w:szCs w:val="48"/>
    </w:rPr>
  </w:style>
  <w:style w:type="paragraph" w:styleId="a3">
    <w:name w:val="Normal (Web)"/>
    <w:basedOn w:val="a"/>
    <w:qFormat/>
    <w:rsid w:val="0069088A"/>
    <w:pPr>
      <w:spacing w:beforeAutospacing="1" w:afterAutospacing="1"/>
      <w:jc w:val="left"/>
    </w:pPr>
    <w:rPr>
      <w:rFonts w:ascii="Calibri" w:hAnsi="Calibri"/>
      <w:kern w:val="0"/>
      <w:sz w:val="24"/>
    </w:rPr>
  </w:style>
  <w:style w:type="paragraph" w:customStyle="1" w:styleId="10">
    <w:name w:val="列出段落1"/>
    <w:basedOn w:val="a"/>
    <w:qFormat/>
    <w:rsid w:val="0069088A"/>
    <w:pPr>
      <w:ind w:firstLineChars="200" w:firstLine="420"/>
    </w:pPr>
    <w:rPr>
      <w:rFonts w:ascii="仿宋" w:hAnsi="仿宋"/>
      <w:kern w:val="0"/>
      <w:sz w:val="28"/>
    </w:rPr>
  </w:style>
  <w:style w:type="paragraph" w:styleId="a4">
    <w:name w:val="List Paragraph"/>
    <w:basedOn w:val="a"/>
    <w:uiPriority w:val="99"/>
    <w:qFormat/>
    <w:rsid w:val="0069088A"/>
    <w:pPr>
      <w:ind w:firstLineChars="200" w:firstLine="420"/>
    </w:pPr>
    <w:rPr>
      <w:rFonts w:ascii="Calibri" w:hAnsi="Calibri"/>
      <w:kern w:val="0"/>
      <w:sz w:val="28"/>
      <w:szCs w:val="22"/>
    </w:rPr>
  </w:style>
  <w:style w:type="paragraph" w:customStyle="1" w:styleId="211">
    <w:name w:val="正文首行缩进 211"/>
    <w:qFormat/>
    <w:rsid w:val="0069088A"/>
    <w:pPr>
      <w:autoSpaceDE w:val="0"/>
      <w:ind w:left="420" w:firstLine="420"/>
    </w:pPr>
    <w:rPr>
      <w:rFonts w:ascii="Times New Roman" w:eastAsia="Times New Roman" w:hAnsi="Times New Roman" w:cs="Times New Roman"/>
      <w:kern w:val="0"/>
      <w:szCs w:val="20"/>
    </w:rPr>
  </w:style>
  <w:style w:type="paragraph" w:customStyle="1" w:styleId="Default">
    <w:name w:val="Default"/>
    <w:qFormat/>
    <w:rsid w:val="0069088A"/>
    <w:pPr>
      <w:widowControl w:val="0"/>
      <w:autoSpaceDE w:val="0"/>
      <w:autoSpaceDN w:val="0"/>
      <w:adjustRightInd w:val="0"/>
    </w:pPr>
    <w:rPr>
      <w:rFonts w:ascii="黑体" w:eastAsia="黑体" w:hAnsi="Calibri" w:cs="黑体"/>
      <w:color w:val="000000"/>
      <w:kern w:val="0"/>
      <w:sz w:val="24"/>
      <w:szCs w:val="24"/>
    </w:rPr>
  </w:style>
  <w:style w:type="character" w:styleId="a5">
    <w:name w:val="Strong"/>
    <w:basedOn w:val="a0"/>
    <w:qFormat/>
    <w:rsid w:val="0069088A"/>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2024-05-28T06:25:00Z</dcterms:created>
  <dcterms:modified xsi:type="dcterms:W3CDTF">2024-05-28T06:26:00Z</dcterms:modified>
</cp:coreProperties>
</file>