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eastAsia="黑体"/>
          <w:sz w:val="32"/>
          <w:szCs w:val="32"/>
        </w:rPr>
      </w:pPr>
    </w:p>
    <w:p>
      <w:pPr>
        <w:spacing w:line="600" w:lineRule="exact"/>
        <w:rPr>
          <w:rFonts w:eastAsia="黑体"/>
          <w:sz w:val="32"/>
          <w:szCs w:val="32"/>
        </w:rPr>
      </w:pPr>
    </w:p>
    <w:p>
      <w:pPr>
        <w:spacing w:line="600" w:lineRule="exact"/>
        <w:rPr>
          <w:rFonts w:eastAsia="黑体"/>
          <w:sz w:val="32"/>
          <w:szCs w:val="32"/>
        </w:rPr>
      </w:pPr>
    </w:p>
    <w:p>
      <w:pPr>
        <w:spacing w:line="600" w:lineRule="exact"/>
        <w:rPr>
          <w:rFonts w:eastAsia="黑体"/>
          <w:sz w:val="32"/>
          <w:szCs w:val="32"/>
        </w:rPr>
      </w:pPr>
    </w:p>
    <w:p>
      <w:pPr>
        <w:jc w:val="center"/>
        <w:rPr>
          <w:rFonts w:hint="eastAsia" w:ascii="方正小标宋简体" w:eastAsia="方正小标宋简体"/>
          <w:sz w:val="52"/>
          <w:szCs w:val="52"/>
        </w:rPr>
      </w:pPr>
      <w:r>
        <w:rPr>
          <w:rFonts w:hint="eastAsia" w:ascii="方正小标宋简体" w:eastAsia="方正小标宋简体"/>
          <w:sz w:val="52"/>
          <w:szCs w:val="52"/>
        </w:rPr>
        <w:t>2023年度部</w:t>
      </w:r>
      <w:r>
        <w:rPr>
          <w:rFonts w:hint="eastAsia" w:ascii="方正小标宋简体" w:eastAsia="方正小标宋简体"/>
          <w:sz w:val="52"/>
          <w:szCs w:val="52"/>
          <w:lang w:eastAsia="zh-CN"/>
        </w:rPr>
        <w:t>门</w:t>
      </w:r>
      <w:r>
        <w:rPr>
          <w:rFonts w:hint="eastAsia" w:ascii="方正小标宋简体" w:eastAsia="方正小标宋简体"/>
          <w:sz w:val="52"/>
          <w:szCs w:val="52"/>
        </w:rPr>
        <w:t>整体支出</w:t>
      </w:r>
    </w:p>
    <w:p>
      <w:pPr>
        <w:jc w:val="center"/>
        <w:rPr>
          <w:rFonts w:hint="eastAsia" w:ascii="方正小标宋简体" w:eastAsia="方正小标宋简体"/>
          <w:sz w:val="52"/>
          <w:szCs w:val="52"/>
        </w:rPr>
      </w:pPr>
      <w:r>
        <w:rPr>
          <w:rFonts w:hint="eastAsia" w:ascii="方正小标宋简体" w:eastAsia="方正小标宋简体"/>
          <w:sz w:val="52"/>
          <w:szCs w:val="52"/>
        </w:rPr>
        <w:t>绩效自评报告</w:t>
      </w:r>
    </w:p>
    <w:p>
      <w:pPr>
        <w:jc w:val="center"/>
        <w:rPr>
          <w:rFonts w:eastAsia="方正小标宋_GBK"/>
          <w:b/>
          <w:sz w:val="52"/>
          <w:szCs w:val="52"/>
        </w:rPr>
      </w:pPr>
    </w:p>
    <w:p>
      <w:pPr>
        <w:jc w:val="center"/>
        <w:rPr>
          <w:rFonts w:eastAsia="楷体_GB2312"/>
          <w:b/>
          <w:sz w:val="32"/>
          <w:szCs w:val="32"/>
        </w:rPr>
      </w:pPr>
    </w:p>
    <w:p>
      <w:pPr>
        <w:jc w:val="center"/>
        <w:rPr>
          <w:rFonts w:eastAsia="楷体_GB2312"/>
          <w:b/>
          <w:sz w:val="32"/>
          <w:szCs w:val="32"/>
        </w:rPr>
      </w:pPr>
    </w:p>
    <w:p>
      <w:pPr>
        <w:jc w:val="center"/>
        <w:rPr>
          <w:rFonts w:eastAsia="楷体_GB2312"/>
          <w:b/>
          <w:sz w:val="32"/>
          <w:szCs w:val="32"/>
        </w:rPr>
      </w:pPr>
    </w:p>
    <w:p>
      <w:pPr>
        <w:jc w:val="center"/>
        <w:rPr>
          <w:rFonts w:eastAsia="楷体_GB2312"/>
          <w:b/>
          <w:sz w:val="32"/>
          <w:szCs w:val="32"/>
        </w:rPr>
      </w:pPr>
    </w:p>
    <w:p>
      <w:pPr>
        <w:jc w:val="center"/>
        <w:rPr>
          <w:rFonts w:eastAsia="楷体_GB2312"/>
          <w:b/>
          <w:sz w:val="32"/>
          <w:szCs w:val="32"/>
        </w:rPr>
      </w:pPr>
    </w:p>
    <w:p>
      <w:pPr>
        <w:jc w:val="center"/>
        <w:rPr>
          <w:rFonts w:eastAsia="楷体_GB2312"/>
          <w:b/>
          <w:sz w:val="32"/>
          <w:szCs w:val="32"/>
        </w:rPr>
      </w:pPr>
    </w:p>
    <w:p>
      <w:pPr>
        <w:jc w:val="center"/>
        <w:rPr>
          <w:rFonts w:eastAsia="黑体"/>
          <w:sz w:val="32"/>
          <w:szCs w:val="32"/>
        </w:rPr>
      </w:pPr>
    </w:p>
    <w:p>
      <w:pPr>
        <w:jc w:val="center"/>
        <w:rPr>
          <w:rFonts w:eastAsia="黑体"/>
          <w:sz w:val="32"/>
          <w:szCs w:val="32"/>
        </w:rPr>
      </w:pPr>
    </w:p>
    <w:p>
      <w:pPr>
        <w:spacing w:line="600" w:lineRule="exact"/>
        <w:jc w:val="center"/>
        <w:rPr>
          <w:rFonts w:eastAsia="仿宋_GB2312"/>
          <w:sz w:val="32"/>
          <w:szCs w:val="32"/>
          <w:u w:val="single"/>
        </w:rPr>
      </w:pPr>
      <w:r>
        <w:rPr>
          <w:rFonts w:eastAsia="仿宋_GB2312"/>
          <w:sz w:val="32"/>
          <w:szCs w:val="32"/>
        </w:rPr>
        <w:t>单位名称：</w:t>
      </w:r>
      <w:r>
        <w:rPr>
          <w:rFonts w:hint="eastAsia" w:eastAsia="仿宋_GB2312"/>
          <w:sz w:val="32"/>
          <w:szCs w:val="32"/>
          <w:u w:val="single"/>
          <w:lang w:eastAsia="zh-CN"/>
        </w:rPr>
        <w:t>新田县自然资源行政执法大队</w:t>
      </w:r>
      <w:r>
        <w:rPr>
          <w:rFonts w:eastAsia="仿宋_GB2312"/>
          <w:sz w:val="32"/>
          <w:szCs w:val="32"/>
          <w:u w:val="single"/>
        </w:rPr>
        <w:t>（盖章）</w:t>
      </w:r>
    </w:p>
    <w:p>
      <w:pPr>
        <w:spacing w:line="600" w:lineRule="exact"/>
        <w:ind w:firstLine="3200" w:firstLineChars="1000"/>
        <w:rPr>
          <w:rFonts w:eastAsia="楷体_GB2312"/>
          <w:sz w:val="32"/>
          <w:szCs w:val="32"/>
        </w:rPr>
      </w:pPr>
      <w:r>
        <w:rPr>
          <w:rFonts w:hint="eastAsia" w:eastAsia="楷体_GB2312"/>
          <w:sz w:val="32"/>
          <w:szCs w:val="32"/>
          <w:lang w:val="en-US" w:eastAsia="zh-CN"/>
        </w:rPr>
        <w:t>2024</w:t>
      </w:r>
      <w:r>
        <w:rPr>
          <w:rFonts w:eastAsia="楷体_GB2312"/>
          <w:sz w:val="32"/>
          <w:szCs w:val="32"/>
        </w:rPr>
        <w:t xml:space="preserve">年 </w:t>
      </w:r>
      <w:r>
        <w:rPr>
          <w:rFonts w:hint="eastAsia" w:eastAsia="楷体_GB2312"/>
          <w:sz w:val="32"/>
          <w:szCs w:val="32"/>
          <w:lang w:val="en-US" w:eastAsia="zh-CN"/>
        </w:rPr>
        <w:t>5</w:t>
      </w:r>
      <w:r>
        <w:rPr>
          <w:rFonts w:eastAsia="楷体_GB2312"/>
          <w:sz w:val="32"/>
          <w:szCs w:val="32"/>
        </w:rPr>
        <w:t xml:space="preserve"> 月 </w:t>
      </w:r>
      <w:r>
        <w:rPr>
          <w:rFonts w:hint="eastAsia" w:eastAsia="楷体_GB2312"/>
          <w:sz w:val="32"/>
          <w:szCs w:val="32"/>
          <w:lang w:val="en-US" w:eastAsia="zh-CN"/>
        </w:rPr>
        <w:t>29</w:t>
      </w:r>
      <w:r>
        <w:rPr>
          <w:rFonts w:eastAsia="楷体_GB2312"/>
          <w:sz w:val="32"/>
          <w:szCs w:val="32"/>
        </w:rPr>
        <w:t xml:space="preserve"> 日</w:t>
      </w:r>
    </w:p>
    <w:p>
      <w:pPr>
        <w:jc w:val="center"/>
        <w:rPr>
          <w:rFonts w:eastAsia="黑体"/>
          <w:sz w:val="32"/>
          <w:szCs w:val="32"/>
        </w:rPr>
      </w:pPr>
    </w:p>
    <w:p>
      <w:pPr>
        <w:jc w:val="center"/>
        <w:rPr>
          <w:rFonts w:eastAsia="仿宋_GB2312"/>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eastAsia="黑体"/>
          <w:sz w:val="32"/>
          <w:szCs w:val="32"/>
        </w:rPr>
      </w:pPr>
      <w:r>
        <w:rPr>
          <w:rFonts w:eastAsia="仿宋_GB2312"/>
          <w:sz w:val="32"/>
          <w:szCs w:val="32"/>
        </w:rPr>
        <w:br w:type="page"/>
      </w:r>
      <w:r>
        <w:rPr>
          <w:rFonts w:hint="eastAsia" w:ascii="黑体" w:hAnsi="黑体" w:eastAsia="黑体" w:cs="黑体"/>
          <w:sz w:val="32"/>
          <w:szCs w:val="32"/>
        </w:rPr>
        <w:t>一、</w:t>
      </w:r>
      <w:r>
        <w:rPr>
          <w:rFonts w:eastAsia="黑体"/>
          <w:sz w:val="32"/>
          <w:szCs w:val="32"/>
        </w:rPr>
        <w:t>部门（单位）基本情况</w:t>
      </w:r>
    </w:p>
    <w:p>
      <w:pPr>
        <w:keepNext w:val="0"/>
        <w:keepLines w:val="0"/>
        <w:pageBreakBefore w:val="0"/>
        <w:widowControl w:val="0"/>
        <w:kinsoku/>
        <w:wordWrap/>
        <w:overflowPunct/>
        <w:topLinePunct w:val="0"/>
        <w:autoSpaceDE/>
        <w:autoSpaceDN/>
        <w:bidi w:val="0"/>
        <w:adjustRightInd/>
        <w:snapToGrid/>
        <w:spacing w:line="460"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（一）部门（单位）职能职责、机构编制、人员构成等。</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本部门为新田县自然资源局的二级机构。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1、职能职责：</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贯彻执行有关自然资源行政执法方面的法律法规、规章和政策，协助起草并实施自然资源行政执法工作规划，监管制度，承担全县自然资源行政执法工作业务指导、组织协调；负责全县的土地、矿产、测绘、国土空间规划、林业等自然资源方面的执法工作；根据授权或委托，组织协调跨区域及重大复杂自然资源领域的违法违规案件的查处；负责自然资源领域违法违规行为举报投诉的受理和转处理工作，负责管理自然资源领域违法线索投诉举报平台、自然资源执法综合监管平台，负责自然资源相关线索或案件的移送工作；负责指导、开展自然资源行政执法信息化建设、执法人员业务培训工作；完成县自然资源局交办的其他事项。</w:t>
      </w:r>
    </w:p>
    <w:p>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机构编制、人员构成等</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hint="default" w:ascii="仿宋_GB2312" w:eastAsia="仿宋_GB2312"/>
          <w:sz w:val="32"/>
          <w:szCs w:val="32"/>
          <w:lang w:val="en-US" w:eastAsia="zh-CN"/>
        </w:rPr>
      </w:pPr>
      <w:r>
        <w:rPr>
          <w:rFonts w:hint="default" w:ascii="仿宋_GB2312" w:eastAsia="仿宋_GB2312"/>
          <w:sz w:val="32"/>
          <w:szCs w:val="32"/>
          <w:lang w:val="en-US" w:eastAsia="zh-CN"/>
        </w:rPr>
        <w:t>自然资源行政执法大队内设3个机构，下设3个执法中队。</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hint="default" w:ascii="仿宋_GB2312" w:eastAsia="仿宋_GB2312"/>
          <w:sz w:val="32"/>
          <w:szCs w:val="32"/>
          <w:lang w:val="en-US" w:eastAsia="zh-CN"/>
        </w:rPr>
      </w:pPr>
      <w:r>
        <w:rPr>
          <w:rFonts w:hint="eastAsia" w:ascii="仿宋_GB2312" w:eastAsia="仿宋_GB2312"/>
          <w:sz w:val="32"/>
          <w:szCs w:val="32"/>
          <w:lang w:val="en-US" w:eastAsia="zh-CN"/>
        </w:rPr>
        <w:t>（1）</w:t>
      </w:r>
      <w:r>
        <w:rPr>
          <w:rFonts w:hint="default" w:ascii="仿宋_GB2312" w:eastAsia="仿宋_GB2312"/>
          <w:sz w:val="32"/>
          <w:szCs w:val="32"/>
          <w:lang w:val="en-US" w:eastAsia="zh-CN"/>
        </w:rPr>
        <w:t>综合室。负责大队日常运转工作;承担公文处理、政务公开、文书编制、安全保密、会务组织、政务协调、档案管理等工作。</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hint="default" w:ascii="仿宋_GB2312" w:eastAsia="仿宋_GB2312"/>
          <w:sz w:val="32"/>
          <w:szCs w:val="32"/>
          <w:lang w:val="en-US" w:eastAsia="zh-CN"/>
        </w:rPr>
      </w:pPr>
      <w:r>
        <w:rPr>
          <w:rFonts w:hint="eastAsia" w:ascii="仿宋_GB2312" w:eastAsia="仿宋_GB2312"/>
          <w:sz w:val="32"/>
          <w:szCs w:val="32"/>
          <w:lang w:val="en-US" w:eastAsia="zh-CN"/>
        </w:rPr>
        <w:t>（2）</w:t>
      </w:r>
      <w:r>
        <w:rPr>
          <w:rFonts w:hint="default" w:ascii="仿宋_GB2312" w:eastAsia="仿宋_GB2312"/>
          <w:sz w:val="32"/>
          <w:szCs w:val="32"/>
          <w:lang w:val="en-US" w:eastAsia="zh-CN"/>
        </w:rPr>
        <w:t>案件审理室。负责自然资源执法案件的审理，配合自然资源局完成法制审核，听证组织、行政复议、行政应诉和规范性文件修订等工作;负责全县自然资源行政执法案卷评查工作;负责立案号的分发、档案管理工作。</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hint="default" w:ascii="仿宋_GB2312" w:eastAsia="仿宋_GB2312"/>
          <w:sz w:val="32"/>
          <w:szCs w:val="32"/>
          <w:lang w:val="en-US" w:eastAsia="zh-CN"/>
        </w:rPr>
      </w:pPr>
      <w:r>
        <w:rPr>
          <w:rFonts w:hint="eastAsia" w:ascii="仿宋_GB2312" w:eastAsia="仿宋_GB2312"/>
          <w:sz w:val="32"/>
          <w:szCs w:val="32"/>
          <w:lang w:val="en-US" w:eastAsia="zh-CN"/>
        </w:rPr>
        <w:t>（3）</w:t>
      </w:r>
      <w:r>
        <w:rPr>
          <w:rFonts w:hint="default" w:ascii="仿宋_GB2312" w:eastAsia="仿宋_GB2312"/>
          <w:sz w:val="32"/>
          <w:szCs w:val="32"/>
          <w:lang w:val="en-US" w:eastAsia="zh-CN"/>
        </w:rPr>
        <w:t>卫片执法室。负责卫片执法、闲置土地、综合执法监管平台、农村乱占耕地建房等国家、省安排的专项性工作。</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hint="default" w:ascii="仿宋_GB2312" w:eastAsia="仿宋_GB2312"/>
          <w:sz w:val="32"/>
          <w:szCs w:val="32"/>
          <w:lang w:val="en-US" w:eastAsia="zh-CN"/>
        </w:rPr>
      </w:pPr>
      <w:r>
        <w:rPr>
          <w:rFonts w:hint="eastAsia" w:ascii="仿宋_GB2312" w:eastAsia="仿宋_GB2312"/>
          <w:sz w:val="32"/>
          <w:szCs w:val="32"/>
          <w:lang w:val="en-US" w:eastAsia="zh-CN"/>
        </w:rPr>
        <w:t>（4）</w:t>
      </w:r>
      <w:r>
        <w:rPr>
          <w:rFonts w:hint="default" w:ascii="仿宋_GB2312" w:eastAsia="仿宋_GB2312"/>
          <w:sz w:val="32"/>
          <w:szCs w:val="32"/>
          <w:lang w:val="en-US" w:eastAsia="zh-CN"/>
        </w:rPr>
        <w:t>自然资源行政执法一中队。负责龙泉街道、枧头镇、金盆镇、金陵镇、骥村镇、门楼下瑶族乡辖区内自然资</w:t>
      </w:r>
      <w:r>
        <w:rPr>
          <w:rFonts w:hint="eastAsia" w:ascii="仿宋_GB2312" w:eastAsia="仿宋_GB2312"/>
          <w:sz w:val="32"/>
          <w:szCs w:val="32"/>
          <w:lang w:val="en-US" w:eastAsia="zh-CN"/>
        </w:rPr>
        <w:t xml:space="preserve"> </w:t>
      </w:r>
      <w:r>
        <w:rPr>
          <w:rFonts w:hint="default" w:ascii="仿宋_GB2312" w:eastAsia="仿宋_GB2312"/>
          <w:sz w:val="32"/>
          <w:szCs w:val="32"/>
          <w:lang w:val="en-US" w:eastAsia="zh-CN"/>
        </w:rPr>
        <w:t>源领域的行政执法工作。承担本辖区内自然资源违法线索的核查处理以及案件的移送工作,开展本辖区违法违规行为清理整治专项行动，参与联合执法和建设工程的用地和规划批后监管。</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hint="default" w:ascii="仿宋_GB2312" w:eastAsia="仿宋_GB2312"/>
          <w:sz w:val="32"/>
          <w:szCs w:val="32"/>
          <w:lang w:val="en-US" w:eastAsia="zh-CN"/>
        </w:rPr>
      </w:pPr>
      <w:r>
        <w:rPr>
          <w:rFonts w:hint="eastAsia" w:ascii="仿宋_GB2312" w:eastAsia="仿宋_GB2312"/>
          <w:sz w:val="32"/>
          <w:szCs w:val="32"/>
          <w:lang w:val="en-US" w:eastAsia="zh-CN"/>
        </w:rPr>
        <w:t>（5）</w:t>
      </w:r>
      <w:r>
        <w:rPr>
          <w:rFonts w:hint="default" w:ascii="仿宋_GB2312" w:eastAsia="仿宋_GB2312"/>
          <w:sz w:val="32"/>
          <w:szCs w:val="32"/>
          <w:lang w:val="en-US" w:eastAsia="zh-CN"/>
        </w:rPr>
        <w:t>自然资源行政执法二中队。负责中山街道、三井镇、石羊镇、陶岭镇、大坪塘镇、新圩镇、新隆镇辖区内自然资源领域的行政执法工作。承担本辖区内自然资源违法线索的核查处理以及案件的移送工作,开展本辖区违法违规行为清理整治专项行动，参与联合执法和建设工程的用地和规划批后监管。</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hint="default" w:ascii="仿宋_GB2312" w:eastAsia="仿宋_GB2312"/>
          <w:sz w:val="32"/>
          <w:szCs w:val="32"/>
          <w:lang w:val="en-US" w:eastAsia="zh-CN"/>
        </w:rPr>
      </w:pPr>
      <w:r>
        <w:rPr>
          <w:rFonts w:hint="eastAsia" w:ascii="仿宋_GB2312" w:eastAsia="仿宋_GB2312"/>
          <w:sz w:val="32"/>
          <w:szCs w:val="32"/>
          <w:lang w:val="en-US" w:eastAsia="zh-CN"/>
        </w:rPr>
        <w:t>（6）</w:t>
      </w:r>
      <w:r>
        <w:rPr>
          <w:rFonts w:hint="default" w:ascii="仿宋_GB2312" w:eastAsia="仿宋_GB2312"/>
          <w:sz w:val="32"/>
          <w:szCs w:val="32"/>
          <w:lang w:val="en-US" w:eastAsia="zh-CN"/>
        </w:rPr>
        <w:t>自然资源行政执法三中队。负责全县林业相关执法工作;负责森林植物疫病检疫、陆生野生动物、珍稀动植物资源保护等工作;负责木材道路运输检查(巡查)工作;负责林地、林木和林木种子、苗木等行政执法工作。</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hint="default" w:ascii="仿宋_GB2312" w:eastAsia="仿宋_GB2312"/>
          <w:sz w:val="32"/>
          <w:szCs w:val="32"/>
          <w:lang w:val="en-US" w:eastAsia="zh-CN"/>
        </w:rPr>
      </w:pPr>
      <w:r>
        <w:rPr>
          <w:rFonts w:hint="default" w:ascii="仿宋_GB2312" w:eastAsia="仿宋_GB2312"/>
          <w:sz w:val="32"/>
          <w:szCs w:val="32"/>
          <w:lang w:val="en-US" w:eastAsia="zh-CN"/>
        </w:rPr>
        <w:t>新田县自然资源行政执法大队核定事业编制92名,设大队长1名(副科级)，副大队长3名(正股级)。202</w:t>
      </w:r>
      <w:r>
        <w:rPr>
          <w:rFonts w:hint="eastAsia" w:ascii="仿宋_GB2312" w:eastAsia="仿宋_GB2312"/>
          <w:sz w:val="32"/>
          <w:szCs w:val="32"/>
          <w:lang w:val="en-US" w:eastAsia="zh-CN"/>
        </w:rPr>
        <w:t>3</w:t>
      </w:r>
      <w:r>
        <w:rPr>
          <w:rFonts w:hint="default" w:ascii="仿宋_GB2312" w:eastAsia="仿宋_GB2312"/>
          <w:sz w:val="32"/>
          <w:szCs w:val="32"/>
          <w:lang w:val="en-US" w:eastAsia="zh-CN"/>
        </w:rPr>
        <w:t>年本部门人员编制</w:t>
      </w:r>
      <w:r>
        <w:rPr>
          <w:rFonts w:hint="eastAsia" w:ascii="仿宋_GB2312" w:eastAsia="仿宋_GB2312"/>
          <w:sz w:val="32"/>
          <w:szCs w:val="32"/>
          <w:lang w:val="en-US" w:eastAsia="zh-CN"/>
        </w:rPr>
        <w:t>96</w:t>
      </w:r>
      <w:r>
        <w:rPr>
          <w:rFonts w:hint="default" w:ascii="仿宋_GB2312" w:eastAsia="仿宋_GB2312"/>
          <w:sz w:val="32"/>
          <w:szCs w:val="32"/>
          <w:lang w:val="en-US" w:eastAsia="zh-CN"/>
        </w:rPr>
        <w:t>人，</w:t>
      </w:r>
      <w:r>
        <w:rPr>
          <w:rFonts w:hint="eastAsia" w:ascii="仿宋_GB2312" w:eastAsia="仿宋_GB2312"/>
          <w:sz w:val="32"/>
          <w:szCs w:val="32"/>
          <w:lang w:val="en-US" w:eastAsia="zh-CN"/>
        </w:rPr>
        <w:t>实际编制数64人，</w:t>
      </w:r>
      <w:r>
        <w:rPr>
          <w:rFonts w:hint="default" w:ascii="仿宋_GB2312" w:eastAsia="仿宋_GB2312"/>
          <w:sz w:val="32"/>
          <w:szCs w:val="32"/>
          <w:lang w:val="en-US" w:eastAsia="zh-CN"/>
        </w:rPr>
        <w:t>实有在职人员</w:t>
      </w:r>
      <w:r>
        <w:rPr>
          <w:rFonts w:hint="eastAsia" w:ascii="仿宋_GB2312" w:eastAsia="仿宋_GB2312"/>
          <w:sz w:val="32"/>
          <w:szCs w:val="32"/>
          <w:lang w:val="en-US" w:eastAsia="zh-CN"/>
        </w:rPr>
        <w:t>31</w:t>
      </w:r>
      <w:r>
        <w:rPr>
          <w:rFonts w:hint="default" w:ascii="仿宋_GB2312" w:eastAsia="仿宋_GB2312"/>
          <w:sz w:val="32"/>
          <w:szCs w:val="32"/>
          <w:lang w:val="en-US" w:eastAsia="zh-CN"/>
        </w:rPr>
        <w:t>人，退休人员</w:t>
      </w:r>
      <w:r>
        <w:rPr>
          <w:rFonts w:hint="eastAsia" w:ascii="仿宋_GB2312" w:eastAsia="仿宋_GB2312"/>
          <w:sz w:val="32"/>
          <w:szCs w:val="32"/>
          <w:lang w:val="en-US" w:eastAsia="zh-CN"/>
        </w:rPr>
        <w:t>6</w:t>
      </w:r>
      <w:r>
        <w:rPr>
          <w:rFonts w:hint="default" w:ascii="仿宋_GB2312" w:eastAsia="仿宋_GB2312"/>
          <w:sz w:val="32"/>
          <w:szCs w:val="32"/>
          <w:lang w:val="en-US" w:eastAsia="zh-CN"/>
        </w:rPr>
        <w:t>人，合计实有</w:t>
      </w:r>
      <w:r>
        <w:rPr>
          <w:rFonts w:hint="eastAsia" w:ascii="仿宋_GB2312" w:eastAsia="仿宋_GB2312"/>
          <w:sz w:val="32"/>
          <w:szCs w:val="32"/>
          <w:lang w:val="en-US" w:eastAsia="zh-CN"/>
        </w:rPr>
        <w:t>31</w:t>
      </w:r>
      <w:r>
        <w:rPr>
          <w:rFonts w:hint="default" w:ascii="仿宋_GB2312" w:eastAsia="仿宋_GB2312"/>
          <w:sz w:val="32"/>
          <w:szCs w:val="32"/>
          <w:lang w:val="en-US" w:eastAsia="zh-CN"/>
        </w:rPr>
        <w:t>人。</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3、其他事项。</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撤销新田县国土资源执法监察大队、林业综合行政执法大队(及其下属机构)、规划执法监察大队，其人员相应划入自然资源行政执法大队，原核定编制收回至县编制库。</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hint="default" w:ascii="仿宋_GB2312" w:eastAsia="仿宋_GB2312"/>
          <w:sz w:val="32"/>
          <w:szCs w:val="32"/>
          <w:lang w:val="en-US" w:eastAsia="zh-CN"/>
        </w:rPr>
      </w:pPr>
      <w:r>
        <w:rPr>
          <w:rFonts w:hint="eastAsia" w:ascii="仿宋_GB2312" w:eastAsia="仿宋_GB2312"/>
          <w:sz w:val="32"/>
          <w:szCs w:val="32"/>
          <w:lang w:val="en-US" w:eastAsia="zh-CN"/>
        </w:rPr>
        <w:t>2023年年初，新田县控违拆违工作领导小组办公室挂靠本单位账户进行财务独立核算。</w:t>
      </w:r>
    </w:p>
    <w:p>
      <w:pPr>
        <w:keepNext w:val="0"/>
        <w:keepLines w:val="0"/>
        <w:pageBreakBefore w:val="0"/>
        <w:widowControl w:val="0"/>
        <w:numPr>
          <w:ilvl w:val="0"/>
          <w:numId w:val="2"/>
        </w:numPr>
        <w:kinsoku/>
        <w:wordWrap/>
        <w:overflowPunct/>
        <w:topLinePunct w:val="0"/>
        <w:autoSpaceDE/>
        <w:autoSpaceDN/>
        <w:bidi w:val="0"/>
        <w:adjustRightInd/>
        <w:snapToGrid/>
        <w:spacing w:line="460" w:lineRule="exact"/>
        <w:ind w:firstLine="643" w:firstLineChars="200"/>
        <w:textAlignment w:val="auto"/>
        <w:rPr>
          <w:rFonts w:hint="eastAsia" w:eastAsia="仿宋_GB2312"/>
          <w:b/>
          <w:bCs/>
          <w:color w:val="000000"/>
          <w:sz w:val="32"/>
          <w:szCs w:val="32"/>
        </w:rPr>
      </w:pPr>
      <w:r>
        <w:rPr>
          <w:rFonts w:hint="eastAsia" w:ascii="仿宋_GB2312" w:eastAsia="仿宋_GB2312"/>
          <w:b/>
          <w:bCs/>
          <w:sz w:val="32"/>
          <w:szCs w:val="32"/>
        </w:rPr>
        <w:t>部门（单位）整体支出规模</w:t>
      </w:r>
      <w:r>
        <w:rPr>
          <w:rFonts w:hint="eastAsia" w:ascii="仿宋_GB2312" w:hAnsi="仿宋_GB2312" w:eastAsia="仿宋_GB2312" w:cs="仿宋_GB2312"/>
          <w:b/>
          <w:bCs/>
          <w:sz w:val="32"/>
          <w:szCs w:val="32"/>
        </w:rPr>
        <w:t>，</w:t>
      </w:r>
      <w:r>
        <w:rPr>
          <w:rFonts w:hint="eastAsia" w:eastAsia="仿宋_GB2312"/>
          <w:b/>
          <w:bCs/>
          <w:color w:val="000000"/>
          <w:sz w:val="32"/>
          <w:szCs w:val="32"/>
        </w:rPr>
        <w:t>包括但不限于部门整体支出情况、部门预算收支决算情况及“三公经费”支出使用和管理情况。</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hint="default" w:eastAsia="仿宋_GB2312"/>
          <w:color w:val="000000"/>
          <w:sz w:val="32"/>
          <w:szCs w:val="32"/>
          <w:lang w:val="en-US" w:eastAsia="zh-CN"/>
        </w:rPr>
      </w:pPr>
      <w:r>
        <w:rPr>
          <w:rFonts w:hint="eastAsia" w:eastAsia="仿宋_GB2312"/>
          <w:color w:val="000000"/>
          <w:sz w:val="32"/>
          <w:szCs w:val="32"/>
          <w:lang w:eastAsia="zh-CN"/>
        </w:rPr>
        <w:t>部门整体支出规模：</w:t>
      </w:r>
      <w:r>
        <w:rPr>
          <w:rFonts w:hint="eastAsia" w:eastAsia="仿宋_GB2312"/>
          <w:color w:val="000000"/>
          <w:sz w:val="32"/>
          <w:szCs w:val="32"/>
          <w:lang w:val="en-US" w:eastAsia="zh-CN"/>
        </w:rPr>
        <w:t>2023年部门整体支出933.50万元，其中一般公共预算支出918.77万元，其他支出14.73万元。2023年年初预算1012.50万元，实际支出金额933.50万元。“三公”经费金额1.50万元，本单位严格控制“三公”经费，无铺张浪费情况发生。</w:t>
      </w:r>
    </w:p>
    <w:p>
      <w:pPr>
        <w:pStyle w:val="4"/>
        <w:keepNext w:val="0"/>
        <w:keepLines w:val="0"/>
        <w:pageBreakBefore w:val="0"/>
        <w:widowControl w:val="0"/>
        <w:kinsoku/>
        <w:wordWrap/>
        <w:overflowPunct/>
        <w:topLinePunct w:val="0"/>
        <w:autoSpaceDE/>
        <w:autoSpaceDN/>
        <w:bidi w:val="0"/>
        <w:adjustRightInd/>
        <w:snapToGrid/>
        <w:spacing w:line="460" w:lineRule="exact"/>
        <w:ind w:firstLine="640"/>
        <w:textAlignment w:val="auto"/>
        <w:rPr>
          <w:rFonts w:ascii="Times New Roman" w:hAnsi="Times New Roman" w:eastAsia="黑体"/>
          <w:sz w:val="32"/>
          <w:szCs w:val="32"/>
        </w:rPr>
      </w:pPr>
      <w:r>
        <w:rPr>
          <w:rFonts w:ascii="Times New Roman" w:hAnsi="Times New Roman" w:eastAsia="黑体"/>
          <w:sz w:val="32"/>
          <w:szCs w:val="32"/>
        </w:rPr>
        <w:t>二、一般公共预算支出情况</w:t>
      </w:r>
    </w:p>
    <w:p>
      <w:pPr>
        <w:pStyle w:val="4"/>
        <w:keepNext w:val="0"/>
        <w:keepLines w:val="0"/>
        <w:pageBreakBefore w:val="0"/>
        <w:widowControl w:val="0"/>
        <w:kinsoku/>
        <w:wordWrap/>
        <w:overflowPunct/>
        <w:topLinePunct w:val="0"/>
        <w:autoSpaceDE/>
        <w:autoSpaceDN/>
        <w:bidi w:val="0"/>
        <w:adjustRightInd/>
        <w:snapToGrid/>
        <w:spacing w:line="460" w:lineRule="exact"/>
        <w:ind w:firstLine="640"/>
        <w:textAlignment w:val="auto"/>
        <w:rPr>
          <w:rFonts w:ascii="Times New Roman" w:hAnsi="Times New Roman" w:eastAsia="仿宋_GB2312"/>
          <w:b/>
          <w:bCs/>
          <w:sz w:val="32"/>
          <w:szCs w:val="32"/>
        </w:rPr>
      </w:pPr>
      <w:r>
        <w:rPr>
          <w:rFonts w:ascii="Times New Roman" w:hAnsi="Times New Roman" w:eastAsia="仿宋_GB2312"/>
          <w:b/>
          <w:bCs/>
          <w:sz w:val="32"/>
          <w:szCs w:val="32"/>
        </w:rPr>
        <w:t>（一）基本支出情况</w:t>
      </w:r>
    </w:p>
    <w:p>
      <w:pPr>
        <w:pStyle w:val="4"/>
        <w:keepNext w:val="0"/>
        <w:keepLines w:val="0"/>
        <w:pageBreakBefore w:val="0"/>
        <w:widowControl w:val="0"/>
        <w:kinsoku/>
        <w:wordWrap/>
        <w:overflowPunct/>
        <w:topLinePunct w:val="0"/>
        <w:autoSpaceDE/>
        <w:autoSpaceDN/>
        <w:bidi w:val="0"/>
        <w:adjustRightInd/>
        <w:snapToGrid/>
        <w:spacing w:line="460" w:lineRule="exact"/>
        <w:ind w:firstLine="640"/>
        <w:textAlignment w:val="auto"/>
        <w:rPr>
          <w:rFonts w:hint="eastAsia" w:ascii="Times New Roman" w:hAnsi="Times New Roman" w:eastAsia="仿宋_GB2312"/>
          <w:b w:val="0"/>
          <w:bCs w:val="0"/>
          <w:sz w:val="32"/>
          <w:szCs w:val="32"/>
        </w:rPr>
      </w:pPr>
      <w:r>
        <w:rPr>
          <w:rFonts w:hint="eastAsia" w:ascii="Times New Roman" w:hAnsi="Times New Roman" w:eastAsia="仿宋_GB2312"/>
          <w:b w:val="0"/>
          <w:bCs w:val="0"/>
          <w:sz w:val="32"/>
          <w:szCs w:val="32"/>
        </w:rPr>
        <w:t>本部门202</w:t>
      </w:r>
      <w:r>
        <w:rPr>
          <w:rFonts w:hint="eastAsia" w:ascii="Times New Roman" w:hAnsi="Times New Roman" w:eastAsia="仿宋_GB2312"/>
          <w:b w:val="0"/>
          <w:bCs w:val="0"/>
          <w:sz w:val="32"/>
          <w:szCs w:val="32"/>
          <w:lang w:val="en-US" w:eastAsia="zh-CN"/>
        </w:rPr>
        <w:t>3</w:t>
      </w:r>
      <w:r>
        <w:rPr>
          <w:rFonts w:hint="eastAsia" w:ascii="Times New Roman" w:hAnsi="Times New Roman" w:eastAsia="仿宋_GB2312"/>
          <w:b w:val="0"/>
          <w:bCs w:val="0"/>
          <w:sz w:val="32"/>
          <w:szCs w:val="32"/>
        </w:rPr>
        <w:t>年度财政拨款基本支出</w:t>
      </w:r>
      <w:r>
        <w:rPr>
          <w:rFonts w:hint="eastAsia" w:ascii="Times New Roman" w:hAnsi="Times New Roman" w:eastAsia="仿宋_GB2312"/>
          <w:b w:val="0"/>
          <w:bCs w:val="0"/>
          <w:sz w:val="32"/>
          <w:szCs w:val="32"/>
          <w:lang w:val="en-US" w:eastAsia="zh-CN"/>
        </w:rPr>
        <w:t>814.43</w:t>
      </w:r>
      <w:r>
        <w:rPr>
          <w:rFonts w:hint="eastAsia" w:ascii="Times New Roman" w:hAnsi="Times New Roman" w:eastAsia="仿宋_GB2312"/>
          <w:b w:val="0"/>
          <w:bCs w:val="0"/>
          <w:sz w:val="32"/>
          <w:szCs w:val="32"/>
        </w:rPr>
        <w:t>万元，其中：人员经费</w:t>
      </w:r>
      <w:r>
        <w:rPr>
          <w:rFonts w:hint="eastAsia" w:ascii="Times New Roman" w:hAnsi="Times New Roman" w:eastAsia="仿宋_GB2312"/>
          <w:b w:val="0"/>
          <w:bCs w:val="0"/>
          <w:sz w:val="32"/>
          <w:szCs w:val="32"/>
          <w:lang w:val="en-US" w:eastAsia="zh-CN"/>
        </w:rPr>
        <w:t>609.03</w:t>
      </w:r>
      <w:r>
        <w:rPr>
          <w:rFonts w:hint="eastAsia" w:ascii="Times New Roman" w:hAnsi="Times New Roman" w:eastAsia="仿宋_GB2312"/>
          <w:b w:val="0"/>
          <w:bCs w:val="0"/>
          <w:sz w:val="32"/>
          <w:szCs w:val="32"/>
        </w:rPr>
        <w:t>万元，主要包括：基本工资、津贴补贴、奖金、伙食补助费、绩效工资、机关事业单位基本养老保险缴费、职业年金缴费、职工基本医疗保险缴费、其他社会保障缴费、医疗费、其他工资福利支出等；公用经费</w:t>
      </w:r>
      <w:r>
        <w:rPr>
          <w:rFonts w:hint="eastAsia" w:ascii="Times New Roman" w:hAnsi="Times New Roman" w:eastAsia="仿宋_GB2312"/>
          <w:b w:val="0"/>
          <w:bCs w:val="0"/>
          <w:sz w:val="32"/>
          <w:szCs w:val="32"/>
          <w:lang w:val="en-US" w:eastAsia="zh-CN"/>
        </w:rPr>
        <w:t>205.40</w:t>
      </w:r>
      <w:r>
        <w:rPr>
          <w:rFonts w:hint="eastAsia" w:ascii="Times New Roman" w:hAnsi="Times New Roman" w:eastAsia="仿宋_GB2312"/>
          <w:b w:val="0"/>
          <w:bCs w:val="0"/>
          <w:sz w:val="32"/>
          <w:szCs w:val="32"/>
        </w:rPr>
        <w:t>万元，主要包括：办公费、印刷费、水费、电费、差旅费、租赁费、公务接待费、福利费、公务用车维护费、其他交通费用、其他商品和服务支出等</w:t>
      </w:r>
    </w:p>
    <w:p>
      <w:pPr>
        <w:pStyle w:val="4"/>
        <w:keepNext w:val="0"/>
        <w:keepLines w:val="0"/>
        <w:pageBreakBefore w:val="0"/>
        <w:widowControl w:val="0"/>
        <w:kinsoku/>
        <w:wordWrap/>
        <w:overflowPunct/>
        <w:topLinePunct w:val="0"/>
        <w:autoSpaceDE/>
        <w:autoSpaceDN/>
        <w:bidi w:val="0"/>
        <w:adjustRightInd/>
        <w:snapToGrid/>
        <w:spacing w:line="460" w:lineRule="exact"/>
        <w:ind w:firstLine="640"/>
        <w:textAlignment w:val="auto"/>
        <w:rPr>
          <w:rFonts w:hint="eastAsia" w:ascii="Times New Roman" w:hAnsi="Times New Roman" w:eastAsia="仿宋_GB2312"/>
          <w:b w:val="0"/>
          <w:bCs w:val="0"/>
          <w:sz w:val="32"/>
          <w:szCs w:val="32"/>
        </w:rPr>
      </w:pPr>
      <w:r>
        <w:rPr>
          <w:rFonts w:hint="eastAsia" w:ascii="Times New Roman" w:hAnsi="Times New Roman" w:eastAsia="仿宋_GB2312"/>
          <w:b w:val="0"/>
          <w:bCs w:val="0"/>
          <w:sz w:val="32"/>
          <w:szCs w:val="32"/>
        </w:rPr>
        <w:t>本部门202</w:t>
      </w:r>
      <w:r>
        <w:rPr>
          <w:rFonts w:hint="eastAsia" w:ascii="Times New Roman" w:hAnsi="Times New Roman" w:eastAsia="仿宋_GB2312"/>
          <w:b w:val="0"/>
          <w:bCs w:val="0"/>
          <w:sz w:val="32"/>
          <w:szCs w:val="32"/>
          <w:lang w:val="en-US" w:eastAsia="zh-CN"/>
        </w:rPr>
        <w:t>3</w:t>
      </w:r>
      <w:r>
        <w:rPr>
          <w:rFonts w:hint="eastAsia" w:ascii="Times New Roman" w:hAnsi="Times New Roman" w:eastAsia="仿宋_GB2312"/>
          <w:b w:val="0"/>
          <w:bCs w:val="0"/>
          <w:sz w:val="32"/>
          <w:szCs w:val="32"/>
        </w:rPr>
        <w:t>年度“三公”经费财政拨款支出决算中：</w:t>
      </w:r>
    </w:p>
    <w:p>
      <w:pPr>
        <w:pStyle w:val="4"/>
        <w:keepNext w:val="0"/>
        <w:keepLines w:val="0"/>
        <w:pageBreakBefore w:val="0"/>
        <w:widowControl w:val="0"/>
        <w:kinsoku/>
        <w:wordWrap/>
        <w:overflowPunct/>
        <w:topLinePunct w:val="0"/>
        <w:autoSpaceDE/>
        <w:autoSpaceDN/>
        <w:bidi w:val="0"/>
        <w:adjustRightInd/>
        <w:snapToGrid/>
        <w:spacing w:line="460" w:lineRule="exact"/>
        <w:ind w:firstLine="640"/>
        <w:textAlignment w:val="auto"/>
        <w:rPr>
          <w:rFonts w:hint="eastAsia" w:ascii="Times New Roman" w:hAnsi="Times New Roman" w:eastAsia="仿宋_GB2312"/>
          <w:b w:val="0"/>
          <w:bCs w:val="0"/>
          <w:sz w:val="32"/>
          <w:szCs w:val="32"/>
        </w:rPr>
      </w:pPr>
      <w:r>
        <w:rPr>
          <w:rFonts w:hint="eastAsia" w:ascii="Times New Roman" w:hAnsi="Times New Roman" w:eastAsia="仿宋_GB2312"/>
          <w:b w:val="0"/>
          <w:bCs w:val="0"/>
          <w:sz w:val="32"/>
          <w:szCs w:val="32"/>
        </w:rPr>
        <w:t>公务用车购置及维护费支出决算</w:t>
      </w:r>
      <w:r>
        <w:rPr>
          <w:rFonts w:hint="eastAsia" w:ascii="Times New Roman" w:hAnsi="Times New Roman" w:eastAsia="仿宋_GB2312"/>
          <w:b w:val="0"/>
          <w:bCs w:val="0"/>
          <w:sz w:val="32"/>
          <w:szCs w:val="32"/>
          <w:lang w:val="en-US" w:eastAsia="zh-CN"/>
        </w:rPr>
        <w:t>0.5</w:t>
      </w:r>
      <w:r>
        <w:rPr>
          <w:rFonts w:hint="eastAsia" w:ascii="Times New Roman" w:hAnsi="Times New Roman" w:eastAsia="仿宋_GB2312"/>
          <w:b w:val="0"/>
          <w:bCs w:val="0"/>
          <w:sz w:val="32"/>
          <w:szCs w:val="32"/>
        </w:rPr>
        <w:t>万元，占</w:t>
      </w:r>
      <w:r>
        <w:rPr>
          <w:rFonts w:hint="eastAsia" w:ascii="Times New Roman" w:hAnsi="Times New Roman" w:eastAsia="仿宋_GB2312"/>
          <w:b w:val="0"/>
          <w:bCs w:val="0"/>
          <w:sz w:val="32"/>
          <w:szCs w:val="32"/>
          <w:lang w:val="en-US" w:eastAsia="zh-CN"/>
        </w:rPr>
        <w:t>33.33</w:t>
      </w:r>
      <w:r>
        <w:rPr>
          <w:rFonts w:hint="eastAsia" w:ascii="Times New Roman" w:hAnsi="Times New Roman" w:eastAsia="仿宋_GB2312"/>
          <w:b w:val="0"/>
          <w:bCs w:val="0"/>
          <w:sz w:val="32"/>
          <w:szCs w:val="32"/>
        </w:rPr>
        <w:t>%，其中公务用车运行维护支出</w:t>
      </w:r>
      <w:r>
        <w:rPr>
          <w:rFonts w:hint="eastAsia" w:ascii="Times New Roman" w:hAnsi="Times New Roman" w:eastAsia="仿宋_GB2312"/>
          <w:b w:val="0"/>
          <w:bCs w:val="0"/>
          <w:sz w:val="32"/>
          <w:szCs w:val="32"/>
          <w:lang w:val="en-US" w:eastAsia="zh-CN"/>
        </w:rPr>
        <w:t>0.5</w:t>
      </w:r>
      <w:r>
        <w:rPr>
          <w:rFonts w:hint="eastAsia" w:ascii="Times New Roman" w:hAnsi="Times New Roman" w:eastAsia="仿宋_GB2312"/>
          <w:b w:val="0"/>
          <w:bCs w:val="0"/>
          <w:sz w:val="32"/>
          <w:szCs w:val="32"/>
        </w:rPr>
        <w:t>万元；</w:t>
      </w:r>
    </w:p>
    <w:p>
      <w:pPr>
        <w:pStyle w:val="4"/>
        <w:keepNext w:val="0"/>
        <w:keepLines w:val="0"/>
        <w:pageBreakBefore w:val="0"/>
        <w:widowControl w:val="0"/>
        <w:kinsoku/>
        <w:wordWrap/>
        <w:overflowPunct/>
        <w:topLinePunct w:val="0"/>
        <w:autoSpaceDE/>
        <w:autoSpaceDN/>
        <w:bidi w:val="0"/>
        <w:adjustRightInd/>
        <w:snapToGrid/>
        <w:spacing w:line="460" w:lineRule="exact"/>
        <w:ind w:firstLine="640"/>
        <w:textAlignment w:val="auto"/>
        <w:rPr>
          <w:rFonts w:ascii="Times New Roman" w:hAnsi="Times New Roman" w:eastAsia="仿宋_GB2312"/>
          <w:b w:val="0"/>
          <w:bCs w:val="0"/>
          <w:sz w:val="32"/>
          <w:szCs w:val="32"/>
        </w:rPr>
      </w:pPr>
      <w:r>
        <w:rPr>
          <w:rFonts w:hint="eastAsia" w:ascii="Times New Roman" w:hAnsi="Times New Roman" w:eastAsia="仿宋_GB2312"/>
          <w:b w:val="0"/>
          <w:bCs w:val="0"/>
          <w:sz w:val="32"/>
          <w:szCs w:val="32"/>
        </w:rPr>
        <w:t>公务接待费支出决算1万元，占</w:t>
      </w:r>
      <w:r>
        <w:rPr>
          <w:rFonts w:hint="eastAsia" w:ascii="Times New Roman" w:hAnsi="Times New Roman" w:eastAsia="仿宋_GB2312"/>
          <w:b w:val="0"/>
          <w:bCs w:val="0"/>
          <w:sz w:val="32"/>
          <w:szCs w:val="32"/>
          <w:lang w:val="en-US" w:eastAsia="zh-CN"/>
        </w:rPr>
        <w:t>66</w:t>
      </w:r>
      <w:r>
        <w:rPr>
          <w:rFonts w:hint="eastAsia" w:ascii="Times New Roman" w:hAnsi="Times New Roman" w:eastAsia="仿宋_GB2312"/>
          <w:b w:val="0"/>
          <w:bCs w:val="0"/>
          <w:sz w:val="32"/>
          <w:szCs w:val="32"/>
        </w:rPr>
        <w:t>.</w:t>
      </w:r>
      <w:r>
        <w:rPr>
          <w:rFonts w:hint="eastAsia" w:ascii="Times New Roman" w:hAnsi="Times New Roman" w:eastAsia="仿宋_GB2312"/>
          <w:b w:val="0"/>
          <w:bCs w:val="0"/>
          <w:sz w:val="32"/>
          <w:szCs w:val="32"/>
          <w:lang w:val="en-US" w:eastAsia="zh-CN"/>
        </w:rPr>
        <w:t>67</w:t>
      </w:r>
      <w:r>
        <w:rPr>
          <w:rFonts w:hint="eastAsia" w:ascii="Times New Roman" w:hAnsi="Times New Roman" w:eastAsia="仿宋_GB2312"/>
          <w:b w:val="0"/>
          <w:bCs w:val="0"/>
          <w:sz w:val="32"/>
          <w:szCs w:val="32"/>
        </w:rPr>
        <w:t>%。</w:t>
      </w:r>
    </w:p>
    <w:p>
      <w:pPr>
        <w:pStyle w:val="4"/>
        <w:keepNext w:val="0"/>
        <w:keepLines w:val="0"/>
        <w:pageBreakBefore w:val="0"/>
        <w:widowControl w:val="0"/>
        <w:numPr>
          <w:ilvl w:val="0"/>
          <w:numId w:val="2"/>
        </w:numPr>
        <w:kinsoku/>
        <w:wordWrap/>
        <w:overflowPunct/>
        <w:topLinePunct w:val="0"/>
        <w:autoSpaceDE/>
        <w:autoSpaceDN/>
        <w:bidi w:val="0"/>
        <w:adjustRightInd/>
        <w:snapToGrid/>
        <w:spacing w:line="460" w:lineRule="exact"/>
        <w:ind w:left="0" w:leftChars="0" w:firstLine="643" w:firstLineChars="200"/>
        <w:textAlignment w:val="auto"/>
        <w:rPr>
          <w:rFonts w:ascii="Times New Roman" w:hAnsi="Times New Roman" w:eastAsia="仿宋_GB2312"/>
          <w:b/>
          <w:bCs/>
          <w:sz w:val="32"/>
          <w:szCs w:val="32"/>
        </w:rPr>
      </w:pPr>
      <w:r>
        <w:rPr>
          <w:rFonts w:ascii="Times New Roman" w:hAnsi="Times New Roman" w:eastAsia="仿宋_GB2312"/>
          <w:b/>
          <w:bCs/>
          <w:sz w:val="32"/>
          <w:szCs w:val="32"/>
        </w:rPr>
        <w:t>项目支出情况</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200" w:firstLine="640" w:firstLineChars="200"/>
        <w:textAlignment w:val="auto"/>
        <w:rPr>
          <w:rFonts w:ascii="Times New Roman" w:hAnsi="Times New Roman" w:eastAsia="仿宋_GB2312"/>
          <w:b/>
          <w:bCs/>
          <w:sz w:val="32"/>
          <w:szCs w:val="32"/>
        </w:rPr>
      </w:pPr>
      <w:r>
        <w:rPr>
          <w:rFonts w:hint="eastAsia" w:ascii="Times New Roman" w:hAnsi="Times New Roman" w:eastAsia="仿宋_GB2312"/>
          <w:b w:val="0"/>
          <w:bCs w:val="0"/>
          <w:sz w:val="32"/>
          <w:szCs w:val="32"/>
        </w:rPr>
        <w:t>本单位202</w:t>
      </w:r>
      <w:r>
        <w:rPr>
          <w:rFonts w:hint="eastAsia" w:ascii="Times New Roman" w:hAnsi="Times New Roman" w:eastAsia="仿宋_GB2312"/>
          <w:b w:val="0"/>
          <w:bCs w:val="0"/>
          <w:sz w:val="32"/>
          <w:szCs w:val="32"/>
          <w:lang w:val="en-US" w:eastAsia="zh-CN"/>
        </w:rPr>
        <w:t>3</w:t>
      </w:r>
      <w:r>
        <w:rPr>
          <w:rFonts w:hint="eastAsia" w:ascii="Times New Roman" w:hAnsi="Times New Roman" w:eastAsia="仿宋_GB2312"/>
          <w:b w:val="0"/>
          <w:bCs w:val="0"/>
          <w:sz w:val="32"/>
          <w:szCs w:val="32"/>
        </w:rPr>
        <w:t>年项目支出</w:t>
      </w:r>
      <w:r>
        <w:rPr>
          <w:rFonts w:hint="eastAsia" w:ascii="Times New Roman" w:hAnsi="Times New Roman" w:eastAsia="仿宋_GB2312"/>
          <w:b w:val="0"/>
          <w:bCs w:val="0"/>
          <w:sz w:val="32"/>
          <w:szCs w:val="32"/>
          <w:lang w:val="en-US" w:eastAsia="zh-CN"/>
        </w:rPr>
        <w:t>113.07</w:t>
      </w:r>
      <w:r>
        <w:rPr>
          <w:rFonts w:hint="eastAsia" w:ascii="Times New Roman" w:hAnsi="Times New Roman" w:eastAsia="仿宋_GB2312"/>
          <w:b w:val="0"/>
          <w:bCs w:val="0"/>
          <w:sz w:val="32"/>
          <w:szCs w:val="32"/>
        </w:rPr>
        <w:t>万元，主要包括</w:t>
      </w:r>
      <w:r>
        <w:rPr>
          <w:rFonts w:hint="eastAsia" w:ascii="Times New Roman" w:hAnsi="Times New Roman" w:eastAsia="仿宋_GB2312"/>
          <w:b w:val="0"/>
          <w:bCs w:val="0"/>
          <w:sz w:val="32"/>
          <w:szCs w:val="32"/>
          <w:lang w:eastAsia="zh-CN"/>
        </w:rPr>
        <w:t>控违拆违专项</w:t>
      </w:r>
      <w:r>
        <w:rPr>
          <w:rFonts w:hint="eastAsia" w:ascii="Times New Roman" w:hAnsi="Times New Roman" w:eastAsia="仿宋_GB2312"/>
          <w:b w:val="0"/>
          <w:bCs w:val="0"/>
          <w:sz w:val="32"/>
          <w:szCs w:val="32"/>
        </w:rPr>
        <w:t>工作经费和卫片执法检查专项工作经费，其中</w:t>
      </w:r>
      <w:r>
        <w:rPr>
          <w:rFonts w:hint="eastAsia" w:ascii="Times New Roman" w:hAnsi="Times New Roman" w:eastAsia="仿宋_GB2312"/>
          <w:b w:val="0"/>
          <w:bCs w:val="0"/>
          <w:sz w:val="32"/>
          <w:szCs w:val="32"/>
          <w:lang w:eastAsia="zh-CN"/>
        </w:rPr>
        <w:t>控违拆违专项工作经费</w:t>
      </w:r>
      <w:r>
        <w:rPr>
          <w:rFonts w:hint="eastAsia" w:ascii="Times New Roman" w:hAnsi="Times New Roman" w:eastAsia="仿宋_GB2312"/>
          <w:b w:val="0"/>
          <w:bCs w:val="0"/>
          <w:sz w:val="32"/>
          <w:szCs w:val="32"/>
          <w:lang w:val="en-US" w:eastAsia="zh-CN"/>
        </w:rPr>
        <w:t>103.07万元，</w:t>
      </w:r>
      <w:r>
        <w:rPr>
          <w:rFonts w:hint="eastAsia" w:ascii="Times New Roman" w:hAnsi="Times New Roman" w:eastAsia="仿宋_GB2312"/>
          <w:b w:val="0"/>
          <w:bCs w:val="0"/>
          <w:sz w:val="32"/>
          <w:szCs w:val="32"/>
        </w:rPr>
        <w:t>卫片执法检查专项支出</w:t>
      </w:r>
      <w:r>
        <w:rPr>
          <w:rFonts w:hint="eastAsia" w:ascii="Times New Roman" w:hAnsi="Times New Roman" w:eastAsia="仿宋_GB2312"/>
          <w:b w:val="0"/>
          <w:bCs w:val="0"/>
          <w:sz w:val="32"/>
          <w:szCs w:val="32"/>
          <w:lang w:val="en-US" w:eastAsia="zh-CN"/>
        </w:rPr>
        <w:t>10</w:t>
      </w:r>
      <w:r>
        <w:rPr>
          <w:rFonts w:hint="eastAsia" w:ascii="Times New Roman" w:hAnsi="Times New Roman" w:eastAsia="仿宋_GB2312"/>
          <w:b w:val="0"/>
          <w:bCs w:val="0"/>
          <w:sz w:val="32"/>
          <w:szCs w:val="32"/>
        </w:rPr>
        <w:t>万元。</w:t>
      </w:r>
    </w:p>
    <w:p>
      <w:pPr>
        <w:pStyle w:val="4"/>
        <w:keepNext w:val="0"/>
        <w:keepLines w:val="0"/>
        <w:pageBreakBefore w:val="0"/>
        <w:widowControl w:val="0"/>
        <w:kinsoku/>
        <w:wordWrap/>
        <w:overflowPunct/>
        <w:topLinePunct w:val="0"/>
        <w:autoSpaceDE/>
        <w:autoSpaceDN/>
        <w:bidi w:val="0"/>
        <w:adjustRightInd/>
        <w:snapToGrid/>
        <w:spacing w:line="460" w:lineRule="exact"/>
        <w:ind w:firstLine="640"/>
        <w:jc w:val="both"/>
        <w:textAlignment w:val="auto"/>
        <w:rPr>
          <w:rFonts w:hint="eastAsia" w:ascii="Times New Roman" w:hAnsi="Times New Roman" w:eastAsia="黑体"/>
          <w:sz w:val="32"/>
          <w:szCs w:val="32"/>
        </w:rPr>
      </w:pPr>
      <w:r>
        <w:rPr>
          <w:rFonts w:ascii="Times New Roman" w:hAnsi="Times New Roman" w:eastAsia="黑体"/>
          <w:sz w:val="32"/>
          <w:szCs w:val="32"/>
        </w:rPr>
        <w:t>三、政府性基金预算支出情况</w:t>
      </w:r>
      <w:r>
        <w:rPr>
          <w:rFonts w:hint="eastAsia" w:ascii="Times New Roman" w:hAnsi="Times New Roman" w:eastAsia="黑体"/>
          <w:sz w:val="32"/>
          <w:szCs w:val="32"/>
        </w:rPr>
        <w:t>。</w:t>
      </w:r>
    </w:p>
    <w:p>
      <w:pPr>
        <w:pStyle w:val="4"/>
        <w:keepNext w:val="0"/>
        <w:keepLines w:val="0"/>
        <w:pageBreakBefore w:val="0"/>
        <w:widowControl w:val="0"/>
        <w:kinsoku/>
        <w:wordWrap/>
        <w:overflowPunct/>
        <w:topLinePunct w:val="0"/>
        <w:autoSpaceDE/>
        <w:autoSpaceDN/>
        <w:bidi w:val="0"/>
        <w:adjustRightInd/>
        <w:snapToGrid/>
        <w:spacing w:line="460" w:lineRule="exact"/>
        <w:ind w:firstLine="640"/>
        <w:jc w:val="both"/>
        <w:textAlignment w:val="auto"/>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“我单位无政府性基金预算支出情况”</w:t>
      </w:r>
    </w:p>
    <w:p>
      <w:pPr>
        <w:pStyle w:val="4"/>
        <w:keepNext w:val="0"/>
        <w:keepLines w:val="0"/>
        <w:pageBreakBefore w:val="0"/>
        <w:widowControl w:val="0"/>
        <w:kinsoku/>
        <w:wordWrap/>
        <w:overflowPunct/>
        <w:topLinePunct w:val="0"/>
        <w:autoSpaceDE/>
        <w:autoSpaceDN/>
        <w:bidi w:val="0"/>
        <w:adjustRightInd/>
        <w:snapToGrid/>
        <w:spacing w:line="460" w:lineRule="exact"/>
        <w:ind w:firstLine="640"/>
        <w:jc w:val="both"/>
        <w:textAlignment w:val="auto"/>
        <w:rPr>
          <w:rFonts w:hint="eastAsia" w:ascii="Times New Roman" w:hAnsi="Times New Roman" w:eastAsia="黑体"/>
          <w:sz w:val="32"/>
          <w:szCs w:val="32"/>
        </w:rPr>
      </w:pPr>
      <w:r>
        <w:rPr>
          <w:rFonts w:ascii="Times New Roman" w:hAnsi="Times New Roman" w:eastAsia="黑体"/>
          <w:sz w:val="32"/>
          <w:szCs w:val="32"/>
        </w:rPr>
        <w:t>四、国有资本经营预算支出情况</w:t>
      </w:r>
      <w:r>
        <w:rPr>
          <w:rFonts w:hint="eastAsia" w:ascii="Times New Roman" w:hAnsi="Times New Roman" w:eastAsia="黑体"/>
          <w:sz w:val="32"/>
          <w:szCs w:val="32"/>
        </w:rPr>
        <w:t>。</w:t>
      </w:r>
    </w:p>
    <w:p>
      <w:pPr>
        <w:pStyle w:val="4"/>
        <w:keepNext w:val="0"/>
        <w:keepLines w:val="0"/>
        <w:pageBreakBefore w:val="0"/>
        <w:widowControl w:val="0"/>
        <w:kinsoku/>
        <w:wordWrap/>
        <w:overflowPunct/>
        <w:topLinePunct w:val="0"/>
        <w:autoSpaceDE/>
        <w:autoSpaceDN/>
        <w:bidi w:val="0"/>
        <w:adjustRightInd/>
        <w:snapToGrid/>
        <w:spacing w:line="460" w:lineRule="exact"/>
        <w:ind w:firstLine="640"/>
        <w:jc w:val="both"/>
        <w:textAlignment w:val="auto"/>
        <w:rPr>
          <w:rFonts w:hint="eastAsia" w:ascii="Times New Roman" w:hAnsi="Times New Roman" w:eastAsia="黑体"/>
          <w:sz w:val="32"/>
          <w:szCs w:val="32"/>
        </w:rPr>
      </w:pPr>
      <w:r>
        <w:rPr>
          <w:rFonts w:hint="eastAsia" w:ascii="Times New Roman" w:hAnsi="Times New Roman" w:eastAsia="仿宋_GB2312"/>
          <w:color w:val="000000"/>
          <w:sz w:val="32"/>
          <w:szCs w:val="32"/>
        </w:rPr>
        <w:t>“我单位无国有资本经营预算支出情况”</w:t>
      </w:r>
    </w:p>
    <w:p>
      <w:pPr>
        <w:pStyle w:val="4"/>
        <w:keepNext w:val="0"/>
        <w:keepLines w:val="0"/>
        <w:pageBreakBefore w:val="0"/>
        <w:widowControl w:val="0"/>
        <w:kinsoku/>
        <w:wordWrap/>
        <w:overflowPunct/>
        <w:topLinePunct w:val="0"/>
        <w:autoSpaceDE/>
        <w:autoSpaceDN/>
        <w:bidi w:val="0"/>
        <w:adjustRightInd/>
        <w:snapToGrid/>
        <w:spacing w:line="460" w:lineRule="exact"/>
        <w:ind w:firstLine="640"/>
        <w:jc w:val="both"/>
        <w:textAlignment w:val="auto"/>
        <w:rPr>
          <w:rFonts w:hint="eastAsia" w:ascii="Times New Roman" w:hAnsi="Times New Roman" w:eastAsia="黑体"/>
          <w:sz w:val="32"/>
          <w:szCs w:val="32"/>
        </w:rPr>
      </w:pPr>
      <w:r>
        <w:rPr>
          <w:rFonts w:ascii="Times New Roman" w:hAnsi="Times New Roman" w:eastAsia="黑体"/>
          <w:sz w:val="32"/>
          <w:szCs w:val="32"/>
        </w:rPr>
        <w:t>五、社会保险基金预算支出情况</w:t>
      </w:r>
      <w:r>
        <w:rPr>
          <w:rFonts w:hint="eastAsia" w:ascii="Times New Roman" w:hAnsi="Times New Roman" w:eastAsia="黑体"/>
          <w:sz w:val="32"/>
          <w:szCs w:val="32"/>
        </w:rPr>
        <w:t>。</w:t>
      </w:r>
    </w:p>
    <w:p>
      <w:pPr>
        <w:pStyle w:val="4"/>
        <w:keepNext w:val="0"/>
        <w:keepLines w:val="0"/>
        <w:pageBreakBefore w:val="0"/>
        <w:widowControl w:val="0"/>
        <w:kinsoku/>
        <w:wordWrap/>
        <w:overflowPunct/>
        <w:topLinePunct w:val="0"/>
        <w:autoSpaceDE/>
        <w:autoSpaceDN/>
        <w:bidi w:val="0"/>
        <w:adjustRightInd/>
        <w:snapToGrid/>
        <w:spacing w:line="460" w:lineRule="exact"/>
        <w:ind w:firstLine="640"/>
        <w:jc w:val="both"/>
        <w:textAlignment w:val="auto"/>
        <w:rPr>
          <w:rFonts w:hint="eastAsia" w:ascii="Times New Roman" w:hAnsi="Times New Roman" w:eastAsia="仿宋_GB2312"/>
          <w:sz w:val="32"/>
          <w:szCs w:val="32"/>
          <w:lang w:eastAsia="zh-CN"/>
        </w:rPr>
      </w:pPr>
      <w:r>
        <w:rPr>
          <w:rFonts w:hint="eastAsia" w:ascii="Times New Roman" w:hAnsi="Times New Roman" w:eastAsia="仿宋_GB2312"/>
          <w:color w:val="000000"/>
          <w:sz w:val="32"/>
          <w:szCs w:val="32"/>
        </w:rPr>
        <w:t>“我单位无社会保险基金预算支出情况</w:t>
      </w:r>
      <w:r>
        <w:rPr>
          <w:rFonts w:hint="eastAsia" w:ascii="Times New Roman" w:hAnsi="Times New Roman" w:eastAsia="仿宋_GB2312"/>
          <w:color w:val="00000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eastAsia="黑体"/>
          <w:sz w:val="32"/>
          <w:szCs w:val="32"/>
        </w:rPr>
        <w:t>六、部门整体支出绩效情况</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eastAsia="仿宋_GB2312"/>
          <w:color w:val="000000"/>
          <w:sz w:val="32"/>
          <w:szCs w:val="32"/>
          <w:lang w:val="en-US" w:eastAsia="zh-CN"/>
        </w:rPr>
      </w:pPr>
      <w:r>
        <w:rPr>
          <w:rFonts w:hint="eastAsia" w:eastAsia="仿宋_GB2312"/>
          <w:color w:val="000000"/>
          <w:sz w:val="32"/>
          <w:szCs w:val="32"/>
          <w:lang w:eastAsia="zh-CN"/>
        </w:rPr>
        <w:t>本单位一般公预算支出</w:t>
      </w:r>
      <w:r>
        <w:rPr>
          <w:rFonts w:hint="eastAsia" w:eastAsia="仿宋_GB2312"/>
          <w:color w:val="000000"/>
          <w:sz w:val="32"/>
          <w:szCs w:val="32"/>
          <w:lang w:val="en-US" w:eastAsia="zh-CN"/>
        </w:rPr>
        <w:t>933.50，年初预算1012.50，完成率92.20%。</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eastAsia="仿宋_GB2312"/>
          <w:color w:val="000000"/>
          <w:sz w:val="32"/>
          <w:szCs w:val="32"/>
          <w:lang w:val="en-US" w:eastAsia="zh-CN"/>
        </w:rPr>
      </w:pPr>
      <w:r>
        <w:rPr>
          <w:rFonts w:hint="eastAsia" w:eastAsia="仿宋_GB2312"/>
          <w:color w:val="000000"/>
          <w:sz w:val="32"/>
          <w:szCs w:val="32"/>
          <w:lang w:val="en-US" w:eastAsia="zh-CN"/>
        </w:rPr>
        <w:t>产出指标中收取罚没收入完成率85.94%；完成本年工作100%；</w:t>
      </w:r>
      <w:r>
        <w:rPr>
          <w:rFonts w:hint="eastAsia" w:eastAsia="仿宋_GB2312"/>
          <w:color w:val="000000"/>
          <w:sz w:val="32"/>
          <w:szCs w:val="32"/>
        </w:rPr>
        <w:t>“三公”经费支出情况如下：1、公务接待费。202</w:t>
      </w:r>
      <w:r>
        <w:rPr>
          <w:rFonts w:hint="eastAsia" w:eastAsia="仿宋_GB2312"/>
          <w:color w:val="000000"/>
          <w:sz w:val="32"/>
          <w:szCs w:val="32"/>
          <w:lang w:val="en-US" w:eastAsia="zh-CN"/>
        </w:rPr>
        <w:t>3</w:t>
      </w:r>
      <w:r>
        <w:rPr>
          <w:rFonts w:hint="eastAsia" w:eastAsia="仿宋_GB2312"/>
          <w:color w:val="000000"/>
          <w:sz w:val="32"/>
          <w:szCs w:val="32"/>
        </w:rPr>
        <w:t>年公务接待费为</w:t>
      </w:r>
      <w:r>
        <w:rPr>
          <w:rFonts w:hint="eastAsia" w:eastAsia="仿宋_GB2312"/>
          <w:color w:val="000000"/>
          <w:sz w:val="32"/>
          <w:szCs w:val="32"/>
          <w:lang w:val="en-US" w:eastAsia="zh-CN"/>
        </w:rPr>
        <w:t>1.00</w:t>
      </w:r>
      <w:r>
        <w:rPr>
          <w:rFonts w:hint="eastAsia" w:eastAsia="仿宋_GB2312"/>
          <w:color w:val="000000"/>
          <w:sz w:val="32"/>
          <w:szCs w:val="32"/>
        </w:rPr>
        <w:t>万元,比上年减少</w:t>
      </w:r>
      <w:r>
        <w:rPr>
          <w:rFonts w:hint="eastAsia" w:eastAsia="仿宋_GB2312"/>
          <w:color w:val="000000"/>
          <w:sz w:val="32"/>
          <w:szCs w:val="32"/>
          <w:lang w:val="en-US" w:eastAsia="zh-CN"/>
        </w:rPr>
        <w:t>0.69</w:t>
      </w:r>
      <w:r>
        <w:rPr>
          <w:rFonts w:hint="eastAsia" w:eastAsia="仿宋_GB2312"/>
          <w:color w:val="000000"/>
          <w:sz w:val="32"/>
          <w:szCs w:val="32"/>
        </w:rPr>
        <w:t>万元。在公务接待中严格审批程序，规定了公务接待的审批权限；严格接待标准，规定用餐原则上安排在机关食堂，原则上都安排自助餐；严格报账，严格执行先审批，后接待的程序。2、公务用车购置及运行费。我单位202</w:t>
      </w:r>
      <w:r>
        <w:rPr>
          <w:rFonts w:hint="eastAsia" w:eastAsia="仿宋_GB2312"/>
          <w:color w:val="000000"/>
          <w:sz w:val="32"/>
          <w:szCs w:val="32"/>
          <w:lang w:val="en-US" w:eastAsia="zh-CN"/>
        </w:rPr>
        <w:t>3</w:t>
      </w:r>
      <w:r>
        <w:rPr>
          <w:rFonts w:hint="eastAsia" w:eastAsia="仿宋_GB2312"/>
          <w:color w:val="000000"/>
          <w:sz w:val="32"/>
          <w:szCs w:val="32"/>
        </w:rPr>
        <w:t>年车辆运行费用支出</w:t>
      </w:r>
      <w:r>
        <w:rPr>
          <w:rFonts w:hint="eastAsia" w:eastAsia="仿宋_GB2312"/>
          <w:color w:val="000000"/>
          <w:sz w:val="32"/>
          <w:szCs w:val="32"/>
          <w:lang w:val="en-US" w:eastAsia="zh-CN"/>
        </w:rPr>
        <w:t>0.5</w:t>
      </w:r>
      <w:r>
        <w:rPr>
          <w:rFonts w:hint="eastAsia" w:eastAsia="仿宋_GB2312"/>
          <w:color w:val="000000"/>
          <w:sz w:val="32"/>
          <w:szCs w:val="32"/>
        </w:rPr>
        <w:t>万元，比年初预算少</w:t>
      </w:r>
      <w:r>
        <w:rPr>
          <w:rFonts w:hint="eastAsia" w:eastAsia="仿宋_GB2312"/>
          <w:color w:val="000000"/>
          <w:sz w:val="32"/>
          <w:szCs w:val="32"/>
          <w:lang w:val="en-US" w:eastAsia="zh-CN"/>
        </w:rPr>
        <w:t>2.91</w:t>
      </w:r>
      <w:r>
        <w:rPr>
          <w:rFonts w:hint="eastAsia" w:eastAsia="仿宋_GB2312"/>
          <w:color w:val="000000"/>
          <w:sz w:val="32"/>
          <w:szCs w:val="32"/>
        </w:rPr>
        <w:t>万元，主要原因是我单位领导坚持厉行节约的原则，严格控制公务用车的支出</w:t>
      </w:r>
      <w:r>
        <w:rPr>
          <w:rFonts w:hint="eastAsia" w:eastAsia="仿宋_GB2312"/>
          <w:color w:val="000000"/>
          <w:sz w:val="32"/>
          <w:szCs w:val="32"/>
          <w:lang w:eastAsia="zh-CN"/>
        </w:rPr>
        <w:t>，三公经费控制满分；本单位党建工作圆满完成，实际完成值为</w:t>
      </w:r>
      <w:r>
        <w:rPr>
          <w:rFonts w:hint="eastAsia" w:eastAsia="仿宋_GB2312"/>
          <w:color w:val="000000"/>
          <w:sz w:val="32"/>
          <w:szCs w:val="32"/>
          <w:lang w:val="en-US" w:eastAsia="zh-CN"/>
        </w:rPr>
        <w:t>95%</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default" w:eastAsia="仿宋_GB2312"/>
          <w:color w:val="000000"/>
          <w:sz w:val="32"/>
          <w:szCs w:val="32"/>
          <w:lang w:val="en-US" w:eastAsia="zh-CN"/>
        </w:rPr>
      </w:pPr>
      <w:r>
        <w:rPr>
          <w:rFonts w:hint="eastAsia" w:eastAsia="仿宋_GB2312"/>
          <w:color w:val="000000"/>
          <w:sz w:val="32"/>
          <w:szCs w:val="32"/>
          <w:lang w:val="en-US" w:eastAsia="zh-CN"/>
        </w:rPr>
        <w:t>本单位主要职责在于自然资源相关工作，包括但不限于自然资源违法行为执法、自然资源案件查处、卫片执法、自然资源局交代其他任务。本单位今年取得的工作成效：2023年共查处土地、林业、矿产、规划违法案件共120宗，已结案115宗，处罚总金额836.09万元，其中土地案件5宗，林业案件25宗、规划案件80宗，矿产案件10宗，2起非法开采线索移送县森林公安部门；今年部下发卫片执法检查监测图斑332个已全部通过落实补划和耕地进出平衡完成整改销号；结合部、省下发的耕地图斑，及时开展查处农村乱占耕地建房工作等等。本单位严格落实2023年整体绩效目标，工作效率高，运行成本低，对全县耕地保护、自然资源利用做出较大贡献，在服务对象方面由于工作性质原因不太理想，部门整体绩效比较乐观。</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eastAsia="仿宋_GB2312"/>
          <w:color w:val="000000"/>
          <w:sz w:val="32"/>
          <w:szCs w:val="32"/>
          <w:lang w:eastAsia="zh-CN"/>
        </w:rPr>
      </w:pPr>
      <w:r>
        <w:rPr>
          <w:rFonts w:hint="eastAsia" w:eastAsia="仿宋_GB2312"/>
          <w:color w:val="000000"/>
          <w:sz w:val="32"/>
          <w:szCs w:val="32"/>
        </w:rPr>
        <w:t>根据202</w:t>
      </w:r>
      <w:r>
        <w:rPr>
          <w:rFonts w:hint="eastAsia" w:eastAsia="仿宋_GB2312"/>
          <w:color w:val="000000"/>
          <w:sz w:val="32"/>
          <w:szCs w:val="32"/>
          <w:lang w:val="en-US" w:eastAsia="zh-CN"/>
        </w:rPr>
        <w:t>3</w:t>
      </w:r>
      <w:r>
        <w:rPr>
          <w:rFonts w:hint="eastAsia" w:eastAsia="仿宋_GB2312"/>
          <w:color w:val="000000"/>
          <w:sz w:val="32"/>
          <w:szCs w:val="32"/>
        </w:rPr>
        <w:t>年度部门整体支出绩效评价文件要求，我单位对202</w:t>
      </w:r>
      <w:r>
        <w:rPr>
          <w:rFonts w:hint="eastAsia" w:eastAsia="仿宋_GB2312"/>
          <w:color w:val="000000"/>
          <w:sz w:val="32"/>
          <w:szCs w:val="32"/>
          <w:lang w:val="en-US" w:eastAsia="zh-CN"/>
        </w:rPr>
        <w:t>3</w:t>
      </w:r>
      <w:r>
        <w:rPr>
          <w:rFonts w:hint="eastAsia" w:eastAsia="仿宋_GB2312"/>
          <w:color w:val="000000"/>
          <w:sz w:val="32"/>
          <w:szCs w:val="32"/>
        </w:rPr>
        <w:t>年度产出指标、效益指标、满意度指标等方面的情况，最后得分为90分</w:t>
      </w:r>
      <w:r>
        <w:rPr>
          <w:rFonts w:hint="eastAsia" w:eastAsia="仿宋_GB2312"/>
          <w:color w:val="000000"/>
          <w:sz w:val="32"/>
          <w:szCs w:val="32"/>
          <w:lang w:eastAsia="zh-CN"/>
        </w:rPr>
        <w:t>。</w:t>
      </w:r>
    </w:p>
    <w:p>
      <w:pPr>
        <w:pStyle w:val="4"/>
        <w:keepNext w:val="0"/>
        <w:keepLines w:val="0"/>
        <w:pageBreakBefore w:val="0"/>
        <w:widowControl w:val="0"/>
        <w:kinsoku/>
        <w:wordWrap/>
        <w:overflowPunct/>
        <w:topLinePunct w:val="0"/>
        <w:autoSpaceDE/>
        <w:autoSpaceDN/>
        <w:bidi w:val="0"/>
        <w:adjustRightInd/>
        <w:snapToGrid/>
        <w:spacing w:line="460" w:lineRule="exact"/>
        <w:ind w:firstLine="640"/>
        <w:jc w:val="both"/>
        <w:textAlignment w:val="auto"/>
        <w:rPr>
          <w:rFonts w:ascii="Times New Roman" w:hAnsi="Times New Roman" w:eastAsia="黑体"/>
          <w:sz w:val="32"/>
          <w:szCs w:val="32"/>
        </w:rPr>
      </w:pPr>
      <w:r>
        <w:rPr>
          <w:rFonts w:ascii="Times New Roman" w:hAnsi="Times New Roman" w:eastAsia="黑体"/>
          <w:sz w:val="32"/>
          <w:szCs w:val="32"/>
        </w:rPr>
        <w:t>七、存在的问题及原因分析</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仿宋_GB2312"/>
          <w:spacing w:val="0"/>
          <w:sz w:val="32"/>
          <w:szCs w:val="32"/>
        </w:rPr>
      </w:pPr>
      <w:r>
        <w:rPr>
          <w:rFonts w:eastAsia="仿宋_GB2312"/>
          <w:sz w:val="32"/>
          <w:szCs w:val="32"/>
        </w:rPr>
        <w:t>可以从预算和预算绩效管理，部门履职效能，资金分配、</w:t>
      </w:r>
      <w:r>
        <w:rPr>
          <w:rFonts w:eastAsia="仿宋_GB2312"/>
          <w:spacing w:val="0"/>
          <w:sz w:val="32"/>
          <w:szCs w:val="32"/>
        </w:rPr>
        <w:t>使用和管理，资产和财务管理、政府采购等方面归纳存在的问题；反映各种</w:t>
      </w:r>
      <w:r>
        <w:rPr>
          <w:rFonts w:eastAsia="仿宋_GB2312"/>
          <w:color w:val="000000"/>
          <w:spacing w:val="0"/>
          <w:sz w:val="32"/>
          <w:szCs w:val="32"/>
        </w:rPr>
        <w:t>预算支出执行偏离绩效目标的情况，</w:t>
      </w:r>
      <w:r>
        <w:rPr>
          <w:rFonts w:eastAsia="仿宋_GB2312"/>
          <w:spacing w:val="0"/>
          <w:sz w:val="32"/>
          <w:szCs w:val="32"/>
        </w:rPr>
        <w:t>并分析其原因。</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eastAsia="仿宋_GB2312"/>
          <w:spacing w:val="0"/>
          <w:sz w:val="32"/>
          <w:szCs w:val="32"/>
        </w:rPr>
      </w:pPr>
      <w:r>
        <w:rPr>
          <w:rFonts w:hint="eastAsia" w:eastAsia="仿宋_GB2312"/>
          <w:spacing w:val="0"/>
          <w:sz w:val="32"/>
          <w:szCs w:val="32"/>
        </w:rPr>
        <w:t>1、预算执行进度总体偏慢。主要原因是年初预算做了安排，但是因为各种原因不能做到当年开支，当年报账，延缓了资金结算进度，</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仿宋_GB2312"/>
          <w:spacing w:val="0"/>
          <w:sz w:val="32"/>
          <w:szCs w:val="32"/>
        </w:rPr>
      </w:pPr>
      <w:r>
        <w:rPr>
          <w:rFonts w:hint="eastAsia" w:eastAsia="仿宋_GB2312"/>
          <w:spacing w:val="0"/>
          <w:sz w:val="32"/>
          <w:szCs w:val="32"/>
        </w:rPr>
        <w:t>2、社会公众满意度有待进一步提升。这是由于我单位工作性质原因，为保证耕地不被破坏，守住耕地保护红线，必须严格遏制乱占耕地建房，加强执法力度，对违法建筑必须进行拆除，当地群众损失严重，从而导致群众满意度降低。</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eastAsia="黑体"/>
          <w:sz w:val="32"/>
          <w:szCs w:val="32"/>
        </w:rPr>
        <w:t>八、下一步改进措施</w:t>
      </w:r>
    </w:p>
    <w:p>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1、进一步加快预算执行进度。一是改进预算安排，坚持当年能形成支出的，当年安排，当年不能形成支出的，不予安排。二是加快预算执行，加快实施进度，加快资金结算进度。</w:t>
      </w:r>
    </w:p>
    <w:p>
      <w:pPr>
        <w:spacing w:line="540" w:lineRule="exact"/>
        <w:ind w:firstLine="640" w:firstLineChars="200"/>
        <w:rPr>
          <w:rFonts w:eastAsia="黑体"/>
          <w:sz w:val="32"/>
          <w:szCs w:val="32"/>
        </w:rPr>
      </w:pPr>
      <w:r>
        <w:rPr>
          <w:rFonts w:ascii="仿宋_GB2312" w:hAnsi="仿宋_GB2312" w:eastAsia="仿宋_GB2312" w:cs="仿宋_GB2312"/>
          <w:sz w:val="32"/>
          <w:szCs w:val="32"/>
        </w:rPr>
        <w:t>2</w:t>
      </w:r>
      <w:r>
        <w:rPr>
          <w:rFonts w:hint="eastAsia" w:ascii="仿宋_GB2312" w:hAnsi="仿宋_GB2312" w:eastAsia="仿宋_GB2312" w:cs="仿宋_GB2312"/>
          <w:sz w:val="32"/>
          <w:szCs w:val="32"/>
        </w:rPr>
        <w:t>、进一步提升服务水平。巩固作风建设成果，树立部门良好形象。加大日常巡查，</w:t>
      </w:r>
      <w:r>
        <w:rPr>
          <w:rFonts w:ascii="仿宋_GB2312" w:hAnsi="仿宋_GB2312" w:eastAsia="仿宋_GB2312" w:cs="仿宋_GB2312"/>
          <w:sz w:val="32"/>
          <w:szCs w:val="32"/>
        </w:rPr>
        <w:t>同时</w:t>
      </w:r>
      <w:r>
        <w:rPr>
          <w:rFonts w:hint="eastAsia" w:ascii="仿宋_GB2312" w:hAnsi="仿宋_GB2312" w:eastAsia="仿宋_GB2312" w:cs="仿宋_GB2312"/>
          <w:sz w:val="32"/>
          <w:szCs w:val="32"/>
        </w:rPr>
        <w:t>地群众加强不乱占耕地建房的宣传力度，</w:t>
      </w:r>
      <w:r>
        <w:rPr>
          <w:rFonts w:ascii="仿宋_GB2312" w:hAnsi="仿宋_GB2312" w:eastAsia="仿宋_GB2312" w:cs="仿宋_GB2312"/>
          <w:sz w:val="32"/>
          <w:szCs w:val="32"/>
        </w:rPr>
        <w:t>从源头上遏制违法用地的行为，尽量让群众减少损失，提高对我们工作的满意度。</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eastAsia="黑体"/>
          <w:sz w:val="32"/>
          <w:szCs w:val="32"/>
        </w:rPr>
        <w:t>九、部门整体支出绩效自评结果拟应用和公开情况</w:t>
      </w:r>
    </w:p>
    <w:p>
      <w:pPr>
        <w:spacing w:line="54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2023年本单位部门整体支出绩效目标：</w:t>
      </w:r>
      <w:r>
        <w:rPr>
          <w:rFonts w:hint="eastAsia" w:ascii="仿宋_GB2312" w:hAnsi="仿宋_GB2312" w:eastAsia="仿宋_GB2312" w:cs="仿宋_GB2312"/>
          <w:sz w:val="32"/>
          <w:szCs w:val="32"/>
          <w:lang w:eastAsia="zh-CN"/>
        </w:rPr>
        <w:t>全面加强国土执法监察，严格控制“三公”经费开支，落实最严耕地保护制度，守住红线，抓好党建工作。本单位实际完成：收取罚没收入约8</w:t>
      </w:r>
      <w:r>
        <w:rPr>
          <w:rFonts w:hint="eastAsia" w:ascii="仿宋_GB2312" w:hAnsi="仿宋_GB2312" w:eastAsia="仿宋_GB2312" w:cs="仿宋_GB2312"/>
          <w:sz w:val="32"/>
          <w:szCs w:val="32"/>
          <w:lang w:val="en-US" w:eastAsia="zh-CN"/>
        </w:rPr>
        <w:t>59.40</w:t>
      </w:r>
      <w:r>
        <w:rPr>
          <w:rFonts w:hint="eastAsia" w:ascii="仿宋_GB2312" w:hAnsi="仿宋_GB2312" w:eastAsia="仿宋_GB2312" w:cs="仿宋_GB2312"/>
          <w:sz w:val="32"/>
          <w:szCs w:val="32"/>
          <w:lang w:eastAsia="zh-CN"/>
        </w:rPr>
        <w:t>万元，“三公经费”严格控制，国土执法巡查监察到位，党建工作显著成效。</w:t>
      </w:r>
    </w:p>
    <w:p>
      <w:pPr>
        <w:spacing w:line="54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本单位根据相关工作要求及上级领导安排，会在官网上公开本单位部门整体支出绩效自评结果。</w:t>
      </w:r>
      <w:bookmarkStart w:id="0" w:name="_GoBack"/>
      <w:bookmarkEnd w:id="0"/>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hint="eastAsia" w:eastAsia="黑体"/>
          <w:sz w:val="32"/>
          <w:szCs w:val="32"/>
        </w:rPr>
        <w:t>十、</w:t>
      </w:r>
      <w:r>
        <w:rPr>
          <w:rFonts w:eastAsia="黑体"/>
          <w:sz w:val="32"/>
          <w:szCs w:val="32"/>
        </w:rPr>
        <w:t>其他需要说明的情况</w:t>
      </w:r>
    </w:p>
    <w:p>
      <w:pPr>
        <w:bidi w:val="0"/>
        <w:ind w:firstLine="630" w:firstLineChars="300"/>
        <w:rPr>
          <w:rFonts w:hint="eastAsia"/>
          <w:lang w:eastAsia="zh-CN"/>
        </w:rPr>
      </w:pPr>
      <w:r>
        <w:rPr>
          <w:rFonts w:hint="eastAsia"/>
          <w:lang w:eastAsia="zh-CN"/>
        </w:rPr>
        <w:t>无</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3000509000000000000"/>
    <w:charset w:val="86"/>
    <w:family w:val="auto"/>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86629AA"/>
    <w:multiLevelType w:val="singleLevel"/>
    <w:tmpl w:val="B86629AA"/>
    <w:lvl w:ilvl="0" w:tentative="0">
      <w:start w:val="2"/>
      <w:numFmt w:val="chineseCounting"/>
      <w:suff w:val="nothing"/>
      <w:lvlText w:val="（%1）"/>
      <w:lvlJc w:val="left"/>
      <w:rPr>
        <w:rFonts w:hint="eastAsia"/>
      </w:rPr>
    </w:lvl>
  </w:abstractNum>
  <w:abstractNum w:abstractNumId="1">
    <w:nsid w:val="6B91168D"/>
    <w:multiLevelType w:val="singleLevel"/>
    <w:tmpl w:val="6B91168D"/>
    <w:lvl w:ilvl="0" w:tentative="0">
      <w:start w:val="2"/>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FkNzM3ODE0OWJjYzBmYTdiZGE1ZGZiOTdhMjQyN2MifQ=="/>
  </w:docVars>
  <w:rsids>
    <w:rsidRoot w:val="00000000"/>
    <w:rsid w:val="02B46631"/>
    <w:rsid w:val="04822C51"/>
    <w:rsid w:val="087E7F8D"/>
    <w:rsid w:val="0AA84927"/>
    <w:rsid w:val="0EE63750"/>
    <w:rsid w:val="14E574F6"/>
    <w:rsid w:val="18D93E39"/>
    <w:rsid w:val="1E08418A"/>
    <w:rsid w:val="24445E01"/>
    <w:rsid w:val="2780502F"/>
    <w:rsid w:val="28616C88"/>
    <w:rsid w:val="30A526D9"/>
    <w:rsid w:val="3AA07A7E"/>
    <w:rsid w:val="42291FC2"/>
    <w:rsid w:val="443133A9"/>
    <w:rsid w:val="4B7E4BEE"/>
    <w:rsid w:val="537F0FEB"/>
    <w:rsid w:val="54465081"/>
    <w:rsid w:val="54863EA4"/>
    <w:rsid w:val="54CA1A9D"/>
    <w:rsid w:val="5BB61F70"/>
    <w:rsid w:val="73AC7B6F"/>
    <w:rsid w:val="7FD935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 w:type="paragraph" w:styleId="4">
    <w:name w:val="List Paragraph"/>
    <w:basedOn w:val="1"/>
    <w:qFormat/>
    <w:uiPriority w:val="99"/>
    <w:pPr>
      <w:ind w:firstLine="420" w:firstLineChars="200"/>
    </w:pPr>
    <w:rPr>
      <w:rFonts w:ascii="Calibri" w:hAnsi="Calibri"/>
      <w:kern w:val="0"/>
      <w:sz w:val="28"/>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64</TotalTime>
  <ScaleCrop>false</ScaleCrop>
  <LinksUpToDate>false</LinksUpToDate>
  <CharactersWithSpaces>0</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2024-05-27T02:17:00Z</dcterms:created>
  <dc:creator>Administrator</dc:creator>
  <cp:lastModifiedBy>Administrator</cp:lastModifiedBy>
  <dcterms:modified xsi:type="dcterms:W3CDTF">2024-05-29T04:14:14Z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y fmtid="{D5CDD505-2E9C-101B-9397-08002B2CF9AE}" pid="3" name="ICV">
    <vt:lpwstr>09DBF90C2D684C0689F7D24D33301709_12</vt:lpwstr>
  </property>
</Properties>
</file>