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石羊中学2022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新田县石羊中学</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新田县石羊中学</w:t>
      </w:r>
      <w:r>
        <w:rPr>
          <w:rFonts w:hint="eastAsia" w:ascii="黑体" w:hAnsi="黑体" w:eastAsia="黑体" w:cs="黑体"/>
          <w:b/>
          <w:bCs/>
          <w:sz w:val="32"/>
          <w:szCs w:val="32"/>
        </w:rPr>
        <w:t>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实施</w:t>
      </w:r>
      <w:r>
        <w:rPr>
          <w:rFonts w:hint="eastAsia" w:ascii="仿宋_GB2312" w:hAnsi="仿宋" w:eastAsia="仿宋_GB2312"/>
          <w:color w:val="auto"/>
          <w:sz w:val="32"/>
          <w:szCs w:val="32"/>
          <w:lang w:val="en-US" w:eastAsia="zh-CN"/>
        </w:rPr>
        <w:t>初中阶段</w:t>
      </w:r>
      <w:r>
        <w:rPr>
          <w:rFonts w:hint="eastAsia" w:ascii="仿宋_GB2312" w:hAnsi="仿宋" w:eastAsia="仿宋_GB2312"/>
          <w:color w:val="auto"/>
          <w:sz w:val="32"/>
          <w:szCs w:val="32"/>
          <w:lang w:eastAsia="zh-CN"/>
        </w:rPr>
        <w:t>义务教育，促进基础教育发展，</w:t>
      </w:r>
      <w:r>
        <w:rPr>
          <w:rFonts w:hint="eastAsia" w:ascii="仿宋_GB2312" w:hAnsi="仿宋" w:eastAsia="仿宋_GB2312"/>
          <w:color w:val="auto"/>
          <w:sz w:val="32"/>
          <w:szCs w:val="32"/>
          <w:lang w:val="en-US" w:eastAsia="zh-CN"/>
        </w:rPr>
        <w:t>开展初中学历教育（相关社会服务）</w:t>
      </w:r>
      <w:r>
        <w:rPr>
          <w:rFonts w:hint="eastAsia" w:ascii="仿宋_GB2312" w:hAnsi="仿宋" w:eastAsia="仿宋_GB2312"/>
          <w:color w:val="auto"/>
          <w:sz w:val="32"/>
          <w:szCs w:val="32"/>
          <w:lang w:eastAsia="zh-CN"/>
        </w:rPr>
        <w:t>。</w:t>
      </w:r>
    </w:p>
    <w:p>
      <w:pPr>
        <w:widowControl/>
        <w:spacing w:line="600" w:lineRule="exact"/>
        <w:ind w:firstLine="640" w:firstLineChars="200"/>
        <w:rPr>
          <w:rFonts w:hint="eastAsia" w:ascii="仿宋_GB2312" w:hAnsi="仿宋" w:eastAsia="仿宋_GB2312"/>
          <w:color w:val="auto"/>
          <w:sz w:val="32"/>
          <w:szCs w:val="32"/>
          <w:lang w:val="en-US" w:eastAsia="zh-CN"/>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（一）内设机构设置。</w:t>
      </w:r>
      <w:r>
        <w:rPr>
          <w:rFonts w:hint="eastAsia" w:ascii="仿宋_GB2312" w:hAnsi="仿宋" w:eastAsia="仿宋_GB2312"/>
          <w:color w:val="auto"/>
          <w:sz w:val="32"/>
          <w:szCs w:val="32"/>
          <w:lang w:val="en-US" w:eastAsia="zh-CN"/>
        </w:rPr>
        <w:t>本单位为县教育局下属的独立核算机构，根据编办核定，</w:t>
      </w:r>
      <w:r>
        <w:rPr>
          <w:rFonts w:hint="eastAsia" w:ascii="仿宋_GB2312" w:hAnsi="仿宋" w:eastAsia="仿宋_GB2312"/>
          <w:color w:val="auto"/>
          <w:sz w:val="32"/>
          <w:szCs w:val="32"/>
          <w:lang w:val="en-US" w:eastAsia="zh-CN"/>
        </w:rPr>
        <w:t>本单位内设机构1个，</w:t>
      </w:r>
      <w:r>
        <w:rPr>
          <w:rFonts w:hint="default" w:ascii="仿宋_GB2312" w:hAnsi="仿宋" w:eastAsia="仿宋_GB2312"/>
          <w:color w:val="auto"/>
          <w:sz w:val="32"/>
          <w:szCs w:val="32"/>
          <w:lang w:val="en-US" w:eastAsia="zh-CN"/>
        </w:rPr>
        <w:t>所属事业单位</w:t>
      </w:r>
      <w:r>
        <w:rPr>
          <w:rFonts w:hint="eastAsia" w:ascii="仿宋_GB2312" w:hAnsi="仿宋" w:eastAsia="仿宋_GB2312"/>
          <w:color w:val="auto"/>
          <w:sz w:val="32"/>
          <w:szCs w:val="32"/>
          <w:lang w:val="en-US" w:eastAsia="zh-CN"/>
        </w:rPr>
        <w:t>1</w:t>
      </w:r>
      <w:r>
        <w:rPr>
          <w:rFonts w:hint="default" w:ascii="仿宋_GB2312" w:hAnsi="仿宋" w:eastAsia="仿宋_GB2312"/>
          <w:color w:val="auto"/>
          <w:sz w:val="32"/>
          <w:szCs w:val="32"/>
          <w:lang w:val="en-US" w:eastAsia="zh-CN"/>
        </w:rPr>
        <w:t>个</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val="en-US" w:eastAsia="zh-CN"/>
        </w:rPr>
        <w:t>本单位2022年年末在职人员39人，退休人员16人，在校学生505人。</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新田县石羊中学</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新田县石羊中学</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367" w:type="dxa"/>
        <w:tblInd w:w="317" w:type="dxa"/>
        <w:tblLayout w:type="fixed"/>
        <w:tblCellMar>
          <w:top w:w="0" w:type="dxa"/>
          <w:left w:w="0" w:type="dxa"/>
          <w:bottom w:w="0" w:type="dxa"/>
          <w:right w:w="0" w:type="dxa"/>
        </w:tblCellMar>
      </w:tblPr>
      <w:tblGrid>
        <w:gridCol w:w="137"/>
        <w:gridCol w:w="401"/>
        <w:gridCol w:w="282"/>
        <w:gridCol w:w="1555"/>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p>
            <w:pPr>
              <w:jc w:val="left"/>
              <w:rPr>
                <w:rFonts w:hint="eastAsia" w:ascii="黑体" w:hAnsi="黑体" w:eastAsia="黑体" w:cs="黑体"/>
                <w:b/>
                <w:bCs/>
                <w:sz w:val="32"/>
                <w:szCs w:val="32"/>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2"/>
              <w:gridCol w:w="615"/>
              <w:gridCol w:w="1370"/>
              <w:gridCol w:w="4970"/>
              <w:gridCol w:w="1136"/>
              <w:gridCol w:w="466"/>
              <w:gridCol w:w="472"/>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9" w:type="pct"/>
                  <w:tcBorders>
                    <w:top w:val="nil"/>
                    <w:left w:val="nil"/>
                    <w:bottom w:val="nil"/>
                    <w:right w:val="nil"/>
                  </w:tcBorders>
                  <w:shd w:val="clear" w:color="auto" w:fill="auto"/>
                  <w:noWrap/>
                  <w:vAlign w:val="center"/>
                </w:tcPr>
                <w:p>
                  <w:pPr>
                    <w:jc w:val="left"/>
                    <w:rPr>
                      <w:rFonts w:hint="eastAsia" w:ascii="黑体" w:hAnsi="黑体" w:eastAsia="黑体" w:cs="黑体"/>
                      <w:b/>
                      <w:bCs/>
                      <w:sz w:val="32"/>
                      <w:szCs w:val="32"/>
                    </w:rPr>
                  </w:pPr>
                </w:p>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新田县石羊中学</w:t>
                  </w:r>
                  <w:r>
                    <w:rPr>
                      <w:rFonts w:ascii="Times New Roman" w:hAnsi="Times New Roman" w:eastAsia="仿宋_GB2312" w:cs="Times New Roman"/>
                      <w:color w:val="000000"/>
                      <w:kern w:val="0"/>
                      <w:szCs w:val="21"/>
                    </w:rPr>
                    <w:t xml:space="preserve"> </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20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315.46</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336.50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82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555"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val="en-US" w:eastAsia="zh-CN"/>
              </w:rPr>
              <w:t>新田县石羊中学</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2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82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336.50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315.46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21.04</w:t>
            </w:r>
          </w:p>
        </w:tc>
      </w:tr>
      <w:tr>
        <w:tblPrEx>
          <w:tblCellMar>
            <w:top w:w="0" w:type="dxa"/>
            <w:left w:w="0" w:type="dxa"/>
            <w:bottom w:w="0" w:type="dxa"/>
            <w:right w:w="0" w:type="dxa"/>
          </w:tblCellMar>
        </w:tblPrEx>
        <w:trPr>
          <w:gridAfter w:val="1"/>
          <w:wAfter w:w="108" w:type="dxa"/>
          <w:trHeight w:val="450" w:hRule="atLeast"/>
        </w:trPr>
        <w:tc>
          <w:tcPr>
            <w:tcW w:w="8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21.04</w:t>
            </w:r>
          </w:p>
        </w:tc>
      </w:tr>
      <w:tr>
        <w:tblPrEx>
          <w:tblCellMar>
            <w:top w:w="0" w:type="dxa"/>
            <w:left w:w="0" w:type="dxa"/>
            <w:bottom w:w="0" w:type="dxa"/>
            <w:right w:w="0" w:type="dxa"/>
          </w:tblCellMar>
        </w:tblPrEx>
        <w:trPr>
          <w:gridAfter w:val="1"/>
          <w:wAfter w:w="108" w:type="dxa"/>
          <w:trHeight w:val="450" w:hRule="atLeast"/>
        </w:trPr>
        <w:tc>
          <w:tcPr>
            <w:tcW w:w="8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21.04</w:t>
            </w:r>
          </w:p>
        </w:tc>
      </w:tr>
      <w:tr>
        <w:tblPrEx>
          <w:tblCellMar>
            <w:top w:w="0" w:type="dxa"/>
            <w:left w:w="0" w:type="dxa"/>
            <w:bottom w:w="0" w:type="dxa"/>
            <w:right w:w="0" w:type="dxa"/>
          </w:tblCellMar>
        </w:tblPrEx>
        <w:trPr>
          <w:gridAfter w:val="1"/>
          <w:wAfter w:w="108" w:type="dxa"/>
          <w:trHeight w:val="450" w:hRule="atLeast"/>
        </w:trPr>
        <w:tc>
          <w:tcPr>
            <w:tcW w:w="8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21.04</w:t>
            </w:r>
          </w:p>
        </w:tc>
      </w:tr>
      <w:tr>
        <w:tblPrEx>
          <w:tblCellMar>
            <w:top w:w="0" w:type="dxa"/>
            <w:left w:w="0" w:type="dxa"/>
            <w:bottom w:w="0" w:type="dxa"/>
            <w:right w:w="0" w:type="dxa"/>
          </w:tblCellMar>
        </w:tblPrEx>
        <w:trPr>
          <w:gridAfter w:val="1"/>
          <w:wAfter w:w="108" w:type="dxa"/>
          <w:trHeight w:val="450" w:hRule="atLeast"/>
        </w:trPr>
        <w:tc>
          <w:tcPr>
            <w:tcW w:w="8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新田县石羊中学</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286.78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286.78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286.78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336.50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286.78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新田县石羊中学</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新田县石羊中学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792" w:type="dxa"/>
        <w:tblInd w:w="0" w:type="dxa"/>
        <w:tblLayout w:type="fixed"/>
        <w:tblCellMar>
          <w:top w:w="0" w:type="dxa"/>
          <w:left w:w="108" w:type="dxa"/>
          <w:bottom w:w="0" w:type="dxa"/>
          <w:right w:w="108" w:type="dxa"/>
        </w:tblCellMar>
      </w:tblPr>
      <w:tblGrid>
        <w:gridCol w:w="978"/>
        <w:gridCol w:w="239"/>
        <w:gridCol w:w="92"/>
        <w:gridCol w:w="1271"/>
        <w:gridCol w:w="1999"/>
        <w:gridCol w:w="79"/>
        <w:gridCol w:w="776"/>
        <w:gridCol w:w="1189"/>
        <w:gridCol w:w="301"/>
        <w:gridCol w:w="1947"/>
        <w:gridCol w:w="131"/>
        <w:gridCol w:w="617"/>
        <w:gridCol w:w="1190"/>
        <w:gridCol w:w="349"/>
        <w:gridCol w:w="2057"/>
        <w:gridCol w:w="1673"/>
        <w:gridCol w:w="442"/>
        <w:gridCol w:w="462"/>
      </w:tblGrid>
      <w:tr>
        <w:tblPrEx>
          <w:tblCellMar>
            <w:top w:w="0" w:type="dxa"/>
            <w:left w:w="108" w:type="dxa"/>
            <w:bottom w:w="0" w:type="dxa"/>
            <w:right w:w="108" w:type="dxa"/>
          </w:tblCellMar>
        </w:tblPrEx>
        <w:trPr>
          <w:trHeight w:val="113" w:hRule="atLeast"/>
        </w:trPr>
        <w:tc>
          <w:tcPr>
            <w:tcW w:w="15792"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新田县石羊中学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184.57</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49.08</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4.93</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12.58</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21.03</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4.05</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82.54</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0.34</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26.82</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6.09</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14.91</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0.73</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32.09</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29.31</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7.09</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7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216.66</w:t>
            </w:r>
          </w:p>
        </w:tc>
        <w:tc>
          <w:tcPr>
            <w:tcW w:w="945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49.08</w:t>
            </w:r>
          </w:p>
        </w:tc>
      </w:tr>
      <w:tr>
        <w:tblPrEx>
          <w:tblCellMar>
            <w:top w:w="0" w:type="dxa"/>
            <w:left w:w="108" w:type="dxa"/>
            <w:bottom w:w="0" w:type="dxa"/>
            <w:right w:w="108" w:type="dxa"/>
          </w:tblCellMar>
        </w:tblPrEx>
        <w:trPr>
          <w:trHeight w:val="284" w:hRule="exact"/>
        </w:trPr>
        <w:tc>
          <w:tcPr>
            <w:tcW w:w="15792"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690" w:hRule="atLeast"/>
        </w:trPr>
        <w:tc>
          <w:tcPr>
            <w:tcW w:w="1533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345" w:hRule="atLeast"/>
        </w:trPr>
        <w:tc>
          <w:tcPr>
            <w:tcW w:w="97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6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690" w:hRule="atLeast"/>
        </w:trPr>
        <w:tc>
          <w:tcPr>
            <w:tcW w:w="4658"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新田县石羊中学</w:t>
            </w:r>
          </w:p>
        </w:tc>
        <w:tc>
          <w:tcPr>
            <w:tcW w:w="226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459" w:hRule="atLeast"/>
        </w:trPr>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609" w:hRule="atLeast"/>
        </w:trPr>
        <w:tc>
          <w:tcPr>
            <w:tcW w:w="12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409" w:hRule="atLeast"/>
        </w:trPr>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725" w:hRule="atLeast"/>
        </w:trPr>
        <w:tc>
          <w:tcPr>
            <w:tcW w:w="1533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6"/>
        <w:gridCol w:w="659"/>
        <w:gridCol w:w="2132"/>
        <w:gridCol w:w="3065"/>
        <w:gridCol w:w="3065"/>
        <w:gridCol w:w="3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新田县石羊中学</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6"/>
        <w:gridCol w:w="1207"/>
        <w:gridCol w:w="1147"/>
        <w:gridCol w:w="1147"/>
        <w:gridCol w:w="1147"/>
        <w:gridCol w:w="1147"/>
        <w:gridCol w:w="1147"/>
        <w:gridCol w:w="1208"/>
        <w:gridCol w:w="1147"/>
        <w:gridCol w:w="1147"/>
        <w:gridCol w:w="1147"/>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新田县石羊中学</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336.5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317.32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48.51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我单位人员变动较大，学生人数变动，收入减少。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336.5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317.32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48.51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我单位人员变动较大，学生人数变动，支出减少。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336.5</w:t>
      </w:r>
      <w:r>
        <w:rPr>
          <w:rFonts w:hint="eastAsia" w:ascii="Times New Roman" w:hAnsi="Times New Roman" w:eastAsia="仿宋_GB2312"/>
          <w:sz w:val="32"/>
          <w:szCs w:val="32"/>
        </w:rPr>
        <w:t>万元，其中：财政拨款收入315.46万元，占</w:t>
      </w:r>
      <w:r>
        <w:rPr>
          <w:rFonts w:hint="eastAsia" w:ascii="Times New Roman" w:hAnsi="Times New Roman" w:eastAsia="仿宋_GB2312"/>
          <w:sz w:val="32"/>
          <w:szCs w:val="32"/>
          <w:lang w:val="en-US" w:eastAsia="zh-CN"/>
        </w:rPr>
        <w:t>93.75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%；其他收入21.04万元，占</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336.5</w:t>
      </w:r>
      <w:r>
        <w:rPr>
          <w:rFonts w:hint="eastAsia" w:ascii="Times New Roman" w:hAnsi="Times New Roman" w:eastAsia="仿宋_GB2312"/>
          <w:sz w:val="32"/>
          <w:szCs w:val="32"/>
        </w:rPr>
        <w:t>万元，其中：基本支出286.78万元，占</w:t>
      </w:r>
      <w:r>
        <w:rPr>
          <w:rFonts w:hint="eastAsia" w:ascii="Times New Roman" w:hAnsi="Times New Roman" w:eastAsia="仿宋_GB2312"/>
          <w:sz w:val="32"/>
          <w:szCs w:val="32"/>
          <w:lang w:val="en-US" w:eastAsia="zh-CN"/>
        </w:rPr>
        <w:t>85.22</w:t>
      </w:r>
      <w:r>
        <w:rPr>
          <w:rFonts w:hint="eastAsia" w:ascii="Times New Roman" w:hAnsi="Times New Roman" w:eastAsia="仿宋_GB2312"/>
          <w:sz w:val="32"/>
          <w:szCs w:val="32"/>
        </w:rPr>
        <w:t>%；项目支出49.72万元，占</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315.46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338.66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我单位人员变动较大，学生人数变动，收入减少。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315.46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338.66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 xml:space="preserve">我单位人员变动较大，学生人数变动，支出减少。 </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315.46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93.75</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338.66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我单位人员变动较大，学生人数变动，支出减少。</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315.46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%；教育（类）支出315.46万元，占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315.46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93.33</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教育支出（类）普通教育（款）初中教育（项）。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315.46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93.33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我单位严格按照预算，控制支出。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年度财政拨款基本支出286.78万元，其中：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216.66万元，占基本支出的</w:t>
      </w:r>
      <w:r>
        <w:rPr>
          <w:rFonts w:hint="eastAsia" w:ascii="Times New Roman" w:hAnsi="Times New Roman" w:eastAsia="仿宋_GB2312"/>
          <w:sz w:val="32"/>
          <w:szCs w:val="32"/>
          <w:lang w:val="en-US" w:eastAsia="zh-CN"/>
        </w:rPr>
        <w:t>75.55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49.08万元，占基本支出的</w:t>
      </w:r>
      <w:r>
        <w:rPr>
          <w:rFonts w:hint="eastAsia" w:ascii="Times New Roman" w:hAnsi="Times New Roman" w:eastAsia="仿宋_GB2312"/>
          <w:sz w:val="32"/>
          <w:szCs w:val="32"/>
          <w:lang w:val="en-US" w:eastAsia="zh-CN"/>
        </w:rPr>
        <w:t>17.11</w:t>
      </w:r>
      <w:r>
        <w:rPr>
          <w:rFonts w:hint="eastAsia" w:ascii="Times New Roman" w:hAnsi="Times New Roman" w:eastAsia="仿宋_GB2312"/>
          <w:sz w:val="32"/>
          <w:szCs w:val="32"/>
        </w:rPr>
        <w:t>%，主要包括办公费、印刷费、咨询费、手续费。</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“三公”经费财政拨款支出预算为0万元，支出决算为0万元，因预算数为0，无法计算预算完成百分比，其中：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新田县石羊中学</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49.08</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0.92</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1.84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我单位严格按照预算进行支出。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spacing w:line="600" w:lineRule="exact"/>
        <w:ind w:firstLine="640" w:firstLineChars="200"/>
        <w:jc w:val="both"/>
        <w:rPr>
          <w:rFonts w:ascii="楷体" w:hAnsi="楷体" w:eastAsia="楷体" w:cs="楷体"/>
          <w:b/>
          <w:bCs/>
          <w:i/>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万元，用于开展各类提升教师素养培训，人数</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4人，内容为教师教学技能比拼、教师职业素养提升、各类教师外出培训及校本培训等；未举办节庆、晚会、论坛、赛事活动，开支0万元。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根据预算绩效管理要求，我校组织对2022年度一般公共预算项目支出全面开展绩效自评，其中一级项目0个，二级项目3个，共涉及资金49.72万元，占一半公共预算项目支出总额的100%。</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组织对2022年度新田县石羊中学0个政府性基金预算项目支出开展绩效自评，共涉及资金0万元，占政府性基金预算项目支出总额的0%。</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组织对2022年度新田县石羊中学0个国有资本经营预算项目支出开展绩效自评，共涉及资金0万元，占国有资本经营预算项目支出总额的0%。</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本单位开展了项目绩效自评，无部门评价。</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新田县石羊中学1个单位开展整体支出绩效评价，涉及一般公共预算支出336.50万元，政府性基金预算支出0万元。从评价情况来看，本年度绩效目标全面完成，取得了一定经济和社会效益。单位财务制度健全，管理规范，得到有效执行。通过加强绩效预算，使用财政资金得到有效使用，效率得到提高，促进了各项工作顺得利开展。我校正逐步完善接待管理、财务管理等制度，使节能降耗工作逐步走上制度化、规范化的管理轨道。2022年新田县石羊中学整体支出绩效自评得分为97.90分。</w:t>
      </w:r>
    </w:p>
    <w:p>
      <w:pPr>
        <w:pStyle w:val="6"/>
        <w:keepNext w:val="0"/>
        <w:keepLines w:val="0"/>
        <w:pageBreakBefore w:val="0"/>
        <w:widowControl/>
        <w:numPr>
          <w:ilvl w:val="0"/>
          <w:numId w:val="3"/>
        </w:numPr>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部门决算中项目绩效自评结果</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①石羊中心幼儿园二期工程项目绩效自评得分为99.80分；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②石羊中学教师宿舍铝合金窗改造工程项目绩效自评得分为99.90分；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③石羊中心幼儿园化粪池改造工程项目绩效自评得分为99.70分；</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val="en-US" w:eastAsia="zh-CN"/>
        </w:rPr>
      </w:pPr>
      <w:bookmarkStart w:id="3" w:name="_GoBack"/>
      <w:r>
        <w:rPr>
          <w:rFonts w:hint="eastAsia" w:ascii="楷体" w:hAnsi="楷体" w:eastAsia="楷体" w:cs="楷体"/>
          <w:b/>
          <w:bCs/>
          <w:sz w:val="32"/>
          <w:szCs w:val="32"/>
          <w:lang w:val="en-US" w:eastAsia="zh-CN"/>
        </w:rPr>
        <w:t>（二）存在的问题及原因分析</w:t>
      </w:r>
    </w:p>
    <w:bookmarkEnd w:id="3"/>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1.整体支出绩效目标与</w:t>
      </w:r>
      <w:r>
        <w:rPr>
          <w:rFonts w:hint="eastAsia" w:ascii="Times New Roman" w:hAnsi="Times New Roman" w:eastAsia="仿宋_GB2312" w:cs="黑体"/>
          <w:color w:val="000000"/>
          <w:kern w:val="0"/>
          <w:sz w:val="32"/>
          <w:szCs w:val="32"/>
          <w:lang w:val="en-US" w:eastAsia="zh-CN" w:bidi="ar-SA"/>
        </w:rPr>
        <w:t>部分</w:t>
      </w:r>
      <w:r>
        <w:rPr>
          <w:rFonts w:hint="default" w:ascii="Times New Roman" w:hAnsi="Times New Roman" w:eastAsia="仿宋_GB2312" w:cs="黑体"/>
          <w:color w:val="000000"/>
          <w:kern w:val="0"/>
          <w:sz w:val="32"/>
          <w:szCs w:val="32"/>
          <w:lang w:val="en-US" w:eastAsia="zh-CN" w:bidi="ar-SA"/>
        </w:rPr>
        <w:t>产出的数量指标、质量指标缺乏对应性，关联性和可操作性不强。</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2.对绩效目标的设定和各项指标的理解、认识不到位，导致绩效目标不够明确、不够细化、不够量化，缺乏可衡量性和可实现性。</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3.在预算绩效管理上存在不足</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在行政事业单位中比较常规的考核方式就是年度考核，不过这种方式或多或少的也存在着一些不足，比如一些单位的管理不到位，缺乏一些考核标准，绩效考核的指标缺乏科学性、合理性，且考核标准人为主观因素比较多，绩效考核只注重结果，缺少预算实施过程中的管理，缺少对预算项目的前期的考察和分析，这样在很大程度上也会使得单位的财务状况出现一些问题，从而无法实现整个预算绩效管理应达到的效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4.行政事业单位预算绩效管理人员专业素质不高</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行政事业单位的预算绩效考核工作是非常繁杂且专业的，这项工作需要相当强的专业能力，不过现如今我国的大多数行政事业单位中预算绩效考核人员大部分是由领导者及相关的工作人员组成，虽然看起来是由多个部门来进行统一的考核，不过，这些人员在专业素养上较为缺乏。更为重要的是在乡镇事业单位中，一些预算绩效管理人员的专业知识比较少，甚至有的对于预算绩效考核的内容都不清楚，这种考核基本上就是走个形式而已，长此以往，会阻碍乡镇的发展。</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5F5B"/>
    <w:multiLevelType w:val="singleLevel"/>
    <w:tmpl w:val="09C35F5B"/>
    <w:lvl w:ilvl="0" w:tentative="0">
      <w:start w:val="1"/>
      <w:numFmt w:val="decimal"/>
      <w:suff w:val="nothing"/>
      <w:lvlText w:val="（%1）"/>
      <w:lvlJc w:val="left"/>
    </w:lvl>
  </w:abstractNum>
  <w:abstractNum w:abstractNumId="1">
    <w:nsid w:val="211F34B4"/>
    <w:multiLevelType w:val="singleLevel"/>
    <w:tmpl w:val="211F34B4"/>
    <w:lvl w:ilvl="0" w:tentative="0">
      <w:start w:val="7"/>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AA26F7"/>
    <w:rsid w:val="1ECC422C"/>
    <w:rsid w:val="1F4F0EF6"/>
    <w:rsid w:val="21DD78FC"/>
    <w:rsid w:val="3FE457A9"/>
    <w:rsid w:val="5777D4F5"/>
    <w:rsid w:val="5A0B048C"/>
    <w:rsid w:val="5F8F08CA"/>
    <w:rsid w:val="5FC6BB1E"/>
    <w:rsid w:val="5FF720F1"/>
    <w:rsid w:val="609B351E"/>
    <w:rsid w:val="64A54408"/>
    <w:rsid w:val="6EF96718"/>
    <w:rsid w:val="6F9B0B8C"/>
    <w:rsid w:val="737D59BA"/>
    <w:rsid w:val="77B06588"/>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6070</Words>
  <Characters>6868</Characters>
  <Lines>63</Lines>
  <Paragraphs>18</Paragraphs>
  <TotalTime>1</TotalTime>
  <ScaleCrop>false</ScaleCrop>
  <LinksUpToDate>false</LinksUpToDate>
  <CharactersWithSpaces>7918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2023-10-07T07:53:34Z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D54B64BE65504AA5ADADD3034AAEF99A_12</vt:lpwstr>
  </property>
</Properties>
</file>