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3360" w:firstLineChars="700"/>
        <w:jc w:val="both"/>
        <w:rPr>
          <w:sz w:val="48"/>
          <w:szCs w:val="48"/>
        </w:rPr>
      </w:pPr>
    </w:p>
    <w:p>
      <w:pPr>
        <w:pStyle w:val="10"/>
        <w:ind w:firstLine="3360" w:firstLineChars="700"/>
        <w:jc w:val="both"/>
        <w:rPr>
          <w:sz w:val="48"/>
          <w:szCs w:val="48"/>
        </w:rPr>
      </w:pPr>
      <w:r>
        <w:rPr>
          <w:rFonts w:hint="eastAsia"/>
          <w:sz w:val="48"/>
          <w:szCs w:val="48"/>
        </w:rPr>
        <w:t>新田县</w:t>
      </w:r>
      <w:r>
        <w:rPr>
          <w:rFonts w:hint="eastAsia"/>
          <w:sz w:val="48"/>
          <w:szCs w:val="48"/>
          <w:lang w:eastAsia="zh-CN"/>
        </w:rPr>
        <w:t>云梯学校</w:t>
      </w:r>
      <w:r>
        <w:rPr>
          <w:rFonts w:hint="eastAsia"/>
          <w:sz w:val="48"/>
          <w:szCs w:val="48"/>
        </w:rPr>
        <w:t>2022年度部门决算公开</w:t>
      </w:r>
    </w:p>
    <w:p>
      <w:pPr>
        <w:pStyle w:val="10"/>
        <w:spacing w:line="500" w:lineRule="exact"/>
        <w:ind w:firstLine="6144" w:firstLineChars="1700"/>
        <w:jc w:val="both"/>
        <w:rPr>
          <w:b/>
          <w:sz w:val="36"/>
          <w:szCs w:val="28"/>
        </w:rPr>
      </w:pPr>
    </w:p>
    <w:p>
      <w:pPr>
        <w:pStyle w:val="10"/>
        <w:spacing w:line="500" w:lineRule="exact"/>
        <w:ind w:firstLine="6626" w:firstLineChars="1500"/>
        <w:jc w:val="both"/>
        <w:rPr>
          <w:b/>
          <w:sz w:val="36"/>
          <w:szCs w:val="28"/>
        </w:rPr>
      </w:pPr>
      <w:r>
        <w:rPr>
          <w:rFonts w:hint="eastAsia"/>
          <w:b/>
          <w:sz w:val="44"/>
          <w:szCs w:val="44"/>
        </w:rPr>
        <w:t>目录</w:t>
      </w:r>
    </w:p>
    <w:p>
      <w:pPr>
        <w:pStyle w:val="10"/>
        <w:spacing w:line="500" w:lineRule="exact"/>
        <w:rPr>
          <w:rFonts w:hAnsi="黑体"/>
          <w:bCs/>
          <w:sz w:val="28"/>
          <w:szCs w:val="28"/>
        </w:rPr>
      </w:pPr>
    </w:p>
    <w:p>
      <w:pPr>
        <w:pStyle w:val="10"/>
        <w:spacing w:line="500" w:lineRule="exact"/>
        <w:rPr>
          <w:rFonts w:hAnsi="黑体"/>
          <w:b/>
          <w:sz w:val="28"/>
          <w:szCs w:val="28"/>
        </w:rPr>
      </w:pPr>
      <w:r>
        <w:rPr>
          <w:rFonts w:hint="eastAsia" w:hAnsi="黑体"/>
          <w:b/>
          <w:sz w:val="28"/>
          <w:szCs w:val="28"/>
        </w:rPr>
        <w:t>第一部分 新田县云梯学校概况</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Ansi="黑体"/>
          <w:b/>
          <w:sz w:val="28"/>
          <w:szCs w:val="28"/>
        </w:rPr>
      </w:pPr>
      <w:r>
        <w:rPr>
          <w:rFonts w:hint="eastAsia" w:hAnsi="黑体"/>
          <w:b/>
          <w:sz w:val="28"/>
          <w:szCs w:val="28"/>
        </w:rPr>
        <w:t>第二部分 部门决算表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Ansi="黑体"/>
          <w:bCs/>
          <w:sz w:val="28"/>
          <w:szCs w:val="28"/>
        </w:rPr>
      </w:pPr>
    </w:p>
    <w:p>
      <w:pPr>
        <w:pStyle w:val="10"/>
        <w:spacing w:line="500" w:lineRule="exact"/>
        <w:rPr>
          <w:rFonts w:hAnsi="黑体"/>
          <w:b/>
          <w:sz w:val="28"/>
          <w:szCs w:val="28"/>
        </w:rPr>
      </w:pPr>
      <w:r>
        <w:rPr>
          <w:rFonts w:hint="eastAsia" w:hAnsi="黑体"/>
          <w:b/>
          <w:sz w:val="28"/>
          <w:szCs w:val="28"/>
        </w:rPr>
        <w:t>第三部分 部门决算情况说明</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Ansi="黑体"/>
          <w:b/>
          <w:sz w:val="28"/>
          <w:szCs w:val="28"/>
        </w:rPr>
      </w:pPr>
      <w:r>
        <w:rPr>
          <w:rFonts w:hint="eastAsia" w:hAnsi="黑体"/>
          <w:b/>
          <w:sz w:val="28"/>
          <w:szCs w:val="28"/>
        </w:rPr>
        <w:t>第四部分 名词解释</w:t>
      </w:r>
    </w:p>
    <w:p>
      <w:pPr>
        <w:pStyle w:val="10"/>
        <w:spacing w:line="500" w:lineRule="exact"/>
        <w:rPr>
          <w:rFonts w:hAnsi="黑体"/>
          <w:b/>
          <w:sz w:val="28"/>
          <w:szCs w:val="28"/>
        </w:rPr>
      </w:pPr>
      <w:r>
        <w:rPr>
          <w:rFonts w:hAnsi="黑体"/>
          <w:b/>
          <w:sz w:val="28"/>
          <w:szCs w:val="28"/>
        </w:rPr>
        <w:t>第五部分</w:t>
      </w:r>
      <w:r>
        <w:rPr>
          <w:rFonts w:hint="eastAsia" w:hAnsi="黑体"/>
          <w:b/>
          <w:sz w:val="28"/>
          <w:szCs w:val="28"/>
        </w:rPr>
        <w:t xml:space="preserve"> </w:t>
      </w:r>
      <w:r>
        <w:rPr>
          <w:rFonts w:hAnsi="黑体"/>
          <w:b/>
          <w:sz w:val="28"/>
          <w:szCs w:val="28"/>
        </w:rPr>
        <w:t>附件</w:t>
      </w:r>
    </w:p>
    <w:p>
      <w:pPr>
        <w:rPr>
          <w:rFonts w:ascii="黑体" w:hAnsi="黑体" w:eastAsia="黑体" w:cs="黑体"/>
          <w:b/>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b/>
          <w:bCs/>
          <w:sz w:val="72"/>
          <w:szCs w:val="72"/>
        </w:rPr>
      </w:pPr>
      <w:r>
        <w:rPr>
          <w:rFonts w:hint="eastAsia" w:ascii="黑体" w:hAnsi="黑体" w:eastAsia="黑体" w:cs="黑体"/>
          <w:b/>
          <w:bCs/>
          <w:sz w:val="32"/>
          <w:szCs w:val="32"/>
        </w:rPr>
        <w:t>第一部分 新田县云梯学校概况</w:t>
      </w:r>
    </w:p>
    <w:p>
      <w:pPr>
        <w:pStyle w:val="11"/>
        <w:numPr>
          <w:ilvl w:val="0"/>
          <w:numId w:val="1"/>
        </w:numPr>
        <w:ind w:firstLineChars="0"/>
        <w:jc w:val="left"/>
        <w:rPr>
          <w:rFonts w:ascii="黑体" w:hAnsi="黑体" w:eastAsia="黑体" w:cs="黑体"/>
          <w:sz w:val="32"/>
          <w:szCs w:val="32"/>
        </w:rPr>
      </w:pPr>
      <w:r>
        <w:rPr>
          <w:rFonts w:hint="eastAsia" w:ascii="黑体" w:hAnsi="黑体" w:eastAsia="黑体" w:cs="黑体"/>
          <w:sz w:val="32"/>
          <w:szCs w:val="32"/>
        </w:rPr>
        <w:t>部门职责</w:t>
      </w:r>
    </w:p>
    <w:p>
      <w:pPr>
        <w:pStyle w:val="11"/>
        <w:ind w:left="720" w:firstLine="0" w:firstLineChars="0"/>
        <w:jc w:val="left"/>
        <w:rPr>
          <w:rFonts w:asciiTheme="minorEastAsia" w:hAnsiTheme="minorEastAsia" w:cstheme="minorEastAsia"/>
          <w:sz w:val="28"/>
          <w:szCs w:val="28"/>
        </w:rPr>
      </w:pPr>
      <w:r>
        <w:rPr>
          <w:rFonts w:hint="eastAsia" w:ascii="仿宋" w:hAnsi="仿宋" w:eastAsia="仿宋" w:cs="仿宋_GB2312"/>
          <w:sz w:val="32"/>
          <w:szCs w:val="32"/>
        </w:rPr>
        <w:t>本单位主要职能是实施基础教育教学工作，促进基础教育发展，开展初中学历教育。</w:t>
      </w:r>
    </w:p>
    <w:p>
      <w:pPr>
        <w:widowControl/>
        <w:spacing w:line="600" w:lineRule="exact"/>
        <w:rPr>
          <w:rFonts w:ascii="黑体" w:hAnsi="黑体" w:eastAsia="黑体" w:cs="黑体"/>
          <w:bCs/>
          <w:kern w:val="0"/>
          <w:sz w:val="32"/>
          <w:szCs w:val="32"/>
        </w:rPr>
      </w:pPr>
      <w:r>
        <w:rPr>
          <w:rFonts w:hint="eastAsia" w:ascii="黑体" w:hAnsi="黑体" w:eastAsia="黑体" w:cs="黑体"/>
          <w:bCs/>
          <w:kern w:val="0"/>
          <w:sz w:val="32"/>
          <w:szCs w:val="32"/>
        </w:rPr>
        <w:t>二、机构设置及决算单位构成</w:t>
      </w:r>
    </w:p>
    <w:p>
      <w:pPr>
        <w:widowControl/>
        <w:spacing w:line="600" w:lineRule="exact"/>
        <w:ind w:firstLine="640" w:firstLineChars="200"/>
        <w:rPr>
          <w:rFonts w:ascii="仿宋" w:hAnsi="仿宋" w:eastAsia="仿宋" w:cs="仿宋_GB2312"/>
          <w:sz w:val="32"/>
          <w:szCs w:val="32"/>
        </w:rPr>
      </w:pPr>
      <w:r>
        <w:rPr>
          <w:rFonts w:hint="eastAsia" w:ascii="Times New Roman" w:hAnsi="Times New Roman" w:eastAsia="仿宋_GB2312" w:cs="仿宋_GB2312"/>
          <w:bCs/>
          <w:kern w:val="0"/>
          <w:sz w:val="32"/>
          <w:szCs w:val="32"/>
        </w:rPr>
        <w:t>（一）内设机构设置。</w:t>
      </w:r>
      <w:r>
        <w:rPr>
          <w:rFonts w:hint="eastAsia" w:asciiTheme="minorEastAsia" w:hAnsiTheme="minorEastAsia" w:cstheme="minorEastAsia"/>
          <w:bCs/>
          <w:sz w:val="28"/>
          <w:szCs w:val="28"/>
        </w:rPr>
        <w:t>云梯学校内设机构包括：</w:t>
      </w:r>
      <w:r>
        <w:rPr>
          <w:rFonts w:ascii="仿宋" w:hAnsi="仿宋" w:eastAsia="仿宋" w:cs="仿宋_GB2312"/>
          <w:sz w:val="32"/>
          <w:szCs w:val="32"/>
        </w:rPr>
        <w:t>根据编委核定，我</w:t>
      </w:r>
      <w:r>
        <w:rPr>
          <w:rFonts w:hint="eastAsia" w:ascii="仿宋" w:hAnsi="仿宋" w:eastAsia="仿宋" w:cs="仿宋_GB2312"/>
          <w:sz w:val="32"/>
          <w:szCs w:val="32"/>
        </w:rPr>
        <w:t>校属财政全额拨款事业单位，</w:t>
      </w:r>
      <w:r>
        <w:rPr>
          <w:rFonts w:ascii="仿宋" w:hAnsi="仿宋" w:eastAsia="仿宋" w:cs="仿宋_GB2312"/>
          <w:sz w:val="32"/>
          <w:szCs w:val="32"/>
        </w:rPr>
        <w:t>内设</w:t>
      </w:r>
      <w:r>
        <w:rPr>
          <w:rFonts w:hint="eastAsia" w:ascii="仿宋" w:hAnsi="仿宋" w:eastAsia="仿宋" w:cs="仿宋_GB2312"/>
          <w:sz w:val="32"/>
          <w:szCs w:val="32"/>
        </w:rPr>
        <w:t>工会、办公室、教务处、政教处、团委会。</w:t>
      </w:r>
    </w:p>
    <w:p>
      <w:pPr>
        <w:widowControl/>
        <w:spacing w:line="600" w:lineRule="exact"/>
        <w:ind w:firstLine="627" w:firstLineChars="196"/>
        <w:rPr>
          <w:rFonts w:cs="黑体" w:asciiTheme="minorEastAsia" w:hAnsiTheme="minorEastAsia"/>
          <w:kern w:val="0"/>
          <w:sz w:val="28"/>
          <w:szCs w:val="28"/>
          <w:shd w:val="clear" w:color="auto" w:fill="F6F6F6"/>
        </w:rPr>
      </w:pPr>
      <w:r>
        <w:rPr>
          <w:rFonts w:hint="eastAsia" w:ascii="Times New Roman" w:hAnsi="Times New Roman" w:eastAsia="仿宋_GB2312" w:cs="仿宋_GB2312"/>
          <w:bCs/>
          <w:kern w:val="0"/>
          <w:sz w:val="32"/>
          <w:szCs w:val="32"/>
        </w:rPr>
        <w:t>（二）决算单位构成。</w:t>
      </w:r>
      <w:r>
        <w:rPr>
          <w:rFonts w:hint="eastAsia" w:asciiTheme="minorEastAsia" w:hAnsiTheme="minorEastAsia" w:cstheme="minorEastAsia"/>
          <w:bCs/>
          <w:kern w:val="0"/>
          <w:sz w:val="28"/>
          <w:szCs w:val="28"/>
        </w:rPr>
        <w:t>云梯学校单位2022年部门决算汇总公开单位构成包括：</w:t>
      </w:r>
      <w:r>
        <w:rPr>
          <w:rFonts w:hint="eastAsia" w:asciiTheme="minorEastAsia" w:hAnsiTheme="minorEastAsia"/>
          <w:bCs/>
          <w:sz w:val="28"/>
          <w:szCs w:val="28"/>
        </w:rPr>
        <w:t>本</w:t>
      </w:r>
      <w:r>
        <w:rPr>
          <w:rFonts w:asciiTheme="minorEastAsia" w:hAnsiTheme="minorEastAsia"/>
          <w:sz w:val="28"/>
          <w:szCs w:val="28"/>
        </w:rPr>
        <w:t>部门只有本级，没有其他预算单位，因此本部门预算仅含本级</w:t>
      </w:r>
      <w:r>
        <w:rPr>
          <w:rFonts w:hint="eastAsia" w:asciiTheme="minorEastAsia" w:hAnsiTheme="minorEastAsia"/>
          <w:sz w:val="28"/>
          <w:szCs w:val="28"/>
        </w:rPr>
        <w:t>决</w:t>
      </w:r>
      <w:r>
        <w:rPr>
          <w:rFonts w:asciiTheme="minorEastAsia" w:hAnsiTheme="minorEastAsia"/>
          <w:sz w:val="28"/>
          <w:szCs w:val="28"/>
        </w:rPr>
        <w:t>算。</w:t>
      </w:r>
    </w:p>
    <w:p>
      <w:pPr>
        <w:widowControl/>
        <w:spacing w:line="600" w:lineRule="exac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rPr>
          <w:sz w:val="72"/>
          <w:szCs w:val="72"/>
        </w:rPr>
      </w:pPr>
    </w:p>
    <w:tbl>
      <w:tblPr>
        <w:tblStyle w:val="6"/>
        <w:tblW w:w="15702" w:type="dxa"/>
        <w:tblInd w:w="317" w:type="dxa"/>
        <w:tblLayout w:type="autofit"/>
        <w:tblCellMar>
          <w:top w:w="0" w:type="dxa"/>
          <w:left w:w="0" w:type="dxa"/>
          <w:bottom w:w="0" w:type="dxa"/>
          <w:right w:w="0" w:type="dxa"/>
        </w:tblCellMar>
      </w:tblPr>
      <w:tblGrid>
        <w:gridCol w:w="244"/>
        <w:gridCol w:w="521"/>
        <w:gridCol w:w="108"/>
        <w:gridCol w:w="1837"/>
        <w:gridCol w:w="108"/>
        <w:gridCol w:w="1629"/>
        <w:gridCol w:w="108"/>
        <w:gridCol w:w="1629"/>
        <w:gridCol w:w="108"/>
        <w:gridCol w:w="1629"/>
        <w:gridCol w:w="108"/>
        <w:gridCol w:w="1629"/>
        <w:gridCol w:w="108"/>
        <w:gridCol w:w="1629"/>
        <w:gridCol w:w="108"/>
        <w:gridCol w:w="1629"/>
        <w:gridCol w:w="108"/>
        <w:gridCol w:w="2354"/>
        <w:gridCol w:w="108"/>
      </w:tblGrid>
      <w:tr>
        <w:tblPrEx>
          <w:tblCellMar>
            <w:top w:w="0" w:type="dxa"/>
            <w:left w:w="0" w:type="dxa"/>
            <w:bottom w:w="0" w:type="dxa"/>
            <w:right w:w="0" w:type="dxa"/>
          </w:tblCellMar>
        </w:tblPrEx>
        <w:trPr>
          <w:gridAfter w:val="1"/>
          <w:wAfter w:w="108" w:type="dxa"/>
          <w:trHeight w:val="435" w:hRule="atLeast"/>
        </w:trPr>
        <w:tc>
          <w:tcPr>
            <w:tcW w:w="15594" w:type="dxa"/>
            <w:gridSpan w:val="18"/>
            <w:tcBorders>
              <w:top w:val="nil"/>
              <w:left w:val="nil"/>
              <w:bottom w:val="nil"/>
              <w:right w:val="nil"/>
            </w:tcBorders>
            <w:shd w:val="clear" w:color="auto" w:fill="auto"/>
            <w:noWrap/>
            <w:tcMar>
              <w:top w:w="15" w:type="dxa"/>
              <w:left w:w="15" w:type="dxa"/>
              <w:bottom w:w="0" w:type="dxa"/>
              <w:right w:w="15" w:type="dxa"/>
            </w:tcMar>
            <w:vAlign w:val="center"/>
          </w:tcPr>
          <w:tbl>
            <w:tblPr>
              <w:tblStyle w:val="6"/>
              <w:tblW w:w="4999" w:type="pct"/>
              <w:tblInd w:w="0" w:type="dxa"/>
              <w:tblLayout w:type="autofit"/>
              <w:tblCellMar>
                <w:top w:w="0" w:type="dxa"/>
                <w:left w:w="108" w:type="dxa"/>
                <w:bottom w:w="0" w:type="dxa"/>
                <w:right w:w="108" w:type="dxa"/>
              </w:tblCellMar>
            </w:tblPr>
            <w:tblGrid>
              <w:gridCol w:w="4488"/>
              <w:gridCol w:w="616"/>
              <w:gridCol w:w="1407"/>
              <w:gridCol w:w="5089"/>
              <w:gridCol w:w="1167"/>
              <w:gridCol w:w="466"/>
              <w:gridCol w:w="470"/>
              <w:gridCol w:w="1858"/>
            </w:tblGrid>
            <w:tr>
              <w:tblPrEx>
                <w:tblCellMar>
                  <w:top w:w="0" w:type="dxa"/>
                  <w:left w:w="108" w:type="dxa"/>
                  <w:bottom w:w="0" w:type="dxa"/>
                  <w:right w:w="108" w:type="dxa"/>
                </w:tblCellMar>
              </w:tblPrEx>
              <w:trPr>
                <w:trHeight w:val="397" w:hRule="atLeast"/>
              </w:trPr>
              <w:tc>
                <w:tcPr>
                  <w:tcW w:w="1444" w:type="pct"/>
                  <w:tcBorders>
                    <w:top w:val="nil"/>
                    <w:left w:val="nil"/>
                    <w:bottom w:val="nil"/>
                    <w:right w:val="nil"/>
                  </w:tcBorders>
                  <w:shd w:val="clear" w:color="auto" w:fill="auto"/>
                  <w:noWrap/>
                  <w:vAlign w:val="center"/>
                </w:tcPr>
                <w:p>
                  <w:pPr>
                    <w:jc w:val="left"/>
                    <w:rPr>
                      <w:rFonts w:ascii="黑体" w:hAnsi="宋体" w:eastAsia="黑体" w:cs="黑体"/>
                      <w:color w:val="000000"/>
                      <w:sz w:val="24"/>
                      <w:szCs w:val="24"/>
                    </w:rPr>
                  </w:pPr>
                  <w:r>
                    <w:rPr>
                      <w:rFonts w:hint="eastAsia" w:ascii="黑体" w:hAnsi="黑体" w:eastAsia="黑体" w:cs="黑体"/>
                      <w:b/>
                      <w:bCs/>
                      <w:sz w:val="32"/>
                      <w:szCs w:val="32"/>
                    </w:rPr>
                    <w:t>第二部分 部门决算表</w:t>
                  </w:r>
                </w:p>
              </w:tc>
              <w:tc>
                <w:tcPr>
                  <w:tcW w:w="194" w:type="pct"/>
                  <w:tcBorders>
                    <w:top w:val="nil"/>
                    <w:left w:val="nil"/>
                    <w:bottom w:val="nil"/>
                    <w:right w:val="nil"/>
                  </w:tcBorders>
                  <w:shd w:val="clear" w:color="auto" w:fill="auto"/>
                  <w:noWrap/>
                  <w:vAlign w:val="center"/>
                </w:tcPr>
                <w:p>
                  <w:pPr>
                    <w:jc w:val="right"/>
                    <w:rPr>
                      <w:rFonts w:ascii="宋体" w:hAnsi="宋体" w:eastAsia="宋体" w:cs="宋体"/>
                      <w:color w:val="000000"/>
                      <w:sz w:val="24"/>
                      <w:szCs w:val="24"/>
                    </w:rPr>
                  </w:pPr>
                </w:p>
              </w:tc>
              <w:tc>
                <w:tcPr>
                  <w:tcW w:w="453" w:type="pct"/>
                  <w:tcBorders>
                    <w:top w:val="nil"/>
                    <w:left w:val="nil"/>
                    <w:bottom w:val="nil"/>
                    <w:right w:val="nil"/>
                  </w:tcBorders>
                  <w:shd w:val="clear" w:color="auto" w:fill="auto"/>
                  <w:noWrap/>
                  <w:vAlign w:val="center"/>
                </w:tcPr>
                <w:p>
                  <w:pPr>
                    <w:jc w:val="right"/>
                    <w:rPr>
                      <w:rFonts w:ascii="宋体" w:hAnsi="宋体" w:eastAsia="宋体" w:cs="宋体"/>
                      <w:color w:val="000000"/>
                      <w:sz w:val="24"/>
                      <w:szCs w:val="24"/>
                    </w:rPr>
                  </w:pPr>
                </w:p>
              </w:tc>
              <w:tc>
                <w:tcPr>
                  <w:tcW w:w="1637" w:type="pct"/>
                  <w:tcBorders>
                    <w:top w:val="nil"/>
                    <w:left w:val="nil"/>
                    <w:bottom w:val="nil"/>
                    <w:right w:val="nil"/>
                  </w:tcBorders>
                  <w:shd w:val="clear" w:color="auto" w:fill="auto"/>
                  <w:noWrap/>
                  <w:vAlign w:val="center"/>
                </w:tcPr>
                <w:p>
                  <w:pPr>
                    <w:jc w:val="right"/>
                    <w:rPr>
                      <w:rFonts w:ascii="宋体" w:hAnsi="宋体" w:eastAsia="宋体" w:cs="宋体"/>
                      <w:color w:val="000000"/>
                      <w:sz w:val="24"/>
                      <w:szCs w:val="24"/>
                    </w:rPr>
                  </w:pPr>
                </w:p>
              </w:tc>
              <w:tc>
                <w:tcPr>
                  <w:tcW w:w="524" w:type="pct"/>
                  <w:gridSpan w:val="2"/>
                  <w:tcBorders>
                    <w:top w:val="nil"/>
                    <w:left w:val="nil"/>
                    <w:bottom w:val="nil"/>
                    <w:right w:val="nil"/>
                  </w:tcBorders>
                  <w:shd w:val="clear" w:color="auto" w:fill="auto"/>
                  <w:noWrap/>
                  <w:vAlign w:val="center"/>
                </w:tcPr>
                <w:p>
                  <w:pPr>
                    <w:jc w:val="right"/>
                    <w:rPr>
                      <w:rFonts w:ascii="宋体" w:hAnsi="宋体" w:eastAsia="宋体" w:cs="宋体"/>
                      <w:color w:val="000000"/>
                      <w:sz w:val="24"/>
                      <w:szCs w:val="24"/>
                    </w:rPr>
                  </w:pPr>
                </w:p>
              </w:tc>
              <w:tc>
                <w:tcPr>
                  <w:tcW w:w="745" w:type="pct"/>
                  <w:gridSpan w:val="2"/>
                  <w:tcBorders>
                    <w:top w:val="nil"/>
                    <w:left w:val="nil"/>
                    <w:bottom w:val="nil"/>
                    <w:right w:val="nil"/>
                  </w:tcBorders>
                  <w:shd w:val="clear" w:color="auto" w:fill="auto"/>
                  <w:noWrap/>
                  <w:vAlign w:val="center"/>
                </w:tcPr>
                <w:p>
                  <w:pPr>
                    <w:jc w:val="right"/>
                    <w:rPr>
                      <w:rFonts w:ascii="黑体" w:hAnsi="宋体" w:eastAsia="黑体" w:cs="黑体"/>
                      <w:color w:val="000000"/>
                      <w:sz w:val="24"/>
                      <w:szCs w:val="24"/>
                    </w:rPr>
                  </w:pPr>
                </w:p>
              </w:tc>
            </w:tr>
            <w:tr>
              <w:tblPrEx>
                <w:tblCellMar>
                  <w:top w:w="0" w:type="dxa"/>
                  <w:left w:w="108" w:type="dxa"/>
                  <w:bottom w:w="0" w:type="dxa"/>
                  <w:right w:w="108" w:type="dxa"/>
                </w:tblCellMar>
              </w:tblPrEx>
              <w:trPr>
                <w:trHeight w:val="609" w:hRule="atLeast"/>
              </w:trPr>
              <w:tc>
                <w:tcPr>
                  <w:tcW w:w="5000" w:type="pct"/>
                  <w:gridSpan w:val="8"/>
                  <w:tcBorders>
                    <w:top w:val="nil"/>
                    <w:left w:val="nil"/>
                    <w:bottom w:val="nil"/>
                    <w:right w:val="nil"/>
                  </w:tcBorders>
                  <w:shd w:val="clear" w:color="auto" w:fill="auto"/>
                  <w:noWrap/>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收入支出决算总表</w:t>
                  </w:r>
                </w:p>
              </w:tc>
            </w:tr>
            <w:tr>
              <w:tblPrEx>
                <w:tblCellMar>
                  <w:top w:w="0" w:type="dxa"/>
                  <w:left w:w="108" w:type="dxa"/>
                  <w:bottom w:w="0" w:type="dxa"/>
                  <w:right w:w="108" w:type="dxa"/>
                </w:tblCellMar>
              </w:tblPrEx>
              <w:trPr>
                <w:trHeight w:val="304" w:hRule="atLeast"/>
              </w:trPr>
              <w:tc>
                <w:tcPr>
                  <w:tcW w:w="1444"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194"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453"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1637"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524" w:type="pct"/>
                  <w:gridSpan w:val="2"/>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745" w:type="pct"/>
                  <w:gridSpan w:val="2"/>
                  <w:tcBorders>
                    <w:top w:val="nil"/>
                    <w:left w:val="nil"/>
                    <w:bottom w:val="nil"/>
                    <w:right w:val="nil"/>
                  </w:tcBorders>
                  <w:shd w:val="clear" w:color="auto" w:fill="FFFFFF"/>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4" w:hRule="atLeast"/>
              </w:trPr>
              <w:tc>
                <w:tcPr>
                  <w:tcW w:w="1444" w:type="pct"/>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rPr>
                    <w:t>新田县云梯学校</w:t>
                  </w:r>
                </w:p>
              </w:tc>
              <w:tc>
                <w:tcPr>
                  <w:tcW w:w="194"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453"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1637"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524" w:type="pct"/>
                  <w:gridSpan w:val="2"/>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745" w:type="pct"/>
                  <w:gridSpan w:val="2"/>
                  <w:tcBorders>
                    <w:top w:val="nil"/>
                    <w:left w:val="nil"/>
                    <w:bottom w:val="nil"/>
                    <w:right w:val="nil"/>
                  </w:tcBorders>
                  <w:shd w:val="clear" w:color="auto" w:fill="FFFFFF"/>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598" w:type="pct"/>
                <w:trHeight w:val="397" w:hRule="atLeast"/>
              </w:trPr>
              <w:tc>
                <w:tcPr>
                  <w:tcW w:w="2092"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收入</w:t>
                  </w:r>
                </w:p>
              </w:tc>
              <w:tc>
                <w:tcPr>
                  <w:tcW w:w="2309"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支出</w:t>
                  </w:r>
                </w:p>
              </w:tc>
            </w:tr>
            <w:tr>
              <w:tblPrEx>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    目</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决算数</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    目</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决算数</w:t>
                  </w:r>
                </w:p>
              </w:tc>
            </w:tr>
            <w:tr>
              <w:tblPrEx>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栏    次</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4"/>
                      <w:szCs w:val="24"/>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栏    次</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4"/>
                      <w:szCs w:val="24"/>
                    </w:rPr>
                  </w:pP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r>
                    <w:rPr>
                      <w:rFonts w:hint="eastAsia" w:ascii="Times New Roman" w:hAnsi="Times New Roman" w:eastAsia="仿宋_GB2312" w:cs="Times New Roman"/>
                      <w:kern w:val="0"/>
                      <w:szCs w:val="21"/>
                    </w:rPr>
                    <w:t>1302.91</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p>
              </w:tc>
            </w:tr>
            <w:tr>
              <w:tblPrEx>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p>
              </w:tc>
            </w:tr>
            <w:tr>
              <w:tblPrEx>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三、国有资本经营预算财政拨款收入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p>
              </w:tc>
            </w:tr>
            <w:tr>
              <w:tblPrEx>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四、上级补助收入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p>
              </w:tc>
            </w:tr>
            <w:tr>
              <w:tblPrEx>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五、事业收入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Times New Roman" w:hAnsi="Times New Roman" w:eastAsia="仿宋_GB2312" w:cs="Times New Roman"/>
                      <w:kern w:val="0"/>
                      <w:szCs w:val="21"/>
                    </w:rPr>
                    <w:t>1302.91</w:t>
                  </w:r>
                </w:p>
              </w:tc>
            </w:tr>
            <w:tr>
              <w:tblPrEx>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六、经营收入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p>
              </w:tc>
            </w:tr>
            <w:tr>
              <w:tblPrEx>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七、附属单位上缴收入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p>
              </w:tc>
            </w:tr>
            <w:tr>
              <w:tblPrEx>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八、其他收入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2"/>
                    </w:rPr>
                  </w:pP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0"/>
                      <w:szCs w:val="20"/>
                    </w:rPr>
                  </w:pP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0"/>
                      <w:szCs w:val="20"/>
                    </w:rPr>
                  </w:pP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color w:val="000000"/>
                      <w:sz w:val="22"/>
                    </w:rPr>
                  </w:pPr>
                </w:p>
              </w:tc>
            </w:tr>
            <w:tr>
              <w:tblPrEx>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r>
                    <w:rPr>
                      <w:rFonts w:hint="eastAsia" w:ascii="Times New Roman" w:hAnsi="Times New Roman" w:eastAsia="仿宋_GB2312" w:cs="Times New Roman"/>
                      <w:kern w:val="0"/>
                      <w:szCs w:val="21"/>
                    </w:rPr>
                    <w:t>1302.91</w:t>
                  </w:r>
                </w:p>
              </w:tc>
              <w:tc>
                <w:tcPr>
                  <w:tcW w:w="1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r>
                    <w:rPr>
                      <w:rFonts w:hint="eastAsia" w:ascii="Times New Roman" w:hAnsi="Times New Roman" w:eastAsia="仿宋_GB2312" w:cs="Times New Roman"/>
                      <w:kern w:val="0"/>
                      <w:szCs w:val="21"/>
                    </w:rPr>
                    <w:t>1302.91</w:t>
                  </w:r>
                </w:p>
              </w:tc>
            </w:tr>
            <w:tr>
              <w:tblPrEx>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使用非财政拨款结余</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结余分配</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年初结转和结余</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16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年末结转和结余</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gridAfter w:val="1"/>
                <w:wAfter w:w="598" w:type="pct"/>
                <w:trHeight w:val="397" w:hRule="atLeast"/>
              </w:trPr>
              <w:tc>
                <w:tcPr>
                  <w:tcW w:w="14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r>
                    <w:rPr>
                      <w:rFonts w:hint="eastAsia" w:ascii="Times New Roman" w:hAnsi="Times New Roman" w:eastAsia="仿宋_GB2312" w:cs="Times New Roman"/>
                      <w:kern w:val="0"/>
                      <w:szCs w:val="21"/>
                    </w:rPr>
                    <w:t>1302.91</w:t>
                  </w:r>
                </w:p>
              </w:tc>
              <w:tc>
                <w:tcPr>
                  <w:tcW w:w="1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3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color w:val="000000"/>
                      <w:sz w:val="22"/>
                    </w:rPr>
                  </w:pPr>
                  <w:r>
                    <w:rPr>
                      <w:rFonts w:hint="eastAsia" w:ascii="Times New Roman" w:hAnsi="Times New Roman" w:eastAsia="仿宋_GB2312" w:cs="Times New Roman"/>
                      <w:kern w:val="0"/>
                      <w:szCs w:val="21"/>
                    </w:rPr>
                    <w:t>1302.91</w:t>
                  </w:r>
                </w:p>
              </w:tc>
            </w:tr>
            <w:tr>
              <w:tblPrEx>
                <w:tblCellMar>
                  <w:top w:w="0" w:type="dxa"/>
                  <w:left w:w="108" w:type="dxa"/>
                  <w:bottom w:w="0" w:type="dxa"/>
                  <w:right w:w="108" w:type="dxa"/>
                </w:tblCellMar>
              </w:tblPrEx>
              <w:trPr>
                <w:trHeight w:val="1015" w:hRule="atLeast"/>
              </w:trPr>
              <w:tc>
                <w:tcPr>
                  <w:tcW w:w="5000" w:type="pct"/>
                  <w:gridSpan w:val="8"/>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注：1.本表反映部门本年度的总收支和年末结转结余情况。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2.本套报表金额单位转换时可能存在尾数误差。</w:t>
                  </w:r>
                </w:p>
              </w:tc>
            </w:tr>
          </w:tbl>
          <w:p>
            <w:pPr>
              <w:jc w:val="center"/>
              <w:rPr>
                <w:rFonts w:ascii="华文中宋" w:hAnsi="华文中宋" w:eastAsia="华文中宋"/>
                <w:color w:val="000000"/>
                <w:sz w:val="32"/>
                <w:szCs w:val="32"/>
              </w:rPr>
            </w:pPr>
          </w:p>
          <w:p>
            <w:pPr>
              <w:jc w:val="center"/>
              <w:rPr>
                <w:rFonts w:ascii="华文中宋" w:hAnsi="华文中宋" w:eastAsia="华文中宋"/>
                <w:color w:val="000000"/>
                <w:sz w:val="32"/>
                <w:szCs w:val="32"/>
              </w:rPr>
            </w:pPr>
          </w:p>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2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629"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45"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ind w:right="200"/>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gridAfter w:val="1"/>
          <w:wAfter w:w="108" w:type="dxa"/>
          <w:trHeight w:val="285" w:hRule="atLeast"/>
        </w:trPr>
        <w:tc>
          <w:tcPr>
            <w:tcW w:w="765"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1945"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ascii="Times New Roman" w:hAnsi="Times New Roman" w:eastAsia="仿宋_GB2312" w:cs="Times New Roman"/>
                <w:color w:val="000000"/>
                <w:kern w:val="0"/>
                <w:szCs w:val="21"/>
              </w:rPr>
              <w:t>新田县云梯学校</w:t>
            </w: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gridAfter w:val="1"/>
          <w:wAfter w:w="108" w:type="dxa"/>
          <w:trHeight w:val="450" w:hRule="atLeast"/>
        </w:trPr>
        <w:tc>
          <w:tcPr>
            <w:tcW w:w="2710" w:type="dxa"/>
            <w:gridSpan w:val="4"/>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46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gridAfter w:val="1"/>
          <w:wAfter w:w="108" w:type="dxa"/>
          <w:trHeight w:val="450" w:hRule="atLeast"/>
        </w:trPr>
        <w:tc>
          <w:tcPr>
            <w:tcW w:w="765"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945" w:type="dxa"/>
            <w:gridSpan w:val="2"/>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4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After w:val="1"/>
          <w:wAfter w:w="108" w:type="dxa"/>
          <w:trHeight w:val="450" w:hRule="atLeast"/>
        </w:trPr>
        <w:tc>
          <w:tcPr>
            <w:tcW w:w="76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45"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4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After w:val="1"/>
          <w:wAfter w:w="108" w:type="dxa"/>
          <w:trHeight w:val="450" w:hRule="atLeast"/>
        </w:trPr>
        <w:tc>
          <w:tcPr>
            <w:tcW w:w="271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46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gridAfter w:val="1"/>
          <w:wAfter w:w="108" w:type="dxa"/>
          <w:trHeight w:val="450" w:hRule="atLeast"/>
        </w:trPr>
        <w:tc>
          <w:tcPr>
            <w:tcW w:w="2710"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1302.91</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1302.91</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kern w:val="2"/>
                <w:sz w:val="24"/>
                <w:szCs w:val="24"/>
                <w:lang w:val="en-US" w:eastAsia="zh-CN" w:bidi="ar-SA"/>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r>
      <w:tr>
        <w:tblPrEx>
          <w:tblCellMar>
            <w:top w:w="0" w:type="dxa"/>
            <w:left w:w="0" w:type="dxa"/>
            <w:bottom w:w="0" w:type="dxa"/>
            <w:right w:w="0" w:type="dxa"/>
          </w:tblCellMar>
        </w:tblPrEx>
        <w:trPr>
          <w:gridAfter w:val="1"/>
          <w:wAfter w:w="108" w:type="dxa"/>
          <w:trHeight w:val="450" w:hRule="atLeast"/>
        </w:trPr>
        <w:tc>
          <w:tcPr>
            <w:tcW w:w="76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205</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教育支出</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1302.91</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Times New Roman" w:hAnsi="Times New Roman" w:eastAsia="仿宋_GB2312" w:cs="Times New Roman"/>
                <w:kern w:val="0"/>
                <w:szCs w:val="21"/>
              </w:rPr>
              <w:t>1302.91</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kern w:val="2"/>
                <w:sz w:val="24"/>
                <w:szCs w:val="24"/>
                <w:lang w:val="en-US" w:eastAsia="zh-CN" w:bidi="ar-SA"/>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r>
      <w:tr>
        <w:tblPrEx>
          <w:tblCellMar>
            <w:top w:w="0" w:type="dxa"/>
            <w:left w:w="0" w:type="dxa"/>
            <w:bottom w:w="0" w:type="dxa"/>
            <w:right w:w="0" w:type="dxa"/>
          </w:tblCellMar>
        </w:tblPrEx>
        <w:trPr>
          <w:gridAfter w:val="1"/>
          <w:wAfter w:w="108" w:type="dxa"/>
          <w:trHeight w:val="450" w:hRule="atLeast"/>
        </w:trPr>
        <w:tc>
          <w:tcPr>
            <w:tcW w:w="76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20502</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普通教育</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1302.91</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Times New Roman" w:hAnsi="Times New Roman" w:eastAsia="仿宋_GB2312" w:cs="Times New Roman"/>
                <w:kern w:val="0"/>
                <w:szCs w:val="21"/>
              </w:rPr>
              <w:t>1302.91</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kern w:val="2"/>
                <w:sz w:val="24"/>
                <w:szCs w:val="24"/>
                <w:lang w:val="en-US" w:eastAsia="zh-CN" w:bidi="ar-SA"/>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r>
      <w:tr>
        <w:tblPrEx>
          <w:tblCellMar>
            <w:top w:w="0" w:type="dxa"/>
            <w:left w:w="0" w:type="dxa"/>
            <w:bottom w:w="0" w:type="dxa"/>
            <w:right w:w="0" w:type="dxa"/>
          </w:tblCellMar>
        </w:tblPrEx>
        <w:trPr>
          <w:gridAfter w:val="1"/>
          <w:wAfter w:w="108" w:type="dxa"/>
          <w:trHeight w:val="450" w:hRule="atLeast"/>
        </w:trPr>
        <w:tc>
          <w:tcPr>
            <w:tcW w:w="76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2050203</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初中教育</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1302.91</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Times New Roman" w:hAnsi="Times New Roman" w:eastAsia="仿宋_GB2312" w:cs="Times New Roman"/>
                <w:kern w:val="0"/>
                <w:szCs w:val="21"/>
              </w:rPr>
              <w:t>1302.91</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kern w:val="2"/>
                <w:sz w:val="24"/>
                <w:szCs w:val="24"/>
                <w:lang w:val="en-US" w:eastAsia="zh-CN" w:bidi="ar-SA"/>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r>
      <w:tr>
        <w:tblPrEx>
          <w:tblCellMar>
            <w:top w:w="0" w:type="dxa"/>
            <w:left w:w="0" w:type="dxa"/>
            <w:bottom w:w="0" w:type="dxa"/>
            <w:right w:w="0" w:type="dxa"/>
          </w:tblCellMar>
        </w:tblPrEx>
        <w:trPr>
          <w:gridAfter w:val="1"/>
          <w:wAfter w:w="108" w:type="dxa"/>
          <w:trHeight w:val="450" w:hRule="atLeast"/>
        </w:trPr>
        <w:tc>
          <w:tcPr>
            <w:tcW w:w="76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gridAfter w:val="1"/>
          <w:wAfter w:w="108" w:type="dxa"/>
          <w:trHeight w:val="450" w:hRule="atLeast"/>
        </w:trPr>
        <w:tc>
          <w:tcPr>
            <w:tcW w:w="76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gridAfter w:val="1"/>
          <w:wAfter w:w="108" w:type="dxa"/>
          <w:trHeight w:val="450" w:hRule="atLeast"/>
        </w:trPr>
        <w:tc>
          <w:tcPr>
            <w:tcW w:w="765"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gridAfter w:val="1"/>
          <w:wAfter w:w="108" w:type="dxa"/>
          <w:trHeight w:val="615" w:hRule="atLeast"/>
        </w:trPr>
        <w:tc>
          <w:tcPr>
            <w:tcW w:w="15594" w:type="dxa"/>
            <w:gridSpan w:val="18"/>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5640" w:type="dxa"/>
        <w:tblInd w:w="93" w:type="dxa"/>
        <w:tblLayout w:type="fixed"/>
        <w:tblCellMar>
          <w:top w:w="0" w:type="dxa"/>
          <w:left w:w="108" w:type="dxa"/>
          <w:bottom w:w="0" w:type="dxa"/>
          <w:right w:w="108" w:type="dxa"/>
        </w:tblCellMar>
      </w:tblPr>
      <w:tblGrid>
        <w:gridCol w:w="1259"/>
        <w:gridCol w:w="240"/>
        <w:gridCol w:w="1481"/>
        <w:gridCol w:w="1952"/>
        <w:gridCol w:w="1991"/>
        <w:gridCol w:w="1991"/>
        <w:gridCol w:w="1991"/>
        <w:gridCol w:w="1991"/>
        <w:gridCol w:w="2744"/>
      </w:tblGrid>
      <w:tr>
        <w:tblPrEx>
          <w:tblCellMar>
            <w:top w:w="0" w:type="dxa"/>
            <w:left w:w="108" w:type="dxa"/>
            <w:bottom w:w="0" w:type="dxa"/>
            <w:right w:w="108" w:type="dxa"/>
          </w:tblCellMar>
        </w:tblPrEx>
        <w:trPr>
          <w:trHeight w:val="807" w:hRule="atLeast"/>
        </w:trPr>
        <w:tc>
          <w:tcPr>
            <w:tcW w:w="156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403" w:hRule="atLeast"/>
        </w:trPr>
        <w:tc>
          <w:tcPr>
            <w:tcW w:w="125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403" w:hRule="atLeast"/>
        </w:trPr>
        <w:tc>
          <w:tcPr>
            <w:tcW w:w="2980" w:type="dxa"/>
            <w:gridSpan w:val="3"/>
            <w:tcBorders>
              <w:top w:val="nil"/>
              <w:left w:val="nil"/>
              <w:bottom w:val="nil"/>
              <w:right w:val="nil"/>
            </w:tcBorders>
            <w:shd w:val="clear" w:color="000000" w:fill="FFFFFF"/>
            <w:noWrap/>
            <w:vAlign w:val="center"/>
          </w:tcPr>
          <w:p>
            <w:pPr>
              <w:rPr>
                <w:color w:val="000000"/>
                <w:sz w:val="20"/>
                <w:szCs w:val="20"/>
              </w:rPr>
            </w:pPr>
            <w:r>
              <w:rPr>
                <w:rFonts w:hint="eastAsia"/>
                <w:color w:val="000000"/>
                <w:sz w:val="20"/>
                <w:szCs w:val="20"/>
              </w:rPr>
              <w:t>　</w:t>
            </w:r>
          </w:p>
          <w:p>
            <w:pPr>
              <w:rPr>
                <w:color w:val="000000"/>
                <w:sz w:val="20"/>
                <w:szCs w:val="20"/>
              </w:rPr>
            </w:pPr>
            <w:r>
              <w:rPr>
                <w:rFonts w:hint="eastAsia"/>
                <w:color w:val="000000"/>
                <w:sz w:val="20"/>
                <w:szCs w:val="20"/>
              </w:rPr>
              <w:t>部门：新田县云梯学校</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95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7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8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95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9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Times New Roman" w:hAnsi="Times New Roman" w:eastAsia="仿宋_GB2312" w:cs="Times New Roman"/>
                <w:kern w:val="0"/>
                <w:szCs w:val="21"/>
              </w:rPr>
              <w:t>1302.91</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1146.13</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156.78</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27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205</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教育支出</w:t>
            </w:r>
          </w:p>
        </w:tc>
        <w:tc>
          <w:tcPr>
            <w:tcW w:w="19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1302.91</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1146.13</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156.78</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2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20502</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普通教育</w:t>
            </w:r>
          </w:p>
        </w:tc>
        <w:tc>
          <w:tcPr>
            <w:tcW w:w="19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1302.91</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1146.13</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156.78</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2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2050203</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初中教育</w:t>
            </w:r>
          </w:p>
        </w:tc>
        <w:tc>
          <w:tcPr>
            <w:tcW w:w="19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1302.91</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1146.13</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156.78</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27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828" w:hRule="atLeast"/>
        </w:trPr>
        <w:tc>
          <w:tcPr>
            <w:tcW w:w="15640"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ind w:right="100"/>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rPr>
              <w:t>新田县云梯学校</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1302.91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1302.91</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1302.91</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1302.91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1302.91</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1302.91</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1302.91</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1302.91</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1302.91</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新田县云梯学校</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1302.91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1146.13</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156.78</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205</w:t>
            </w:r>
          </w:p>
        </w:tc>
        <w:tc>
          <w:tcPr>
            <w:tcW w:w="3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教育支出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1302.91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1146.13</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156.78</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20502</w:t>
            </w:r>
          </w:p>
        </w:tc>
        <w:tc>
          <w:tcPr>
            <w:tcW w:w="3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普通教育</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1302.91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1146.13</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156.78</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2050203</w:t>
            </w:r>
          </w:p>
        </w:tc>
        <w:tc>
          <w:tcPr>
            <w:tcW w:w="3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初中教育</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865"/>
        <w:gridCol w:w="236"/>
        <w:gridCol w:w="216"/>
        <w:gridCol w:w="1017"/>
        <w:gridCol w:w="1739"/>
        <w:gridCol w:w="352"/>
        <w:gridCol w:w="1158"/>
        <w:gridCol w:w="1620"/>
        <w:gridCol w:w="294"/>
        <w:gridCol w:w="1695"/>
        <w:gridCol w:w="296"/>
        <w:gridCol w:w="541"/>
        <w:gridCol w:w="1048"/>
        <w:gridCol w:w="336"/>
        <w:gridCol w:w="1789"/>
        <w:gridCol w:w="1462"/>
        <w:gridCol w:w="597"/>
        <w:gridCol w:w="353"/>
      </w:tblGrid>
      <w:tr>
        <w:tblPrEx>
          <w:tblCellMar>
            <w:top w:w="0" w:type="dxa"/>
            <w:left w:w="108" w:type="dxa"/>
            <w:bottom w:w="0" w:type="dxa"/>
            <w:right w:w="108" w:type="dxa"/>
          </w:tblCellMar>
        </w:tblPrEx>
        <w:trPr>
          <w:trHeight w:val="113" w:hRule="atLeast"/>
        </w:trPr>
        <w:tc>
          <w:tcPr>
            <w:tcW w:w="15614"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hint="eastAsia"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公开06表     </w:t>
            </w:r>
          </w:p>
          <w:p>
            <w:pPr>
              <w:widowControl/>
              <w:ind w:right="420"/>
              <w:jc w:val="center"/>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部门：新田县云梯学校                                                                                                                 单位：万元</w:t>
            </w:r>
          </w:p>
        </w:tc>
      </w:tr>
      <w:tr>
        <w:tblPrEx>
          <w:tblCellMar>
            <w:top w:w="0" w:type="dxa"/>
            <w:left w:w="108" w:type="dxa"/>
            <w:bottom w:w="0" w:type="dxa"/>
            <w:right w:w="108" w:type="dxa"/>
          </w:tblCellMar>
        </w:tblPrEx>
        <w:trPr>
          <w:trHeight w:val="113" w:hRule="atLeast"/>
        </w:trPr>
        <w:tc>
          <w:tcPr>
            <w:tcW w:w="13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27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51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19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58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1035.85</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88.92</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360.46</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13.14</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27.33</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10.33</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110.10</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19.46</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202.90</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66.67</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19.20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32.24</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0.24</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35.60</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3.39</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43.37</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8.07</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153.79</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0.48</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1.90</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8.60</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1.00</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0.26</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0.12</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1.38</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34.11</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0.40</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5.88</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510" w:type="dxa"/>
            <w:gridSpan w:val="2"/>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0.62</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51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Times New Roman" w:hAnsi="Times New Roman" w:eastAsia="宋体" w:cs="Times New Roman"/>
                <w:color w:val="000000"/>
                <w:kern w:val="0"/>
                <w:sz w:val="18"/>
                <w:szCs w:val="18"/>
              </w:rPr>
              <w:t>0.12</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275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51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19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837" w:type="dxa"/>
            <w:gridSpan w:val="2"/>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6.33</w:t>
            </w:r>
          </w:p>
        </w:tc>
        <w:tc>
          <w:tcPr>
            <w:tcW w:w="10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587"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073"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51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1037.75</w:t>
            </w:r>
          </w:p>
        </w:tc>
        <w:tc>
          <w:tcPr>
            <w:tcW w:w="9081"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108.38　</w:t>
            </w:r>
          </w:p>
        </w:tc>
      </w:tr>
      <w:tr>
        <w:tblPrEx>
          <w:tblCellMar>
            <w:top w:w="0" w:type="dxa"/>
            <w:left w:w="108" w:type="dxa"/>
            <w:bottom w:w="0" w:type="dxa"/>
            <w:right w:w="108" w:type="dxa"/>
          </w:tblCellMar>
        </w:tblPrEx>
        <w:trPr>
          <w:trHeight w:val="284" w:hRule="exact"/>
        </w:trPr>
        <w:tc>
          <w:tcPr>
            <w:tcW w:w="15614"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CellMar>
            <w:top w:w="0" w:type="dxa"/>
            <w:left w:w="108" w:type="dxa"/>
            <w:bottom w:w="0" w:type="dxa"/>
            <w:right w:w="108" w:type="dxa"/>
          </w:tblCellMar>
        </w:tblPrEx>
        <w:trPr>
          <w:gridAfter w:val="1"/>
          <w:wAfter w:w="353" w:type="dxa"/>
          <w:trHeight w:val="690" w:hRule="atLeast"/>
        </w:trPr>
        <w:tc>
          <w:tcPr>
            <w:tcW w:w="15261" w:type="dxa"/>
            <w:gridSpan w:val="17"/>
            <w:tcBorders>
              <w:top w:val="nil"/>
              <w:left w:val="nil"/>
              <w:bottom w:val="nil"/>
              <w:right w:val="nil"/>
            </w:tcBorders>
            <w:shd w:val="clear" w:color="auto" w:fill="FFFFFF"/>
            <w:vAlign w:val="center"/>
          </w:tcPr>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0" w:type="dxa"/>
            <w:left w:w="108" w:type="dxa"/>
            <w:bottom w:w="0" w:type="dxa"/>
            <w:right w:w="108" w:type="dxa"/>
          </w:tblCellMar>
        </w:tblPrEx>
        <w:trPr>
          <w:gridAfter w:val="1"/>
          <w:wAfter w:w="353" w:type="dxa"/>
          <w:trHeight w:val="345" w:hRule="atLeast"/>
        </w:trPr>
        <w:tc>
          <w:tcPr>
            <w:tcW w:w="865"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236"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1233" w:type="dxa"/>
            <w:gridSpan w:val="2"/>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2091" w:type="dxa"/>
            <w:gridSpan w:val="2"/>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3072" w:type="dxa"/>
            <w:gridSpan w:val="3"/>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991" w:type="dxa"/>
            <w:gridSpan w:val="2"/>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925" w:type="dxa"/>
            <w:gridSpan w:val="3"/>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789"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059" w:type="dxa"/>
            <w:gridSpan w:val="2"/>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0" w:type="dxa"/>
            <w:left w:w="108" w:type="dxa"/>
            <w:bottom w:w="0" w:type="dxa"/>
            <w:right w:w="108" w:type="dxa"/>
          </w:tblCellMar>
        </w:tblPrEx>
        <w:trPr>
          <w:gridAfter w:val="1"/>
          <w:wAfter w:w="353" w:type="dxa"/>
          <w:trHeight w:val="690" w:hRule="atLeast"/>
        </w:trPr>
        <w:tc>
          <w:tcPr>
            <w:tcW w:w="2334" w:type="dxa"/>
            <w:gridSpan w:val="4"/>
            <w:tcBorders>
              <w:top w:val="nil"/>
              <w:left w:val="nil"/>
              <w:bottom w:val="nil"/>
              <w:right w:val="nil"/>
            </w:tcBorders>
            <w:shd w:val="clear" w:color="auto" w:fill="FFFFFF"/>
            <w:noWrap/>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rPr>
              <w:t>新田县云梯学校</w:t>
            </w:r>
            <w:r>
              <w:rPr>
                <w:rFonts w:ascii="Times New Roman" w:hAnsi="Times New Roman" w:eastAsia="仿宋_GB2312" w:cs="Times New Roman"/>
                <w:color w:val="000000"/>
                <w:kern w:val="0"/>
                <w:szCs w:val="21"/>
              </w:rPr>
              <w:t xml:space="preserve"> </w:t>
            </w:r>
          </w:p>
        </w:tc>
        <w:tc>
          <w:tcPr>
            <w:tcW w:w="2091" w:type="dxa"/>
            <w:gridSpan w:val="2"/>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3072" w:type="dxa"/>
            <w:gridSpan w:val="3"/>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991" w:type="dxa"/>
            <w:gridSpan w:val="2"/>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925" w:type="dxa"/>
            <w:gridSpan w:val="3"/>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789"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059" w:type="dxa"/>
            <w:gridSpan w:val="2"/>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353" w:type="dxa"/>
          <w:trHeight w:val="459" w:hRule="atLeast"/>
        </w:trPr>
        <w:tc>
          <w:tcPr>
            <w:tcW w:w="23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项 </w:t>
            </w:r>
            <w:r>
              <w:rPr>
                <w:rStyle w:val="13"/>
                <w:rFonts w:hint="default"/>
              </w:rPr>
              <w:t xml:space="preserve">   </w:t>
            </w:r>
            <w:r>
              <w:rPr>
                <w:rStyle w:val="14"/>
                <w:rFonts w:hint="default"/>
              </w:rPr>
              <w:t>目</w:t>
            </w:r>
          </w:p>
        </w:tc>
        <w:tc>
          <w:tcPr>
            <w:tcW w:w="20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年初结转和结余</w:t>
            </w:r>
          </w:p>
        </w:tc>
        <w:tc>
          <w:tcPr>
            <w:tcW w:w="30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本年收入</w:t>
            </w:r>
          </w:p>
        </w:tc>
        <w:tc>
          <w:tcPr>
            <w:tcW w:w="57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本年支出</w:t>
            </w:r>
          </w:p>
        </w:tc>
        <w:tc>
          <w:tcPr>
            <w:tcW w:w="20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年末结转和结余</w:t>
            </w:r>
          </w:p>
        </w:tc>
      </w:tr>
      <w:tr>
        <w:tblPrEx>
          <w:tblCellMar>
            <w:top w:w="0" w:type="dxa"/>
            <w:left w:w="108" w:type="dxa"/>
            <w:bottom w:w="0" w:type="dxa"/>
            <w:right w:w="108" w:type="dxa"/>
          </w:tblCellMar>
        </w:tblPrEx>
        <w:trPr>
          <w:gridAfter w:val="1"/>
          <w:wAfter w:w="353" w:type="dxa"/>
          <w:trHeight w:val="609" w:hRule="atLeast"/>
        </w:trPr>
        <w:tc>
          <w:tcPr>
            <w:tcW w:w="110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科目代码</w:t>
            </w:r>
          </w:p>
        </w:tc>
        <w:tc>
          <w:tcPr>
            <w:tcW w:w="12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科目名称</w:t>
            </w:r>
          </w:p>
        </w:tc>
        <w:tc>
          <w:tcPr>
            <w:tcW w:w="20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30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9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小计</w:t>
            </w:r>
          </w:p>
        </w:tc>
        <w:tc>
          <w:tcPr>
            <w:tcW w:w="192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基本支出  </w:t>
            </w:r>
          </w:p>
        </w:tc>
        <w:tc>
          <w:tcPr>
            <w:tcW w:w="1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项目支出</w:t>
            </w:r>
          </w:p>
        </w:tc>
        <w:tc>
          <w:tcPr>
            <w:tcW w:w="20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353" w:type="dxa"/>
          <w:trHeight w:val="409" w:hRule="atLeast"/>
        </w:trPr>
        <w:tc>
          <w:tcPr>
            <w:tcW w:w="11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2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30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9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9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353" w:type="dxa"/>
          <w:trHeight w:val="509" w:hRule="atLeast"/>
        </w:trPr>
        <w:tc>
          <w:tcPr>
            <w:tcW w:w="11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2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30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9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9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353" w:type="dxa"/>
          <w:trHeight w:val="509" w:hRule="atLeast"/>
        </w:trPr>
        <w:tc>
          <w:tcPr>
            <w:tcW w:w="23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栏次</w:t>
            </w: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1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2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w:t>
            </w:r>
          </w:p>
        </w:tc>
      </w:tr>
      <w:tr>
        <w:tblPrEx>
          <w:tblCellMar>
            <w:top w:w="0" w:type="dxa"/>
            <w:left w:w="108" w:type="dxa"/>
            <w:bottom w:w="0" w:type="dxa"/>
            <w:right w:w="108" w:type="dxa"/>
          </w:tblCellMar>
        </w:tblPrEx>
        <w:trPr>
          <w:gridAfter w:val="1"/>
          <w:wAfter w:w="353" w:type="dxa"/>
          <w:trHeight w:val="509" w:hRule="atLeast"/>
        </w:trPr>
        <w:tc>
          <w:tcPr>
            <w:tcW w:w="23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合计</w:t>
            </w: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c>
          <w:tcPr>
            <w:tcW w:w="1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c>
          <w:tcPr>
            <w:tcW w:w="2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r>
      <w:tr>
        <w:tblPrEx>
          <w:tblCellMar>
            <w:top w:w="0" w:type="dxa"/>
            <w:left w:w="108" w:type="dxa"/>
            <w:bottom w:w="0" w:type="dxa"/>
            <w:right w:w="108" w:type="dxa"/>
          </w:tblCellMar>
        </w:tblPrEx>
        <w:trPr>
          <w:gridAfter w:val="1"/>
          <w:wAfter w:w="353" w:type="dxa"/>
          <w:trHeight w:val="509" w:hRule="atLeast"/>
        </w:trPr>
        <w:tc>
          <w:tcPr>
            <w:tcW w:w="1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353" w:type="dxa"/>
          <w:trHeight w:val="509" w:hRule="atLeast"/>
        </w:trPr>
        <w:tc>
          <w:tcPr>
            <w:tcW w:w="1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353" w:type="dxa"/>
          <w:trHeight w:val="509" w:hRule="atLeast"/>
        </w:trPr>
        <w:tc>
          <w:tcPr>
            <w:tcW w:w="1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353" w:type="dxa"/>
          <w:trHeight w:val="509" w:hRule="atLeast"/>
        </w:trPr>
        <w:tc>
          <w:tcPr>
            <w:tcW w:w="1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353" w:type="dxa"/>
          <w:trHeight w:val="509" w:hRule="atLeast"/>
        </w:trPr>
        <w:tc>
          <w:tcPr>
            <w:tcW w:w="1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353" w:type="dxa"/>
          <w:trHeight w:val="509" w:hRule="atLeast"/>
        </w:trPr>
        <w:tc>
          <w:tcPr>
            <w:tcW w:w="1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353" w:type="dxa"/>
          <w:trHeight w:val="725" w:hRule="atLeast"/>
        </w:trPr>
        <w:tc>
          <w:tcPr>
            <w:tcW w:w="15261" w:type="dxa"/>
            <w:gridSpan w:val="17"/>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注：本表反映部门本年度政府性基金预算财政拨款收入、支出及结转和结余情况。</w:t>
            </w:r>
          </w:p>
          <w:p>
            <w:pPr>
              <w:widowControl/>
              <w:jc w:val="left"/>
              <w:textAlignment w:val="center"/>
              <w:rPr>
                <w:rFonts w:ascii="宋体" w:hAnsi="宋体" w:eastAsia="宋体" w:cs="宋体"/>
                <w:color w:val="000000"/>
                <w:kern w:val="0"/>
                <w:sz w:val="24"/>
                <w:szCs w:val="24"/>
              </w:rPr>
            </w:pPr>
          </w:p>
          <w:p>
            <w:pPr>
              <w:widowControl/>
              <w:jc w:val="left"/>
              <w:textAlignment w:val="center"/>
              <w:rPr>
                <w:rFonts w:ascii="宋体" w:hAnsi="宋体" w:eastAsia="宋体" w:cs="宋体"/>
                <w:color w:val="000000"/>
                <w:kern w:val="0"/>
                <w:sz w:val="24"/>
                <w:szCs w:val="24"/>
              </w:rPr>
            </w:pPr>
            <w:r>
              <w:rPr>
                <w:rFonts w:hint="eastAsia" w:ascii="楷体" w:hAnsi="楷体" w:eastAsia="楷体" w:cs="楷体"/>
                <w:b/>
                <w:bCs/>
                <w:kern w:val="0"/>
                <w:sz w:val="24"/>
                <w:szCs w:val="24"/>
              </w:rPr>
              <w:t>说明：我单位没有政府性基金收入，也没有使用政府性基金安排的支出，故本表无数据。（当表格数据为空时，应有此说明）</w:t>
            </w:r>
          </w:p>
        </w:tc>
      </w:tr>
    </w:tbl>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tbl>
      <w:tblPr>
        <w:tblStyle w:val="6"/>
        <w:tblW w:w="15120" w:type="dxa"/>
        <w:tblInd w:w="93" w:type="dxa"/>
        <w:tblLayout w:type="autofit"/>
        <w:tblCellMar>
          <w:top w:w="0" w:type="dxa"/>
          <w:left w:w="108" w:type="dxa"/>
          <w:bottom w:w="0" w:type="dxa"/>
          <w:right w:w="108" w:type="dxa"/>
        </w:tblCellMar>
      </w:tblPr>
      <w:tblGrid>
        <w:gridCol w:w="2286"/>
        <w:gridCol w:w="659"/>
        <w:gridCol w:w="2132"/>
        <w:gridCol w:w="3065"/>
        <w:gridCol w:w="3065"/>
        <w:gridCol w:w="3913"/>
      </w:tblGrid>
      <w:tr>
        <w:tblPrEx>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国有资本经营预算财政拨款支出决算表</w:t>
            </w:r>
          </w:p>
        </w:tc>
      </w:tr>
      <w:tr>
        <w:tblPrEx>
          <w:tblCellMar>
            <w:top w:w="0" w:type="dxa"/>
            <w:left w:w="108" w:type="dxa"/>
            <w:bottom w:w="0" w:type="dxa"/>
            <w:right w:w="108" w:type="dxa"/>
          </w:tblCellMar>
        </w:tblPrEx>
        <w:trPr>
          <w:trHeight w:val="417" w:hRule="atLeast"/>
        </w:trPr>
        <w:tc>
          <w:tcPr>
            <w:tcW w:w="1326"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701"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2292"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3315"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3315"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0" w:type="dxa"/>
            <w:left w:w="108" w:type="dxa"/>
            <w:bottom w:w="0" w:type="dxa"/>
            <w:right w:w="108" w:type="dxa"/>
          </w:tblCellMar>
        </w:tblPrEx>
        <w:trPr>
          <w:trHeight w:val="417" w:hRule="atLeast"/>
        </w:trPr>
        <w:tc>
          <w:tcPr>
            <w:tcW w:w="0" w:type="auto"/>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rPr>
              <w:t>新田县云梯学校</w:t>
            </w:r>
          </w:p>
        </w:tc>
        <w:tc>
          <w:tcPr>
            <w:tcW w:w="701"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2292"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3315"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3315"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Style w:val="15"/>
                <w:rFonts w:hint="default"/>
              </w:rPr>
              <w:t>目</w:t>
            </w:r>
          </w:p>
        </w:tc>
        <w:tc>
          <w:tcPr>
            <w:tcW w:w="10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本年支出</w:t>
            </w:r>
          </w:p>
        </w:tc>
      </w:tr>
      <w:tr>
        <w:tblPrEx>
          <w:tblCellMar>
            <w:top w:w="0" w:type="dxa"/>
            <w:left w:w="108" w:type="dxa"/>
            <w:bottom w:w="0" w:type="dxa"/>
            <w:right w:w="108" w:type="dxa"/>
          </w:tblCellMar>
        </w:tblPrEx>
        <w:trPr>
          <w:trHeight w:val="548" w:hRule="atLeast"/>
        </w:trPr>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科目代码</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科目名称</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合计</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基本支出  </w:t>
            </w:r>
          </w:p>
        </w:tc>
        <w:tc>
          <w:tcPr>
            <w:tcW w:w="4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项目支出</w:t>
            </w:r>
          </w:p>
        </w:tc>
      </w:tr>
      <w:tr>
        <w:tblPrEx>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r>
      <w:tr>
        <w:tblPrEx>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r>
      <w:tr>
        <w:tblPrEx>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注：本表反映部门本年度国有资本经营预算财政拨款支出情况。</w:t>
            </w:r>
          </w:p>
          <w:p>
            <w:pPr>
              <w:widowControl/>
              <w:jc w:val="left"/>
              <w:textAlignment w:val="center"/>
              <w:rPr>
                <w:rFonts w:ascii="宋体" w:hAnsi="宋体" w:eastAsia="宋体" w:cs="宋体"/>
                <w:color w:val="000000"/>
                <w:kern w:val="0"/>
                <w:sz w:val="24"/>
                <w:szCs w:val="24"/>
              </w:rPr>
            </w:pPr>
          </w:p>
          <w:p>
            <w:pPr>
              <w:widowControl/>
              <w:jc w:val="left"/>
              <w:textAlignment w:val="center"/>
              <w:rPr>
                <w:rFonts w:ascii="宋体" w:hAnsi="宋体" w:eastAsia="宋体" w:cs="宋体"/>
                <w:color w:val="000000"/>
                <w:kern w:val="0"/>
                <w:sz w:val="24"/>
                <w:szCs w:val="24"/>
              </w:rPr>
            </w:pPr>
            <w:r>
              <w:rPr>
                <w:rFonts w:hint="eastAsia" w:ascii="楷体" w:hAnsi="楷体" w:eastAsia="楷体" w:cs="楷体"/>
                <w:b/>
                <w:bCs/>
                <w:kern w:val="0"/>
                <w:sz w:val="24"/>
                <w:szCs w:val="24"/>
              </w:rPr>
              <w:t>说明：我单位没有使用国有资本经营预算安排的支出，故本表无数据。（当表格数据为空时，应有此说明）</w:t>
            </w:r>
          </w:p>
        </w:tc>
      </w:tr>
    </w:tbl>
    <w:p>
      <w:pPr>
        <w:widowControl/>
        <w:jc w:val="center"/>
        <w:rPr>
          <w:rFonts w:ascii="Times New Roman" w:hAnsi="Times New Roman" w:eastAsia="方正小标宋_GBK" w:cs="Times New Roman"/>
          <w:color w:val="000000"/>
          <w:kern w:val="0"/>
          <w:sz w:val="36"/>
          <w:szCs w:val="36"/>
        </w:rPr>
      </w:pPr>
    </w:p>
    <w:tbl>
      <w:tblPr>
        <w:tblStyle w:val="6"/>
        <w:tblW w:w="15140" w:type="dxa"/>
        <w:tblInd w:w="93" w:type="dxa"/>
        <w:tblLayout w:type="autofit"/>
        <w:tblCellMar>
          <w:top w:w="0" w:type="dxa"/>
          <w:left w:w="108" w:type="dxa"/>
          <w:bottom w:w="0" w:type="dxa"/>
          <w:right w:w="108" w:type="dxa"/>
        </w:tblCellMar>
      </w:tblPr>
      <w:tblGrid>
        <w:gridCol w:w="2286"/>
        <w:gridCol w:w="1205"/>
        <w:gridCol w:w="1143"/>
        <w:gridCol w:w="1143"/>
        <w:gridCol w:w="1144"/>
        <w:gridCol w:w="1159"/>
        <w:gridCol w:w="1159"/>
        <w:gridCol w:w="1206"/>
        <w:gridCol w:w="1144"/>
        <w:gridCol w:w="1144"/>
        <w:gridCol w:w="1144"/>
        <w:gridCol w:w="1263"/>
      </w:tblGrid>
      <w:tr>
        <w:tblPrEx>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财政拨款“三公”经费支出决算表</w:t>
            </w:r>
          </w:p>
        </w:tc>
      </w:tr>
      <w:tr>
        <w:tblPrEx>
          <w:tblCellMar>
            <w:top w:w="0" w:type="dxa"/>
            <w:left w:w="108" w:type="dxa"/>
            <w:bottom w:w="0" w:type="dxa"/>
            <w:right w:w="108" w:type="dxa"/>
          </w:tblCellMar>
        </w:tblPrEx>
        <w:trPr>
          <w:trHeight w:val="420" w:hRule="atLeast"/>
        </w:trPr>
        <w:tc>
          <w:tcPr>
            <w:tcW w:w="1592"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44"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24"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24"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24"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24"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24"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44"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24"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24"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24"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rPr>
              <w:t>新田县云梯学校</w:t>
            </w:r>
            <w:r>
              <w:rPr>
                <w:rFonts w:ascii="Times New Roman" w:hAnsi="Times New Roman" w:eastAsia="仿宋_GB2312" w:cs="Times New Roman"/>
                <w:color w:val="000000"/>
                <w:kern w:val="0"/>
                <w:szCs w:val="21"/>
              </w:rPr>
              <w:t xml:space="preserve"> </w:t>
            </w:r>
          </w:p>
        </w:tc>
        <w:tc>
          <w:tcPr>
            <w:tcW w:w="1244"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24"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24"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24"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24"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24"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44"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24"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24"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24"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766" w:hRule="atLeast"/>
        </w:trPr>
        <w:tc>
          <w:tcPr>
            <w:tcW w:w="77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c>
          <w:tcPr>
            <w:tcW w:w="740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108" w:type="dxa"/>
            <w:bottom w:w="0" w:type="dxa"/>
            <w:right w:w="108" w:type="dxa"/>
          </w:tblCellMar>
        </w:tblPrEx>
        <w:trPr>
          <w:trHeight w:val="822" w:hRule="atLeast"/>
        </w:trPr>
        <w:tc>
          <w:tcPr>
            <w:tcW w:w="15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108" w:type="dxa"/>
            <w:bottom w:w="0" w:type="dxa"/>
            <w:right w:w="108" w:type="dxa"/>
          </w:tblCellMar>
        </w:tblPrEx>
        <w:trPr>
          <w:trHeight w:val="1274" w:hRule="atLeast"/>
        </w:trPr>
        <w:tc>
          <w:tcPr>
            <w:tcW w:w="15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购置费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运行维护费</w:t>
            </w: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购置费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运行维护费</w:t>
            </w: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766"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0" w:type="dxa"/>
            <w:left w:w="108" w:type="dxa"/>
            <w:bottom w:w="0" w:type="dxa"/>
            <w:right w:w="108" w:type="dxa"/>
          </w:tblCellMar>
        </w:tblPrEx>
        <w:trPr>
          <w:trHeight w:val="1165" w:hRule="atLeast"/>
        </w:trPr>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1.00</w:t>
            </w:r>
          </w:p>
        </w:tc>
      </w:tr>
      <w:tr>
        <w:tblPrEx>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rPr>
          <w:sz w:val="72"/>
          <w:szCs w:val="72"/>
        </w:rPr>
        <w:sectPr>
          <w:pgSz w:w="16838" w:h="11906" w:orient="landscape"/>
          <w:pgMar w:top="720" w:right="720" w:bottom="720" w:left="720" w:header="851" w:footer="992" w:gutter="0"/>
          <w:cols w:space="425" w:num="1"/>
          <w:docGrid w:type="lines" w:linePitch="312" w:charSpace="0"/>
        </w:sectPr>
      </w:pPr>
    </w:p>
    <w:p>
      <w:pPr>
        <w:pStyle w:val="10"/>
        <w:rPr>
          <w:b/>
          <w:bCs/>
          <w:sz w:val="32"/>
          <w:szCs w:val="32"/>
        </w:rPr>
      </w:pPr>
      <w:r>
        <w:rPr>
          <w:rFonts w:hint="eastAsia"/>
          <w:b/>
          <w:bCs/>
          <w:sz w:val="32"/>
          <w:szCs w:val="32"/>
        </w:rPr>
        <w:t>第三部分 2022年度部门决算情况说明</w:t>
      </w:r>
    </w:p>
    <w:p>
      <w:pPr>
        <w:pStyle w:val="10"/>
        <w:spacing w:line="600" w:lineRule="exact"/>
        <w:rPr>
          <w:rFonts w:hAnsi="黑体"/>
          <w:bCs/>
          <w:sz w:val="32"/>
          <w:szCs w:val="32"/>
        </w:rPr>
      </w:pPr>
      <w:r>
        <w:rPr>
          <w:rFonts w:hint="eastAsia" w:hAnsi="黑体"/>
          <w:bCs/>
          <w:sz w:val="32"/>
          <w:szCs w:val="32"/>
        </w:rPr>
        <w:t>一、收入支出决算总体情况说明</w:t>
      </w:r>
    </w:p>
    <w:p>
      <w:pPr>
        <w:pStyle w:val="10"/>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2022年度收入总计1302.91万元，支出总计1302.91万元。与2021年相比，收入增加566.89万元，增加77.02%，支出增加566.89万元，增加77.02%。主要是因为：学校扩班，教师和学生人数增加，学校的各项开支增大。</w:t>
      </w:r>
    </w:p>
    <w:p>
      <w:pPr>
        <w:pStyle w:val="10"/>
        <w:spacing w:line="600" w:lineRule="exact"/>
        <w:ind w:firstLine="640" w:firstLineChars="200"/>
        <w:rPr>
          <w:rFonts w:hAnsi="黑体"/>
          <w:bCs/>
          <w:sz w:val="32"/>
          <w:szCs w:val="32"/>
        </w:rPr>
      </w:pPr>
      <w:r>
        <w:rPr>
          <w:rFonts w:hint="eastAsia" w:hAnsi="黑体"/>
          <w:bCs/>
          <w:sz w:val="32"/>
          <w:szCs w:val="32"/>
        </w:rPr>
        <w:t>二、收入决算情况说明</w:t>
      </w:r>
    </w:p>
    <w:p>
      <w:pPr>
        <w:pStyle w:val="10"/>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本年收入合计1302.91万元，其中：财政拨款收入1302.91万元，占100%；上级补助收入0万元，占0%；事业收入0元，占0%；经营收入0万元，占0%；附属单位上缴收入0万元，占0%；其他收入0万元，占0%。</w:t>
      </w:r>
    </w:p>
    <w:p>
      <w:pPr>
        <w:pStyle w:val="10"/>
        <w:spacing w:line="600" w:lineRule="exact"/>
        <w:ind w:firstLine="640" w:firstLineChars="200"/>
        <w:rPr>
          <w:rFonts w:hAnsi="黑体"/>
          <w:bCs/>
          <w:sz w:val="32"/>
          <w:szCs w:val="32"/>
        </w:rPr>
      </w:pPr>
      <w:r>
        <w:rPr>
          <w:rFonts w:hint="eastAsia" w:hAnsi="黑体"/>
          <w:bCs/>
          <w:sz w:val="32"/>
          <w:szCs w:val="32"/>
        </w:rPr>
        <w:t>三、支出决算情况说明</w:t>
      </w:r>
    </w:p>
    <w:p>
      <w:pPr>
        <w:pStyle w:val="10"/>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本年支出合计1302.91万元，其中：基本支出1146.13万元，占87.97%；项目支出156.78万元，占12.03%；上缴上级支出0万元，占0%；经营支出0万元，占0%；对附属单位补助支出0万元，占0%。</w:t>
      </w:r>
    </w:p>
    <w:p>
      <w:pPr>
        <w:pStyle w:val="10"/>
        <w:spacing w:line="600" w:lineRule="exact"/>
        <w:ind w:firstLine="640" w:firstLineChars="200"/>
        <w:rPr>
          <w:rFonts w:hAnsi="黑体"/>
          <w:bCs/>
          <w:sz w:val="32"/>
          <w:szCs w:val="32"/>
        </w:rPr>
      </w:pPr>
      <w:r>
        <w:rPr>
          <w:rFonts w:hint="eastAsia" w:hAnsi="黑体"/>
          <w:bCs/>
          <w:sz w:val="32"/>
          <w:szCs w:val="32"/>
        </w:rPr>
        <w:t>四、财政拨款收入支出决算总体情况说明</w:t>
      </w:r>
    </w:p>
    <w:p>
      <w:pPr>
        <w:pStyle w:val="10"/>
        <w:spacing w:line="600" w:lineRule="exact"/>
        <w:ind w:firstLine="63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2022年度</w:t>
      </w:r>
      <w:r>
        <w:rPr>
          <w:rFonts w:hint="eastAsia" w:asciiTheme="minorEastAsia" w:hAnsiTheme="minorEastAsia" w:eastAsiaTheme="minorEastAsia" w:cstheme="minorEastAsia"/>
          <w:sz w:val="28"/>
          <w:szCs w:val="28"/>
          <w:lang w:eastAsia="zh-CN"/>
        </w:rPr>
        <w:t>财政拨款</w:t>
      </w:r>
      <w:r>
        <w:rPr>
          <w:rFonts w:hint="eastAsia" w:asciiTheme="minorEastAsia" w:hAnsiTheme="minorEastAsia" w:eastAsiaTheme="minorEastAsia" w:cstheme="minorEastAsia"/>
          <w:sz w:val="28"/>
          <w:szCs w:val="28"/>
        </w:rPr>
        <w:t>收入总计1302.91万元，支出总计1302.91万元。与上年相比，收入增加566.89万元，增加77.02%，支出增加566.89万元，增加77.02%。主要是因为：学校扩班，教师和学生人数增加，学校的各项开支增大。</w:t>
      </w:r>
    </w:p>
    <w:p>
      <w:pPr>
        <w:pStyle w:val="10"/>
        <w:spacing w:line="600" w:lineRule="exact"/>
        <w:ind w:firstLine="630"/>
        <w:rPr>
          <w:rFonts w:hAnsi="黑体"/>
          <w:bCs/>
          <w:sz w:val="32"/>
          <w:szCs w:val="32"/>
        </w:rPr>
      </w:pPr>
      <w:r>
        <w:rPr>
          <w:rFonts w:hint="eastAsia" w:hAnsi="黑体"/>
          <w:bCs/>
          <w:sz w:val="32"/>
          <w:szCs w:val="32"/>
        </w:rPr>
        <w:t>五、一般公共预算财政拨款支出决算情况说明</w:t>
      </w:r>
    </w:p>
    <w:p>
      <w:pPr>
        <w:pStyle w:val="10"/>
        <w:spacing w:line="600" w:lineRule="exact"/>
        <w:ind w:firstLine="640" w:firstLineChars="200"/>
        <w:rPr>
          <w:rFonts w:ascii="楷体" w:hAnsi="楷体" w:eastAsia="楷体" w:cs="楷体"/>
          <w:bCs/>
          <w:sz w:val="32"/>
          <w:szCs w:val="32"/>
        </w:rPr>
      </w:pPr>
      <w:r>
        <w:rPr>
          <w:rFonts w:hint="eastAsia" w:ascii="楷体" w:hAnsi="楷体" w:eastAsia="楷体" w:cs="楷体"/>
          <w:bCs/>
          <w:sz w:val="32"/>
          <w:szCs w:val="32"/>
        </w:rPr>
        <w:t>（一）财政拨款支出决算总体情况</w:t>
      </w:r>
    </w:p>
    <w:p>
      <w:pPr>
        <w:pStyle w:val="10"/>
        <w:spacing w:line="600" w:lineRule="exact"/>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rPr>
        <w:t>2022年度财政拨款支出1302.91</w:t>
      </w:r>
      <w:r>
        <w:rPr>
          <w:rFonts w:hint="eastAsia" w:ascii="Times New Roman" w:hAnsi="Times New Roman" w:eastAsia="仿宋_GB2312"/>
          <w:sz w:val="32"/>
          <w:szCs w:val="32"/>
        </w:rPr>
        <w:t>万元，占本年支出合计的100</w:t>
      </w:r>
      <w:r>
        <w:rPr>
          <w:rFonts w:hint="eastAsia" w:ascii="Times New Roman" w:hAnsi="Times New Roman" w:eastAsia="仿宋_GB2312"/>
          <w:sz w:val="32"/>
          <w:szCs w:val="32"/>
        </w:rPr>
        <w:t>%，与上年相比，财政拨款支出增加566.89万元，增长77.02%</w:t>
      </w:r>
      <w:r>
        <w:rPr>
          <w:rFonts w:hint="eastAsia" w:ascii="Times New Roman" w:hAnsi="Times New Roman" w:eastAsia="仿宋_GB2312"/>
          <w:sz w:val="32"/>
          <w:szCs w:val="32"/>
        </w:rPr>
        <w:t>，主要是因为工资福利支出增加，工会经费增加，办公费增加,学校的维修项目、建设项目支出增加。</w:t>
      </w:r>
    </w:p>
    <w:p>
      <w:pPr>
        <w:pStyle w:val="10"/>
        <w:spacing w:line="600" w:lineRule="exact"/>
        <w:ind w:firstLine="800" w:firstLineChars="250"/>
        <w:rPr>
          <w:rFonts w:ascii="楷体" w:hAnsi="楷体" w:eastAsia="楷体" w:cs="楷体"/>
          <w:bCs/>
          <w:sz w:val="32"/>
          <w:szCs w:val="32"/>
        </w:rPr>
      </w:pPr>
      <w:r>
        <w:rPr>
          <w:rFonts w:hint="eastAsia" w:ascii="楷体" w:hAnsi="楷体" w:eastAsia="楷体" w:cs="楷体"/>
          <w:bCs/>
          <w:sz w:val="32"/>
          <w:szCs w:val="32"/>
        </w:rPr>
        <w:t>（二）财政拨款支出决算结构情况</w:t>
      </w:r>
    </w:p>
    <w:p>
      <w:pPr>
        <w:pStyle w:val="10"/>
        <w:spacing w:line="600" w:lineRule="exact"/>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rPr>
        <w:t>2022年度财政拨款支出1302.91万元，主要用于以下方面：一般公共服务（类）支出0万元，占0%；教育（类）支出1302.91万元，占100%.</w:t>
      </w:r>
    </w:p>
    <w:p>
      <w:pPr>
        <w:pStyle w:val="10"/>
        <w:spacing w:line="600" w:lineRule="exact"/>
        <w:ind w:firstLine="800" w:firstLineChars="250"/>
        <w:rPr>
          <w:rFonts w:ascii="楷体" w:hAnsi="楷体" w:eastAsia="楷体" w:cs="楷体"/>
          <w:bCs/>
          <w:sz w:val="32"/>
          <w:szCs w:val="32"/>
        </w:rPr>
      </w:pPr>
      <w:r>
        <w:rPr>
          <w:rFonts w:hint="eastAsia" w:ascii="楷体" w:hAnsi="楷体" w:eastAsia="楷体" w:cs="楷体"/>
          <w:bCs/>
          <w:sz w:val="32"/>
          <w:szCs w:val="32"/>
        </w:rPr>
        <w:t>（三）财政拨款支出决算具体情况</w:t>
      </w:r>
    </w:p>
    <w:p>
      <w:pPr>
        <w:pStyle w:val="10"/>
        <w:spacing w:line="600" w:lineRule="exact"/>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rPr>
        <w:t>2022年度财政拨款支出年初预算数为1302.91万元，支出决算数为1302.91万元，完成年初预算的100%，其中：</w:t>
      </w:r>
    </w:p>
    <w:p>
      <w:pPr>
        <w:pStyle w:val="10"/>
        <w:spacing w:line="600" w:lineRule="exact"/>
        <w:ind w:firstLine="800" w:firstLineChars="250"/>
        <w:rPr>
          <w:rFonts w:hint="eastAsia" w:ascii="Times New Roman" w:hAnsi="Times New Roman" w:eastAsia="仿宋_GB2312"/>
          <w:sz w:val="32"/>
          <w:szCs w:val="32"/>
        </w:rPr>
      </w:pPr>
      <w:r>
        <w:rPr>
          <w:rFonts w:hint="eastAsia" w:ascii="Times New Roman" w:hAnsi="Times New Roman" w:eastAsia="仿宋_GB2312"/>
          <w:sz w:val="32"/>
          <w:szCs w:val="32"/>
        </w:rPr>
        <w:t>教育支出</w:t>
      </w:r>
      <w:r>
        <w:rPr>
          <w:rFonts w:hint="eastAsia" w:ascii="Times New Roman" w:hAnsi="Times New Roman" w:eastAsia="仿宋_GB2312"/>
          <w:sz w:val="32"/>
          <w:szCs w:val="32"/>
          <w:lang w:eastAsia="zh-CN"/>
        </w:rPr>
        <w:t>（类）普通教育（款）初中教育（项）</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年初预算为1302.91万元，支出决算为1302.91万元，完成年初预算的100%，决算数等于年初预算数的主要原因是：严格遵照预算，合理安排各项开支。</w:t>
      </w:r>
    </w:p>
    <w:p>
      <w:pPr>
        <w:pStyle w:val="10"/>
        <w:spacing w:line="600" w:lineRule="exact"/>
        <w:ind w:firstLine="640" w:firstLineChars="200"/>
        <w:rPr>
          <w:rFonts w:hAnsi="黑体"/>
          <w:bCs/>
          <w:sz w:val="32"/>
          <w:szCs w:val="32"/>
        </w:rPr>
      </w:pPr>
      <w:r>
        <w:rPr>
          <w:rFonts w:hint="eastAsia" w:hAnsi="黑体"/>
          <w:bCs/>
          <w:sz w:val="32"/>
          <w:szCs w:val="32"/>
        </w:rPr>
        <w:t>六、一般公共预算财政拨款基本支出决算情况说明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2022年度财政拨款基本支出1146.13万元，其中：</w:t>
      </w:r>
    </w:p>
    <w:p>
      <w:pPr>
        <w:pStyle w:val="10"/>
        <w:spacing w:line="600" w:lineRule="exact"/>
        <w:ind w:firstLine="640" w:firstLineChars="200"/>
        <w:rPr>
          <w:rFonts w:hint="eastAsia" w:ascii="楷体" w:hAnsi="楷体" w:eastAsia="楷体" w:cs="楷体"/>
          <w:b/>
          <w:bCs/>
          <w:i/>
          <w:color w:val="auto"/>
          <w:sz w:val="32"/>
          <w:szCs w:val="32"/>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rPr>
        <w:t>1037.75万元，占基本支出的90.54%,主要包括基本工资、津贴补贴、奖金、伙食补助费、绩效工资等。</w:t>
      </w:r>
    </w:p>
    <w:p>
      <w:pPr>
        <w:pStyle w:val="10"/>
        <w:spacing w:line="600" w:lineRule="exact"/>
        <w:ind w:firstLine="640" w:firstLineChars="200"/>
        <w:rPr>
          <w:rFonts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rPr>
        <w:t>108.38万元，占基本支出的9.46%，主要包括办公费、印刷费、咨询费、手续费、工会经费等。</w:t>
      </w:r>
    </w:p>
    <w:p>
      <w:pPr>
        <w:pStyle w:val="10"/>
        <w:spacing w:line="600" w:lineRule="exact"/>
        <w:ind w:firstLine="640" w:firstLineChars="200"/>
        <w:rPr>
          <w:rFonts w:ascii="Times New Roman" w:hAnsi="Times New Roman" w:eastAsia="仿宋_GB2312"/>
          <w:b/>
          <w:sz w:val="32"/>
          <w:szCs w:val="32"/>
        </w:rPr>
      </w:pPr>
      <w:r>
        <w:rPr>
          <w:rFonts w:hint="eastAsia" w:hAnsi="黑体"/>
          <w:bCs/>
          <w:sz w:val="32"/>
          <w:szCs w:val="32"/>
        </w:rPr>
        <w:t>七、财政拨款三公经费支出决算情况说明</w:t>
      </w:r>
    </w:p>
    <w:p>
      <w:pPr>
        <w:pStyle w:val="10"/>
        <w:spacing w:line="600" w:lineRule="exact"/>
        <w:ind w:firstLine="640" w:firstLineChars="200"/>
        <w:rPr>
          <w:rFonts w:ascii="楷体" w:hAnsi="楷体" w:eastAsia="楷体" w:cs="楷体"/>
          <w:b/>
          <w:sz w:val="32"/>
          <w:szCs w:val="32"/>
        </w:rPr>
      </w:pPr>
      <w:r>
        <w:rPr>
          <w:rFonts w:hint="eastAsia" w:ascii="楷体" w:hAnsi="楷体" w:eastAsia="楷体" w:cs="楷体"/>
          <w:b/>
          <w:sz w:val="32"/>
          <w:szCs w:val="32"/>
        </w:rPr>
        <w:t>（一）“三公”经费财政拨款支出决算总体情况说明</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“三公”经费财政拨款支出预算为1.00万元，支出决算为1.00万元，完成预算的100%，其中：</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因公出国（境）费支出预算为0万元，支出决算为0万元，因预算数为0，无法计算预算完成百分比。决算数与预算数一致，与上年相比持平。原因是上年及本年均无出国出境情况，无相关费用支出。</w:t>
      </w:r>
    </w:p>
    <w:p>
      <w:pPr>
        <w:pStyle w:val="10"/>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公务接待费支出预算为1.00万元，支出决算为1.00万元，完成预算的100%，</w:t>
      </w:r>
      <w:r>
        <w:rPr>
          <w:rFonts w:hint="eastAsia" w:ascii="Times New Roman" w:hAnsi="Times New Roman" w:eastAsia="仿宋_GB2312"/>
          <w:sz w:val="32"/>
          <w:szCs w:val="32"/>
        </w:rPr>
        <w:t>决算数与预算数一致</w:t>
      </w:r>
      <w:r>
        <w:rPr>
          <w:rFonts w:hint="eastAsia" w:ascii="Times New Roman" w:hAnsi="Times New Roman" w:eastAsia="仿宋_GB2312"/>
          <w:sz w:val="32"/>
          <w:szCs w:val="32"/>
        </w:rPr>
        <w:t>，与上年相比增加了0.67万元，增加了203%,增加的主要原因是其他外县学校来本校学习交流的次数、人数增多。</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公务用车购置费支出预算为0万元，支出决算为0万元，因预算数为0，无法计算预算完成百分比。决算数与预算数一致，与上年相比持平。原因是上年及本年均无相关费用支出。</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公务用车运行维护费支出预算为0万元，支出决算为0万元，因预算数为0，无法计算预算完成百分比。决算数与预算数一致，与上年相比持平。原因是上年及本年均无相关费用支出。</w:t>
      </w:r>
    </w:p>
    <w:p>
      <w:pPr>
        <w:pStyle w:val="10"/>
        <w:spacing w:line="600" w:lineRule="exact"/>
        <w:ind w:firstLine="640" w:firstLineChars="200"/>
        <w:rPr>
          <w:rFonts w:ascii="楷体" w:hAnsi="楷体" w:eastAsia="楷体" w:cs="楷体"/>
          <w:b/>
          <w:sz w:val="32"/>
          <w:szCs w:val="32"/>
        </w:rPr>
      </w:pPr>
      <w:r>
        <w:rPr>
          <w:rFonts w:hint="eastAsia" w:ascii="楷体" w:hAnsi="楷体" w:eastAsia="楷体" w:cs="楷体"/>
          <w:b/>
          <w:sz w:val="32"/>
          <w:szCs w:val="32"/>
        </w:rPr>
        <w:t>（二）“三公”经费财政拨款支出决算具体情况说明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2022年度“三公”经费财政拨款支出决算中，公务接待费支出决算1.00万元，占100%,因公出国（境）费支出决算0万元，占0%,公务用车购置费及运行维护费支出决算0万元，占0%。其中：</w:t>
      </w:r>
    </w:p>
    <w:p>
      <w:pPr>
        <w:pStyle w:val="10"/>
        <w:spacing w:line="600" w:lineRule="exact"/>
        <w:ind w:firstLine="640" w:firstLineChars="200"/>
        <w:rPr>
          <w:rFonts w:ascii="Times New Roman" w:hAnsi="Times New Roman" w:eastAsia="仿宋_GB2312"/>
          <w:b/>
          <w:sz w:val="32"/>
          <w:szCs w:val="32"/>
        </w:rPr>
      </w:pPr>
      <w:r>
        <w:rPr>
          <w:rFonts w:hint="eastAsia" w:ascii="Times New Roman" w:hAnsi="Times New Roman" w:eastAsia="仿宋_GB2312"/>
          <w:sz w:val="32"/>
          <w:szCs w:val="32"/>
        </w:rPr>
        <w:t>1、因公出国（境）费支出决算为0万元，全年安排因公出国（境）团组0个，累计0人次</w:t>
      </w:r>
      <w:r>
        <w:rPr>
          <w:rFonts w:hint="eastAsia" w:ascii="楷体" w:hAnsi="楷体" w:eastAsia="楷体" w:cs="楷体"/>
          <w:b/>
          <w:bCs/>
          <w:i/>
          <w:color w:val="auto"/>
          <w:sz w:val="32"/>
          <w:szCs w:val="32"/>
        </w:rPr>
        <w:t>。</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2、公务接待费支出决算为1.00万元，全年共接待来访团组12个、来宾150人次，主要是主要是教改教研活动发生的接待支出。</w:t>
      </w:r>
    </w:p>
    <w:p>
      <w:pPr>
        <w:spacing w:line="600" w:lineRule="exact"/>
        <w:ind w:firstLine="800" w:firstLineChars="250"/>
        <w:rPr>
          <w:rFonts w:ascii="楷体" w:hAnsi="楷体" w:eastAsia="楷体" w:cs="楷体"/>
          <w:b/>
          <w:bCs/>
          <w:i/>
          <w:kern w:val="0"/>
          <w:sz w:val="32"/>
          <w:szCs w:val="32"/>
        </w:rPr>
      </w:pPr>
      <w:r>
        <w:rPr>
          <w:rFonts w:hint="eastAsia" w:ascii="Times New Roman" w:hAnsi="Times New Roman" w:eastAsia="仿宋_GB2312" w:cs="黑体"/>
          <w:color w:val="000000"/>
          <w:kern w:val="0"/>
          <w:sz w:val="32"/>
          <w:szCs w:val="32"/>
        </w:rPr>
        <w:t>3、公务用车购置费及运行维护费支出决算为0</w:t>
      </w:r>
      <w:r>
        <w:rPr>
          <w:rFonts w:hint="eastAsia" w:ascii="Times New Roman" w:hAnsi="Times New Roman" w:eastAsia="仿宋_GB2312"/>
          <w:sz w:val="32"/>
          <w:szCs w:val="32"/>
        </w:rPr>
        <w:t>万元，其中：公务用车购置费0万元</w:t>
      </w:r>
      <w:r>
        <w:rPr>
          <w:rFonts w:hint="eastAsia" w:ascii="Times New Roman" w:hAnsi="Times New Roman" w:eastAsia="仿宋_GB2312"/>
          <w:color w:val="000000" w:themeColor="text1"/>
          <w:sz w:val="32"/>
          <w:szCs w:val="32"/>
        </w:rPr>
        <w:t>，</w:t>
      </w:r>
      <w:r>
        <w:rPr>
          <w:rFonts w:hint="eastAsia" w:ascii="Times New Roman" w:hAnsi="Times New Roman" w:eastAsia="仿宋_GB2312"/>
          <w:sz w:val="32"/>
          <w:szCs w:val="32"/>
        </w:rPr>
        <w:t>因为是无公务用车，所以无公务用车购置费支出。</w:t>
      </w:r>
      <w:r>
        <w:rPr>
          <w:rFonts w:hint="eastAsia" w:ascii="Times New Roman" w:hAnsi="Times New Roman" w:eastAsia="仿宋_GB2312"/>
          <w:sz w:val="32"/>
          <w:szCs w:val="32"/>
          <w:lang w:eastAsia="zh-CN"/>
        </w:rPr>
        <w:t>更新公务用车</w:t>
      </w:r>
      <w:r>
        <w:rPr>
          <w:rFonts w:hint="eastAsia" w:ascii="Times New Roman" w:hAnsi="Times New Roman" w:eastAsia="仿宋_GB2312"/>
          <w:sz w:val="32"/>
          <w:szCs w:val="32"/>
          <w:lang w:val="en-US" w:eastAsia="zh-CN"/>
        </w:rPr>
        <w:t>0辆。</w:t>
      </w:r>
      <w:r>
        <w:rPr>
          <w:rFonts w:hint="eastAsia" w:ascii="Times New Roman" w:hAnsi="Times New Roman" w:eastAsia="仿宋_GB2312"/>
          <w:sz w:val="32"/>
          <w:szCs w:val="32"/>
        </w:rPr>
        <w:t>公务用车运行维护费0万元，主要是无公务用车，所以无公务用车运行维护费支出。截止2022年12月31日，我单位开支财政拨款的公务用车保有量为0辆。</w:t>
      </w:r>
    </w:p>
    <w:p>
      <w:pPr>
        <w:pStyle w:val="10"/>
        <w:spacing w:line="600" w:lineRule="exact"/>
        <w:ind w:firstLine="640" w:firstLineChars="200"/>
        <w:rPr>
          <w:rFonts w:hAnsi="黑体"/>
          <w:bCs/>
          <w:sz w:val="32"/>
          <w:szCs w:val="32"/>
        </w:rPr>
      </w:pPr>
      <w:r>
        <w:rPr>
          <w:rFonts w:hint="eastAsia" w:hAnsi="黑体"/>
          <w:bCs/>
          <w:sz w:val="32"/>
          <w:szCs w:val="32"/>
        </w:rPr>
        <w:t>八、政府性基金预算收入支出决算情况</w:t>
      </w:r>
    </w:p>
    <w:p>
      <w:pPr>
        <w:pStyle w:val="10"/>
        <w:rPr>
          <w:rFonts w:ascii="楷体" w:hAnsi="楷体" w:eastAsia="楷体" w:cs="楷体"/>
          <w:b/>
          <w:bCs/>
          <w:i/>
          <w:color w:val="FF0000"/>
          <w:sz w:val="32"/>
          <w:szCs w:val="32"/>
        </w:rPr>
      </w:pPr>
      <w:r>
        <w:rPr>
          <w:rFonts w:hint="eastAsia" w:ascii="Times New Roman" w:hAnsi="Times New Roman" w:eastAsia="仿宋_GB2312"/>
          <w:sz w:val="32"/>
          <w:szCs w:val="32"/>
        </w:rPr>
        <w:t xml:space="preserve">     2022年度本单位无政府性基金预算收入支出</w:t>
      </w:r>
      <w:r>
        <w:rPr>
          <w:rFonts w:hint="eastAsia" w:asciiTheme="minorEastAsia" w:hAnsiTheme="minorEastAsia" w:eastAsiaTheme="minorEastAsia" w:cstheme="minorEastAsia"/>
          <w:sz w:val="28"/>
          <w:szCs w:val="28"/>
          <w:lang w:eastAsia="zh-CN"/>
        </w:rPr>
        <w:t>。</w:t>
      </w:r>
    </w:p>
    <w:p>
      <w:pPr>
        <w:pStyle w:val="10"/>
        <w:spacing w:line="600" w:lineRule="exact"/>
        <w:ind w:firstLine="640" w:firstLineChars="200"/>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ind w:firstLine="640" w:firstLineChars="200"/>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本部门2022年度机关运行经费支出108.38万元。与年初预算基本持平，主要原因是：严格遵照预算，合理安排各项开支。</w:t>
      </w:r>
    </w:p>
    <w:p>
      <w:pPr>
        <w:pStyle w:val="10"/>
        <w:spacing w:line="600" w:lineRule="exact"/>
        <w:ind w:firstLine="640" w:firstLineChars="200"/>
        <w:rPr>
          <w:rFonts w:hAnsi="黑体"/>
          <w:bCs/>
          <w:sz w:val="32"/>
          <w:szCs w:val="32"/>
        </w:rPr>
      </w:pPr>
      <w:r>
        <w:rPr>
          <w:rFonts w:hint="eastAsia" w:hAnsi="黑体"/>
          <w:bCs/>
          <w:sz w:val="32"/>
          <w:szCs w:val="32"/>
        </w:rPr>
        <w:t>十、一般性支出情况说明</w:t>
      </w:r>
    </w:p>
    <w:p>
      <w:pPr>
        <w:ind w:firstLine="640" w:firstLineChars="200"/>
        <w:rPr>
          <w:rFonts w:hint="eastAsia" w:ascii="楷体" w:hAnsi="楷体" w:eastAsia="楷体" w:cs="楷体"/>
          <w:b/>
          <w:bCs/>
          <w:i/>
          <w:color w:val="auto"/>
          <w:sz w:val="32"/>
          <w:szCs w:val="32"/>
        </w:rPr>
      </w:pPr>
      <w:r>
        <w:rPr>
          <w:rFonts w:hint="eastAsia" w:ascii="Times New Roman" w:hAnsi="Times New Roman" w:eastAsia="仿宋_GB2312"/>
          <w:sz w:val="32"/>
          <w:szCs w:val="32"/>
        </w:rPr>
        <w:t>2022年本部门开支会议费0万元</w:t>
      </w:r>
      <w:r>
        <w:rPr>
          <w:rFonts w:hint="eastAsia" w:ascii="Times New Roman" w:hAnsi="Times New Roman" w:eastAsia="仿宋_GB2312"/>
          <w:sz w:val="32"/>
          <w:szCs w:val="32"/>
          <w:lang w:eastAsia="zh-CN"/>
        </w:rPr>
        <w:t>，人数</w:t>
      </w:r>
      <w:r>
        <w:rPr>
          <w:rFonts w:hint="eastAsia" w:ascii="Times New Roman" w:hAnsi="Times New Roman" w:eastAsia="仿宋_GB2312"/>
          <w:sz w:val="32"/>
          <w:szCs w:val="32"/>
          <w:lang w:val="en-US" w:eastAsia="zh-CN"/>
        </w:rPr>
        <w:t>0人</w:t>
      </w:r>
      <w:r>
        <w:rPr>
          <w:rFonts w:hint="eastAsia" w:ascii="Times New Roman" w:hAnsi="Times New Roman" w:eastAsia="仿宋_GB2312"/>
          <w:sz w:val="32"/>
          <w:szCs w:val="32"/>
        </w:rPr>
        <w:t>；开支培训费8.60万元，</w:t>
      </w:r>
      <w:r>
        <w:rPr>
          <w:rFonts w:hint="eastAsia" w:ascii="Times New Roman" w:hAnsi="Times New Roman" w:eastAsia="仿宋_GB2312" w:cs="黑体"/>
          <w:color w:val="000000"/>
          <w:kern w:val="0"/>
          <w:sz w:val="32"/>
          <w:szCs w:val="32"/>
        </w:rPr>
        <w:t>用于开展老师培训，教学研究、文体活动的开支。培训教师人数72人，内容为教师教学能力、专业水平的提升、以及教改教研的交流等各方面的培训。</w:t>
      </w:r>
      <w:bookmarkStart w:id="3" w:name="_GoBack"/>
      <w:bookmarkEnd w:id="3"/>
      <w:r>
        <w:rPr>
          <w:rFonts w:hint="eastAsia" w:ascii="Times New Roman" w:hAnsi="Times New Roman" w:eastAsia="仿宋_GB2312"/>
          <w:sz w:val="32"/>
          <w:szCs w:val="32"/>
        </w:rPr>
        <w:t>举办节庆、晚会、论坛、赛事活动，开支0万元。</w:t>
      </w:r>
    </w:p>
    <w:p>
      <w:pPr>
        <w:pStyle w:val="10"/>
        <w:spacing w:line="600" w:lineRule="exact"/>
        <w:ind w:firstLine="640" w:firstLineChars="200"/>
        <w:rPr>
          <w:rFonts w:hAnsi="黑体"/>
          <w:bCs/>
          <w:sz w:val="32"/>
          <w:szCs w:val="32"/>
        </w:rPr>
      </w:pPr>
      <w:r>
        <w:rPr>
          <w:rFonts w:hint="eastAsia" w:hAnsi="黑体"/>
          <w:bCs/>
          <w:sz w:val="32"/>
          <w:szCs w:val="32"/>
        </w:rPr>
        <w:t>十一、关于政府采购支出说明</w:t>
      </w:r>
    </w:p>
    <w:p>
      <w:pPr>
        <w:pStyle w:val="10"/>
        <w:spacing w:line="600" w:lineRule="exact"/>
        <w:ind w:firstLine="640" w:firstLineChars="200"/>
        <w:rPr>
          <w:rFonts w:hint="eastAsia" w:ascii="楷体" w:hAnsi="楷体" w:eastAsia="楷体" w:cs="楷体"/>
          <w:b/>
          <w:bCs/>
          <w:i/>
          <w:color w:val="auto"/>
          <w:sz w:val="32"/>
          <w:szCs w:val="32"/>
        </w:rPr>
      </w:pPr>
      <w:r>
        <w:rPr>
          <w:rFonts w:hint="eastAsia" w:ascii="Times New Roman" w:hAnsi="Times New Roman" w:eastAsia="仿宋_GB2312"/>
          <w:sz w:val="32"/>
          <w:szCs w:val="32"/>
        </w:rPr>
        <w:t>本部门2022年度政府采购支出总额0万元，其中：政府采购货物支出0 万元、政府采购工程支出0万元、政府采购服务支出0万元。授予中小企业合同金额0万元，占政府采购支出总额的0%，其中：授予小微企业合同金额0万元，占政府采购支出总额的0%。货物采购授予中小企业合同金额占货物支出金额的0%，工程采购授予中小企业合同金额占工程支出金额的0%，服务采购授予中小企业合同金额占服务支出金额的0%。</w:t>
      </w:r>
    </w:p>
    <w:p>
      <w:pPr>
        <w:pStyle w:val="10"/>
        <w:spacing w:line="600" w:lineRule="exact"/>
        <w:ind w:firstLine="640" w:firstLineChars="200"/>
        <w:rPr>
          <w:rFonts w:hAnsi="黑体"/>
          <w:bCs/>
          <w:sz w:val="32"/>
          <w:szCs w:val="32"/>
        </w:rPr>
      </w:pPr>
      <w:r>
        <w:rPr>
          <w:rFonts w:hint="eastAsia" w:hAnsi="黑体"/>
          <w:bCs/>
          <w:sz w:val="32"/>
          <w:szCs w:val="32"/>
        </w:rPr>
        <w:t>十二、关于国有资产占用情况说明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截至2022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0"/>
        <w:spacing w:line="600" w:lineRule="exact"/>
        <w:ind w:firstLine="640" w:firstLineChars="200"/>
        <w:rPr>
          <w:rFonts w:hAnsi="黑体"/>
          <w:bCs/>
          <w:sz w:val="32"/>
          <w:szCs w:val="32"/>
        </w:rPr>
      </w:pPr>
      <w:r>
        <w:rPr>
          <w:rFonts w:hint="eastAsia" w:hAnsi="黑体"/>
          <w:bCs/>
          <w:sz w:val="32"/>
          <w:szCs w:val="32"/>
        </w:rPr>
        <w:t>十三、关于</w:t>
      </w:r>
      <w:r>
        <w:rPr>
          <w:rFonts w:hint="eastAsia" w:ascii="Times New Roman" w:hAnsi="Times New Roman" w:eastAsia="仿宋_GB2312"/>
          <w:sz w:val="32"/>
          <w:szCs w:val="32"/>
        </w:rPr>
        <w:t>2022</w:t>
      </w:r>
      <w:r>
        <w:rPr>
          <w:rFonts w:hint="eastAsia" w:hAnsi="黑体"/>
          <w:bCs/>
          <w:sz w:val="32"/>
          <w:szCs w:val="32"/>
        </w:rPr>
        <w:t>年度预算绩效情况的说明</w:t>
      </w:r>
    </w:p>
    <w:p>
      <w:pPr>
        <w:pStyle w:val="10"/>
        <w:spacing w:line="60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（一）部门整体支出绩效情况</w:t>
      </w:r>
    </w:p>
    <w:p>
      <w:pPr>
        <w:autoSpaceDE w:val="0"/>
        <w:autoSpaceDN w:val="0"/>
        <w:adjustRightInd w:val="0"/>
        <w:ind w:firstLine="640" w:firstLineChars="20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2022年我单位整体支出资金使用符合政策要求，合理合法，使用有效，管理较规范，绩效管理工作开展情况良好，共涉及一般公共预算财政资金 1302.91万元。本单位</w:t>
      </w:r>
      <w:r>
        <w:rPr>
          <w:rFonts w:ascii="Times New Roman" w:hAnsi="Times New Roman" w:eastAsia="仿宋_GB2312" w:cs="黑体"/>
          <w:color w:val="000000"/>
          <w:kern w:val="0"/>
          <w:sz w:val="32"/>
          <w:szCs w:val="32"/>
        </w:rPr>
        <w:t>无所属二级单位，</w:t>
      </w:r>
      <w:r>
        <w:rPr>
          <w:rFonts w:hint="eastAsia" w:ascii="Times New Roman" w:hAnsi="Times New Roman" w:eastAsia="仿宋_GB2312" w:cs="黑体"/>
          <w:color w:val="000000"/>
          <w:kern w:val="0"/>
          <w:sz w:val="32"/>
          <w:szCs w:val="32"/>
        </w:rPr>
        <w:t>虽有项目支出，但年度绩效目标也全面完成，并取得了一定经济和社会效益。单位财务制度健全，管理规范，得到了有效执行。</w:t>
      </w:r>
    </w:p>
    <w:p>
      <w:pPr>
        <w:pStyle w:val="10"/>
        <w:spacing w:line="600" w:lineRule="exact"/>
        <w:ind w:firstLine="640" w:firstLineChars="200"/>
        <w:rPr>
          <w:rFonts w:hint="eastAsia" w:ascii="楷体" w:hAnsi="楷体" w:eastAsia="楷体" w:cs="楷体"/>
          <w:b/>
          <w:bCs/>
          <w:sz w:val="32"/>
          <w:szCs w:val="32"/>
        </w:rPr>
      </w:pPr>
      <w:r>
        <w:rPr>
          <w:rFonts w:hint="eastAsia" w:ascii="楷体" w:hAnsi="楷体" w:eastAsia="楷体" w:cs="楷体"/>
          <w:b/>
          <w:bCs/>
          <w:sz w:val="32"/>
          <w:szCs w:val="32"/>
        </w:rPr>
        <w:t>（二）存在的问题及原因分析</w:t>
      </w:r>
    </w:p>
    <w:p>
      <w:pPr>
        <w:pStyle w:val="5"/>
        <w:widowControl/>
        <w:spacing w:before="0" w:beforeAutospacing="0" w:after="0" w:afterAutospacing="0" w:line="560" w:lineRule="exact"/>
        <w:ind w:firstLine="640"/>
        <w:jc w:val="both"/>
        <w:rPr>
          <w:rFonts w:ascii="Times New Roman" w:hAnsi="Times New Roman" w:eastAsia="仿宋_GB2312" w:cs="黑体"/>
          <w:color w:val="000000"/>
          <w:sz w:val="32"/>
          <w:szCs w:val="32"/>
        </w:rPr>
      </w:pPr>
      <w:r>
        <w:rPr>
          <w:rFonts w:ascii="Times New Roman" w:hAnsi="Times New Roman" w:eastAsia="仿宋_GB2312" w:cs="黑体"/>
          <w:color w:val="000000"/>
          <w:sz w:val="32"/>
          <w:szCs w:val="32"/>
        </w:rPr>
        <w:t>1.整体支出绩效目标与</w:t>
      </w:r>
      <w:r>
        <w:rPr>
          <w:rFonts w:hint="eastAsia" w:ascii="Times New Roman" w:hAnsi="Times New Roman" w:eastAsia="仿宋_GB2312" w:cs="黑体"/>
          <w:color w:val="000000"/>
          <w:sz w:val="32"/>
          <w:szCs w:val="32"/>
        </w:rPr>
        <w:t>部分</w:t>
      </w:r>
      <w:r>
        <w:rPr>
          <w:rFonts w:ascii="Times New Roman" w:hAnsi="Times New Roman" w:eastAsia="仿宋_GB2312" w:cs="黑体"/>
          <w:color w:val="000000"/>
          <w:sz w:val="32"/>
          <w:szCs w:val="32"/>
        </w:rPr>
        <w:t>产出的数量指标、质量指标缺乏对应性，关联性和可操作性不强。</w:t>
      </w:r>
    </w:p>
    <w:p>
      <w:pPr>
        <w:pStyle w:val="5"/>
        <w:widowControl/>
        <w:spacing w:before="0" w:beforeAutospacing="0" w:after="0" w:afterAutospacing="0" w:line="560" w:lineRule="exact"/>
        <w:ind w:firstLine="640"/>
        <w:jc w:val="both"/>
        <w:rPr>
          <w:rFonts w:ascii="Times New Roman" w:hAnsi="Times New Roman" w:eastAsia="仿宋_GB2312" w:cs="黑体"/>
          <w:color w:val="000000"/>
          <w:sz w:val="32"/>
          <w:szCs w:val="32"/>
        </w:rPr>
      </w:pPr>
      <w:r>
        <w:rPr>
          <w:rFonts w:ascii="Times New Roman" w:hAnsi="Times New Roman" w:eastAsia="仿宋_GB2312" w:cs="黑体"/>
          <w:color w:val="000000"/>
          <w:sz w:val="32"/>
          <w:szCs w:val="32"/>
        </w:rPr>
        <w:t>2.对整体支出目标的设定和各项指标的理解、认识不到位，导致整体支出目标不够明确、不够细化、不够量化，缺乏可衡量性和可实现性。</w:t>
      </w:r>
    </w:p>
    <w:p>
      <w:pPr>
        <w:snapToGrid w:val="0"/>
        <w:spacing w:line="520" w:lineRule="exact"/>
        <w:ind w:firstLine="640" w:firstLineChars="200"/>
        <w:rPr>
          <w:rFonts w:hint="eastAsia"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3.在预算绩效管理上存在不足</w:t>
      </w:r>
    </w:p>
    <w:p>
      <w:pPr>
        <w:snapToGrid w:val="0"/>
        <w:spacing w:line="520" w:lineRule="exact"/>
        <w:ind w:firstLine="640" w:firstLineChars="200"/>
        <w:rPr>
          <w:rFonts w:hint="eastAsia"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在行政事业单位中比较常规的考核方式就是年度考核，不过这种方式或多或少的也存在着一些不足，比如一些单位的管理不到位，缺乏一些考核标准，绩效考核的指标缺乏科学性、合理性，且考核标准人为主观因素比较多，绩效考核只注重结果，缺少预算实施过程中的管理，缺少对预算项目的前期的考察和分析，这样在很大程度上也会使得单位的财务状况出现一些问题，从而无法实现整个预算绩效管理应达到的效果。</w:t>
      </w:r>
    </w:p>
    <w:p>
      <w:pPr>
        <w:pStyle w:val="10"/>
        <w:spacing w:line="600" w:lineRule="exact"/>
        <w:ind w:firstLine="640" w:firstLineChars="200"/>
        <w:rPr>
          <w:rFonts w:ascii="Times New Roman" w:hAnsi="Times New Roman" w:eastAsia="仿宋_GB2312"/>
          <w:sz w:val="32"/>
          <w:szCs w:val="32"/>
        </w:rPr>
      </w:pPr>
    </w:p>
    <w:p>
      <w:pPr>
        <w:pStyle w:val="10"/>
        <w:jc w:val="center"/>
        <w:rPr>
          <w:rFonts w:ascii="Times New Roman" w:hAnsi="Times New Roman" w:eastAsia="仿宋_GB2312"/>
          <w:sz w:val="32"/>
          <w:szCs w:val="32"/>
        </w:rPr>
      </w:pPr>
    </w:p>
    <w:p>
      <w:pPr>
        <w:widowControl/>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br w:type="page"/>
      </w:r>
    </w:p>
    <w:p>
      <w:pPr>
        <w:pStyle w:val="10"/>
        <w:jc w:val="both"/>
        <w:rPr>
          <w:rFonts w:hAnsi="黑体"/>
          <w:b/>
          <w:bCs/>
          <w:sz w:val="32"/>
          <w:szCs w:val="32"/>
        </w:rPr>
      </w:pPr>
      <w:r>
        <w:rPr>
          <w:rFonts w:hint="eastAsia" w:hAnsi="黑体"/>
          <w:b/>
          <w:bCs/>
          <w:sz w:val="32"/>
          <w:szCs w:val="32"/>
        </w:rPr>
        <w:t>第四部分 名词解释</w:t>
      </w:r>
    </w:p>
    <w:p>
      <w:pPr>
        <w:pStyle w:val="10"/>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一、收入科目</w:t>
      </w:r>
    </w:p>
    <w:p>
      <w:pPr>
        <w:pStyle w:val="10"/>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财政拨款收入：指财政当年拨付的资金。</w:t>
      </w:r>
    </w:p>
    <w:p>
      <w:pPr>
        <w:pStyle w:val="10"/>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二、支出科目</w:t>
      </w:r>
    </w:p>
    <w:p>
      <w:pPr>
        <w:pStyle w:val="10"/>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1.基本支出：指为保障机构正常运转、完成日常工作任务而发生的人员支出和公用支出。</w:t>
      </w:r>
    </w:p>
    <w:p>
      <w:pPr>
        <w:pStyle w:val="10"/>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2.项目支出：指在基本支出之外为完成特定行政任务和事业发展目标所发生的支出。</w:t>
      </w:r>
    </w:p>
    <w:p>
      <w:pPr>
        <w:pStyle w:val="10"/>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3.年末结转和结余：指本年度或以前年度预算安排、因客观条件发生变化无法按原计划实施，需延迟到以后年度按有关规定继续使用的资金。</w:t>
      </w:r>
    </w:p>
    <w:p>
      <w:pPr>
        <w:pStyle w:val="10"/>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三、“三公”经费</w:t>
      </w:r>
    </w:p>
    <w:p>
      <w:pPr>
        <w:pStyle w:val="10"/>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10"/>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四、机关运行经费</w:t>
      </w:r>
    </w:p>
    <w:p>
      <w:pPr>
        <w:pStyle w:val="10"/>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指各部门的公用经费，包括办公及印刷费、邮电费、差旅费、会议费、福利费、日常维修费、专用资料及一般设备购置费、办公用房水电费、网络租赁费、办公用房取暖费、办公用房物业管理费、公务用车运行维护费以及其他费用。</w:t>
      </w:r>
    </w:p>
    <w:p>
      <w:pPr>
        <w:pStyle w:val="10"/>
        <w:ind w:firstLine="640" w:firstLineChars="200"/>
        <w:jc w:val="both"/>
        <w:rPr>
          <w:rFonts w:hAnsi="黑体"/>
          <w:b/>
          <w:bCs/>
          <w:sz w:val="32"/>
          <w:szCs w:val="32"/>
        </w:rPr>
      </w:pPr>
      <w:r>
        <w:rPr>
          <w:rFonts w:hint="eastAsia" w:hAnsi="黑体"/>
          <w:b/>
          <w:bCs/>
          <w:sz w:val="32"/>
          <w:szCs w:val="32"/>
        </w:rPr>
        <w:t>第五部分 附件</w:t>
      </w:r>
    </w:p>
    <w:p>
      <w:pPr>
        <w:ind w:firstLine="560" w:firstLineChars="200"/>
        <w:jc w:val="center"/>
        <w:rPr>
          <w:rFonts w:asciiTheme="minorEastAsia" w:hAnsiTheme="minorEastAsia" w:cstheme="minorEastAsia"/>
          <w:b/>
          <w:color w:val="000000"/>
          <w:kern w:val="0"/>
          <w:sz w:val="28"/>
          <w:szCs w:val="28"/>
        </w:rPr>
      </w:pPr>
      <w:r>
        <w:rPr>
          <w:rFonts w:hint="eastAsia" w:asciiTheme="minorEastAsia" w:hAnsiTheme="minorEastAsia" w:cstheme="minorEastAsia"/>
          <w:b/>
          <w:color w:val="000000"/>
          <w:kern w:val="0"/>
          <w:sz w:val="28"/>
          <w:szCs w:val="28"/>
        </w:rPr>
        <w:t>2022年度部门整体支出绩效评价报告</w:t>
      </w:r>
    </w:p>
    <w:p>
      <w:pPr>
        <w:pStyle w:val="10"/>
        <w:jc w:val="center"/>
        <w:rPr>
          <w:sz w:val="72"/>
          <w:szCs w:val="7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华文中宋">
    <w:altName w:val="宋体"/>
    <w:panose1 w:val="00000000000000000000"/>
    <w:charset w:val="86"/>
    <w:family w:val="auto"/>
    <w:pitch w:val="default"/>
    <w:sig w:usb0="00000000" w:usb1="0000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6F9"/>
    <w:rsid w:val="0000666C"/>
    <w:rsid w:val="00017D31"/>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A447A"/>
    <w:rsid w:val="002E0A30"/>
    <w:rsid w:val="002E5F51"/>
    <w:rsid w:val="003130C4"/>
    <w:rsid w:val="00316C4B"/>
    <w:rsid w:val="0032192B"/>
    <w:rsid w:val="00343355"/>
    <w:rsid w:val="003479BD"/>
    <w:rsid w:val="0037197D"/>
    <w:rsid w:val="003768D5"/>
    <w:rsid w:val="003926B9"/>
    <w:rsid w:val="003C47E6"/>
    <w:rsid w:val="003C4FC2"/>
    <w:rsid w:val="003D4153"/>
    <w:rsid w:val="004103D9"/>
    <w:rsid w:val="00416E61"/>
    <w:rsid w:val="0042790C"/>
    <w:rsid w:val="00446836"/>
    <w:rsid w:val="004506F9"/>
    <w:rsid w:val="004717A2"/>
    <w:rsid w:val="00473DF3"/>
    <w:rsid w:val="00487911"/>
    <w:rsid w:val="00491741"/>
    <w:rsid w:val="004B0CEE"/>
    <w:rsid w:val="004C206A"/>
    <w:rsid w:val="00500E5F"/>
    <w:rsid w:val="005122EF"/>
    <w:rsid w:val="0051441A"/>
    <w:rsid w:val="00517C33"/>
    <w:rsid w:val="00517D5F"/>
    <w:rsid w:val="00523644"/>
    <w:rsid w:val="00537FFE"/>
    <w:rsid w:val="0054069E"/>
    <w:rsid w:val="00544866"/>
    <w:rsid w:val="005767CC"/>
    <w:rsid w:val="00590D9F"/>
    <w:rsid w:val="00595D26"/>
    <w:rsid w:val="00596318"/>
    <w:rsid w:val="005A74E6"/>
    <w:rsid w:val="005B404E"/>
    <w:rsid w:val="005D4D55"/>
    <w:rsid w:val="005E2CFB"/>
    <w:rsid w:val="005F2103"/>
    <w:rsid w:val="005F3D1C"/>
    <w:rsid w:val="00612E82"/>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35799"/>
    <w:rsid w:val="0084478C"/>
    <w:rsid w:val="0086638C"/>
    <w:rsid w:val="00873B5C"/>
    <w:rsid w:val="008A3E8D"/>
    <w:rsid w:val="008A575F"/>
    <w:rsid w:val="008D0357"/>
    <w:rsid w:val="009237C4"/>
    <w:rsid w:val="009311AA"/>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AC28C2"/>
    <w:rsid w:val="00AD4241"/>
    <w:rsid w:val="00AE4523"/>
    <w:rsid w:val="00B33BEA"/>
    <w:rsid w:val="00B57C9F"/>
    <w:rsid w:val="00B63572"/>
    <w:rsid w:val="00B845B3"/>
    <w:rsid w:val="00B85D8B"/>
    <w:rsid w:val="00BB4A40"/>
    <w:rsid w:val="00BC11D0"/>
    <w:rsid w:val="00BD6C3E"/>
    <w:rsid w:val="00BE3674"/>
    <w:rsid w:val="00BF2F41"/>
    <w:rsid w:val="00C10681"/>
    <w:rsid w:val="00C247FA"/>
    <w:rsid w:val="00C3049A"/>
    <w:rsid w:val="00C31B1E"/>
    <w:rsid w:val="00C77645"/>
    <w:rsid w:val="00CD33AF"/>
    <w:rsid w:val="00CE04C3"/>
    <w:rsid w:val="00CE667D"/>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476DA"/>
    <w:rsid w:val="00F74360"/>
    <w:rsid w:val="00FB0A37"/>
    <w:rsid w:val="00FB462F"/>
    <w:rsid w:val="00FC11B0"/>
    <w:rsid w:val="00FC1775"/>
    <w:rsid w:val="00FE16FA"/>
    <w:rsid w:val="00FE328A"/>
    <w:rsid w:val="00FE3AEF"/>
    <w:rsid w:val="00FE6269"/>
    <w:rsid w:val="00FF5CD6"/>
    <w:rsid w:val="09AA26F7"/>
    <w:rsid w:val="0C230306"/>
    <w:rsid w:val="1DE97596"/>
    <w:rsid w:val="1ECC422C"/>
    <w:rsid w:val="1F4F0EF6"/>
    <w:rsid w:val="3A6A6228"/>
    <w:rsid w:val="3FE457A9"/>
    <w:rsid w:val="5777D4F5"/>
    <w:rsid w:val="5F8F08CA"/>
    <w:rsid w:val="5FC6BB1E"/>
    <w:rsid w:val="5FF720F1"/>
    <w:rsid w:val="609B351E"/>
    <w:rsid w:val="64A54408"/>
    <w:rsid w:val="68EF1509"/>
    <w:rsid w:val="6EF96718"/>
    <w:rsid w:val="6F9B0B8C"/>
    <w:rsid w:val="737D59BA"/>
    <w:rsid w:val="77B06588"/>
    <w:rsid w:val="77C37683"/>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CA1C7E-0C30-48E0-A1F1-A2C19FBC7F6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1454</Words>
  <Characters>8289</Characters>
  <Lines>69</Lines>
  <Paragraphs>19</Paragraphs>
  <TotalTime>1</TotalTime>
  <ScaleCrop>false</ScaleCrop>
  <LinksUpToDate>false</LinksUpToDate>
  <CharactersWithSpaces>9724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2023-09-08T01:46:00Z</dcterms:created>
  <dc:creator>李航 null</dc:creator>
  <cp:lastModifiedBy>Administrator</cp:lastModifiedBy>
  <cp:lastPrinted>2023-08-15T09:28:00Z</cp:lastPrinted>
  <dcterms:modified xsi:type="dcterms:W3CDTF">2023-10-07T08:38:18Z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