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sz w:val="48"/>
          <w:szCs w:val="48"/>
        </w:rPr>
      </w:pPr>
    </w:p>
    <w:p>
      <w:pPr>
        <w:pStyle w:val="5"/>
        <w:jc w:val="center"/>
        <w:rPr>
          <w:sz w:val="48"/>
          <w:szCs w:val="48"/>
        </w:rPr>
      </w:pPr>
      <w:r>
        <w:rPr>
          <w:rFonts w:hint="eastAsia"/>
          <w:sz w:val="48"/>
          <w:szCs w:val="48"/>
        </w:rPr>
        <w:t>新田县交通建设质量安全监督站</w:t>
      </w:r>
    </w:p>
    <w:p>
      <w:pPr>
        <w:pStyle w:val="5"/>
        <w:jc w:val="center"/>
        <w:rPr>
          <w:sz w:val="48"/>
          <w:szCs w:val="48"/>
        </w:rPr>
      </w:pPr>
      <w:r>
        <w:rPr>
          <w:rFonts w:hint="eastAsia"/>
          <w:sz w:val="48"/>
          <w:szCs w:val="48"/>
        </w:rPr>
        <w:t>单位2021年度部门决算公开</w:t>
      </w:r>
    </w:p>
    <w:p>
      <w:pPr>
        <w:pStyle w:val="5"/>
        <w:jc w:val="center"/>
        <w:rPr>
          <w:sz w:val="48"/>
          <w:szCs w:val="48"/>
        </w:rPr>
      </w:pPr>
    </w:p>
    <w:p>
      <w:pPr>
        <w:pStyle w:val="5"/>
        <w:spacing w:line="540" w:lineRule="exact"/>
        <w:jc w:val="center"/>
        <w:rPr>
          <w:sz w:val="56"/>
          <w:szCs w:val="56"/>
        </w:rPr>
      </w:pPr>
      <w:r>
        <w:rPr>
          <w:rFonts w:hint="eastAsia" w:ascii="楷体_GB2312" w:hAnsi="宋体" w:eastAsia="楷体_GB2312"/>
          <w:b/>
          <w:bCs/>
          <w:sz w:val="30"/>
          <w:szCs w:val="30"/>
          <w:highlight w:val="yellow"/>
          <w:u w:val="single"/>
        </w:rPr>
        <w:t>县级各部门是决算公开的主体，请务必核实确认拟公开的数据。</w:t>
      </w:r>
    </w:p>
    <w:p>
      <w:pPr>
        <w:pStyle w:val="5"/>
        <w:spacing w:line="540" w:lineRule="exact"/>
        <w:jc w:val="center"/>
        <w:rPr>
          <w:sz w:val="56"/>
          <w:szCs w:val="56"/>
        </w:rPr>
      </w:pPr>
    </w:p>
    <w:p>
      <w:pPr>
        <w:pStyle w:val="5"/>
        <w:spacing w:line="520" w:lineRule="exact"/>
        <w:jc w:val="center"/>
        <w:rPr>
          <w:sz w:val="44"/>
          <w:szCs w:val="44"/>
        </w:rPr>
      </w:pPr>
      <w:r>
        <w:rPr>
          <w:rFonts w:hint="eastAsia"/>
          <w:sz w:val="44"/>
          <w:szCs w:val="44"/>
        </w:rPr>
        <w:t>目录</w:t>
      </w:r>
    </w:p>
    <w:p>
      <w:pPr>
        <w:pStyle w:val="5"/>
        <w:spacing w:line="520" w:lineRule="exact"/>
        <w:rPr>
          <w:rFonts w:ascii="仿宋_GB2312" w:hAnsi="仿宋_GB2312" w:cs="仿宋_GB2312"/>
          <w:b/>
          <w:sz w:val="28"/>
          <w:szCs w:val="28"/>
        </w:rPr>
      </w:pPr>
      <w:r>
        <w:rPr>
          <w:rFonts w:hint="eastAsia"/>
          <w:b/>
          <w:sz w:val="28"/>
          <w:szCs w:val="28"/>
        </w:rPr>
        <w:t>第一部分单位概况</w:t>
      </w:r>
    </w:p>
    <w:p>
      <w:pPr>
        <w:pStyle w:val="6"/>
        <w:numPr>
          <w:ilvl w:val="0"/>
          <w:numId w:val="1"/>
        </w:numPr>
        <w:snapToGrid w:val="0"/>
        <w:spacing w:line="520" w:lineRule="exact"/>
        <w:ind w:firstLineChars="0"/>
        <w:rPr>
          <w:rFonts w:cs="仿宋_GB2312" w:asciiTheme="minorEastAsia" w:hAnsiTheme="minorEastAsia"/>
          <w:sz w:val="28"/>
          <w:szCs w:val="28"/>
        </w:rPr>
      </w:pPr>
      <w:r>
        <w:rPr>
          <w:rFonts w:cs="仿宋_GB2312" w:asciiTheme="minorEastAsia" w:hAnsiTheme="minorEastAsia"/>
          <w:sz w:val="28"/>
          <w:szCs w:val="28"/>
        </w:rPr>
        <w:t>部门职责</w:t>
      </w:r>
    </w:p>
    <w:p>
      <w:pPr>
        <w:ind w:firstLine="560" w:firstLineChars="200"/>
        <w:rPr>
          <w:rFonts w:cs="仿宋_GB2312" w:asciiTheme="minorEastAsia" w:hAnsiTheme="minorEastAsia"/>
          <w:sz w:val="28"/>
          <w:szCs w:val="28"/>
        </w:rPr>
      </w:pPr>
      <w:r>
        <w:rPr>
          <w:rFonts w:cs="仿宋_GB2312" w:asciiTheme="minorEastAsia" w:hAnsiTheme="minorEastAsia"/>
          <w:sz w:val="28"/>
          <w:szCs w:val="28"/>
        </w:rPr>
        <w:t>二、机构设置</w:t>
      </w:r>
    </w:p>
    <w:p>
      <w:pPr>
        <w:pStyle w:val="5"/>
        <w:spacing w:line="520" w:lineRule="exact"/>
        <w:ind w:firstLine="700" w:firstLineChars="250"/>
        <w:rPr>
          <w:rFonts w:cs="仿宋_GB2312" w:asciiTheme="minorEastAsia" w:hAnsiTheme="minorEastAsia" w:eastAsiaTheme="minorEastAsia"/>
          <w:sz w:val="28"/>
          <w:szCs w:val="28"/>
        </w:rPr>
      </w:pPr>
    </w:p>
    <w:p>
      <w:pPr>
        <w:pStyle w:val="5"/>
        <w:spacing w:line="520" w:lineRule="exact"/>
        <w:rPr>
          <w:rFonts w:ascii="仿宋_GB2312" w:hAnsi="仿宋_GB2312" w:cs="仿宋_GB2312"/>
          <w:b/>
          <w:sz w:val="28"/>
          <w:szCs w:val="28"/>
        </w:rPr>
      </w:pPr>
      <w:r>
        <w:rPr>
          <w:rFonts w:hint="eastAsia" w:hAnsi="仿宋_GB2312"/>
          <w:b/>
          <w:sz w:val="28"/>
          <w:szCs w:val="28"/>
        </w:rPr>
        <w:t>第二部分2021年度部门决算表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5"/>
        <w:spacing w:line="520" w:lineRule="exact"/>
        <w:ind w:firstLine="840" w:firstLineChars="300"/>
        <w:rPr>
          <w:rFonts w:ascii="宋体" w:hAnsi="宋体" w:eastAsia="宋体" w:cs="宋体"/>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九、</w:t>
      </w:r>
      <w:r>
        <w:rPr>
          <w:rFonts w:hint="eastAsia" w:ascii="宋体" w:hAnsi="宋体" w:eastAsia="宋体" w:cs="宋体"/>
          <w:color w:val="333333"/>
          <w:sz w:val="28"/>
          <w:szCs w:val="28"/>
          <w:shd w:val="clear" w:color="auto" w:fill="FFFFFF"/>
        </w:rPr>
        <w:t>国有资本经营预算财政拨款支出决算表</w:t>
      </w:r>
    </w:p>
    <w:p>
      <w:pPr>
        <w:pStyle w:val="5"/>
        <w:spacing w:line="520" w:lineRule="exact"/>
        <w:rPr>
          <w:rFonts w:ascii="仿宋_GB2312" w:hAnsi="仿宋_GB2312" w:cs="仿宋_GB2312"/>
          <w:b/>
          <w:sz w:val="28"/>
          <w:szCs w:val="28"/>
        </w:rPr>
      </w:pPr>
      <w:r>
        <w:rPr>
          <w:rFonts w:hint="eastAsia" w:hAnsi="仿宋_GB2312"/>
          <w:b/>
          <w:sz w:val="28"/>
          <w:szCs w:val="28"/>
        </w:rPr>
        <w:t>第三部分2021年度部门决算情况说明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一、收入支出决算总体情况说明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二、收入决算情况说明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三、支出决算情况说明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四、财政拨款收入支出决算总体情况说明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五、一般公共预算财政拨款支出决算情况说明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六、一般公共预算财政拨款基本支出决算情况说明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七、一般公共预算财政拨款“三公”经费支出决算情况说明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八、政府性基金预算收入支出决算情况</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九、国有资本经营预算财政拨款支出决算情况</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十、机关运行经费支出说明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十一、一般性支出情况说明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十二、政府采购支出说明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十三、国有资产占用情况说明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十四、2021年度预算绩效情况说明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rPr>
          <w:rFonts w:ascii="黑体" w:hAnsi="黑体" w:eastAsia="黑体" w:cs="黑体"/>
          <w:sz w:val="32"/>
          <w:szCs w:val="32"/>
        </w:rPr>
      </w:pPr>
      <w:r>
        <w:rPr>
          <w:rFonts w:hint="eastAsia" w:ascii="黑体" w:hAnsi="黑体" w:eastAsia="黑体" w:cs="黑体"/>
          <w:sz w:val="32"/>
          <w:szCs w:val="32"/>
        </w:rPr>
        <w:t>第一部分  交通质安站单位概况</w:t>
      </w:r>
    </w:p>
    <w:p>
      <w:pPr>
        <w:pStyle w:val="6"/>
        <w:numPr>
          <w:ilvl w:val="0"/>
          <w:numId w:val="2"/>
        </w:numPr>
        <w:ind w:firstLineChars="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部门职责</w:t>
      </w:r>
    </w:p>
    <w:p>
      <w:pPr>
        <w:snapToGrid w:val="0"/>
        <w:spacing w:line="520" w:lineRule="exact"/>
        <w:ind w:firstLine="560" w:firstLineChars="200"/>
        <w:rPr>
          <w:rFonts w:ascii="仿宋" w:hAnsi="仿宋" w:eastAsia="仿宋"/>
          <w:sz w:val="32"/>
          <w:szCs w:val="32"/>
        </w:rPr>
      </w:pPr>
      <w:r>
        <w:rPr>
          <w:rFonts w:hint="eastAsia" w:asciiTheme="minorEastAsia" w:hAnsiTheme="minorEastAsia" w:cstheme="minorEastAsia"/>
          <w:sz w:val="28"/>
          <w:szCs w:val="28"/>
        </w:rPr>
        <w:t>（一）</w:t>
      </w:r>
      <w:r>
        <w:rPr>
          <w:rFonts w:hint="eastAsia" w:ascii="仿宋" w:hAnsi="仿宋" w:eastAsia="仿宋"/>
          <w:sz w:val="32"/>
          <w:szCs w:val="32"/>
        </w:rPr>
        <w:t>我单位负责全县权限内公路、水运工程质量安全监督的事务性工作，负责监督检查建设、勘察、设计、施工和监理单位的质量保证体系及运转情况的事务性工作，调查工程质量事故，负责仲裁工程质量争议的事务性工作，参与全县权限内公路、水运工程质量检测、评定、鉴定和核验工作，参与全县交通建设工程竣工验收，参与监督全县交通建设从业单位资质、资信及质量行为，负责交通工程监理、造价、试验检测机构及人员资质认证的事务性工作。参与监督从业单位及其人员的安全生产信用行为，参与权限内公路、水运工程安全事故调查、处理、分析、报告，协助办理全县权限内交通建设工程造价及材料价格信息管理；参与监督检查重点交通建设项目的投资执行情况和工程结算情况；参与审查全县权限内交通建设工程估算、概算、预算文件及工程变更、材料调差；调解工程造价争议。承办县交通运输局交办的其他事项。</w:t>
      </w:r>
    </w:p>
    <w:p>
      <w:pPr>
        <w:widowControl/>
        <w:spacing w:line="600" w:lineRule="exac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二、机构设置及决算单位构成</w:t>
      </w:r>
    </w:p>
    <w:p>
      <w:pPr>
        <w:ind w:firstLine="560" w:firstLineChars="200"/>
        <w:rPr>
          <w:rFonts w:ascii="仿宋" w:hAnsi="仿宋" w:eastAsia="仿宋"/>
          <w:sz w:val="32"/>
          <w:szCs w:val="32"/>
        </w:rPr>
      </w:pPr>
      <w:r>
        <w:rPr>
          <w:rFonts w:hint="eastAsia" w:asciiTheme="minorEastAsia" w:hAnsiTheme="minorEastAsia" w:cstheme="minorEastAsia"/>
          <w:bCs/>
          <w:kern w:val="0"/>
          <w:sz w:val="28"/>
          <w:szCs w:val="28"/>
        </w:rPr>
        <w:t>（一）内设机构设置。</w:t>
      </w:r>
      <w:r>
        <w:rPr>
          <w:rFonts w:hint="eastAsia" w:ascii="仿宋" w:hAnsi="仿宋" w:eastAsia="仿宋"/>
          <w:sz w:val="32"/>
          <w:szCs w:val="32"/>
        </w:rPr>
        <w:t>本部门共设3室2股，办公室、纪检监察室、质量监督股、安全法制股、试验室。</w:t>
      </w:r>
    </w:p>
    <w:p>
      <w:pPr>
        <w:pStyle w:val="2"/>
        <w:shd w:val="clear" w:color="auto" w:fill="FFFFFF"/>
        <w:spacing w:beforeAutospacing="0" w:afterAutospacing="0" w:line="540" w:lineRule="atLeast"/>
        <w:ind w:firstLine="460"/>
        <w:rPr>
          <w:rFonts w:ascii="仿宋" w:hAnsi="仿宋" w:eastAsia="仿宋"/>
          <w:color w:val="000000"/>
          <w:kern w:val="2"/>
          <w:sz w:val="32"/>
          <w:szCs w:val="32"/>
          <w:lang w:bidi="ar-SA"/>
        </w:rPr>
      </w:pPr>
      <w:r>
        <w:rPr>
          <w:rFonts w:hint="eastAsia" w:ascii="仿宋" w:hAnsi="仿宋" w:eastAsia="仿宋"/>
          <w:color w:val="000000"/>
          <w:kern w:val="2"/>
          <w:sz w:val="32"/>
          <w:szCs w:val="32"/>
          <w:lang w:bidi="ar-SA"/>
        </w:rPr>
        <w:t>截止2020年12月底，全所共有工作人员13名，其中事业单位12名，借调1名。</w:t>
      </w:r>
    </w:p>
    <w:p>
      <w:pPr>
        <w:widowControl/>
        <w:spacing w:line="600" w:lineRule="exact"/>
        <w:ind w:firstLine="560" w:firstLineChars="200"/>
        <w:rPr>
          <w:rFonts w:asciiTheme="minorEastAsia" w:hAnsiTheme="minorEastAsia" w:cstheme="minorEastAsia"/>
          <w:bCs/>
          <w:kern w:val="0"/>
          <w:sz w:val="28"/>
          <w:szCs w:val="28"/>
        </w:rPr>
      </w:pPr>
      <w:r>
        <w:rPr>
          <w:rFonts w:hint="eastAsia" w:asciiTheme="minorEastAsia" w:hAnsiTheme="minorEastAsia" w:cstheme="minorEastAsia"/>
          <w:bCs/>
          <w:kern w:val="0"/>
          <w:sz w:val="28"/>
          <w:szCs w:val="28"/>
        </w:rPr>
        <w:t>（二）决算单位构成。交通质安站单位2021年部门决算汇总公开单位构成包括：交通质安站单位本级</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黑体" w:hAnsi="黑体" w:eastAsia="黑体" w:cs="黑体"/>
          <w:sz w:val="32"/>
          <w:szCs w:val="32"/>
        </w:rPr>
      </w:pPr>
      <w:r>
        <w:rPr>
          <w:rFonts w:hint="eastAsia" w:ascii="黑体" w:hAnsi="黑体" w:eastAsia="黑体" w:cs="黑体"/>
          <w:sz w:val="32"/>
          <w:szCs w:val="32"/>
        </w:rPr>
        <w:t>第二部分 部门决算表</w:t>
      </w: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部门：交通建设质量安全监督站单位</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3"/>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kern w:val="0"/>
                <w:szCs w:val="21"/>
              </w:rPr>
              <w:t>93.6</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kern w:val="0"/>
                <w:szCs w:val="21"/>
              </w:rPr>
              <w:t>93.6</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交通建设质量安全监督站单位</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214</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交通运输支出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214</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公路水路运输</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214</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行政运行（公路水路运输）</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rPr>
        <w:t>交通建设质量安全监督站单位</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3"/>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214</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交通运输支出</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214</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公路水路运输</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214</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行政运行（公路水路运输）</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105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交通建设质量安全监督站单位</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3"/>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交通建设质量安全监督站单位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3"/>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93.6</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214</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交通运输支出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93.6</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93.6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214</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公路水路运输</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93.6</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93.6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214</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行政运行（公路水路运输）</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93.6</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93.6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交通建设质量安全监督站</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0" w:type="auto"/>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89.92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3.68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33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0.26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6.15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0.38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24.3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4.7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5.8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6.17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6.5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0.24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0.12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1.1</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89.92</w:t>
            </w:r>
            <w:r>
              <w:rPr>
                <w:rFonts w:ascii="Times New Roman" w:hAnsi="Times New Roman" w:eastAsia="宋体" w:cs="Times New Roman"/>
                <w:color w:val="000000"/>
                <w:kern w:val="0"/>
                <w:sz w:val="18"/>
                <w:szCs w:val="18"/>
              </w:rPr>
              <w:t>　</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3.68</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交通建设质量安全监督站</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0.08</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0.08</w:t>
            </w:r>
          </w:p>
        </w:tc>
      </w:tr>
    </w:tbl>
    <w:p>
      <w:pPr>
        <w:autoSpaceDE w:val="0"/>
        <w:autoSpaceDN w:val="0"/>
        <w:adjustRightInd w:val="0"/>
        <w:ind w:left="315" w:leftChars="150"/>
        <w:jc w:val="left"/>
        <w:rPr>
          <w:rFonts w:ascii="宋体" w:eastAsia="宋体" w:cs="宋体"/>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交通建设质量安全监督站</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p>
        </w:tc>
        <w:tc>
          <w:tcPr>
            <w:tcW w:w="2000" w:type="dxa"/>
            <w:shd w:val="clear" w:color="auto" w:fill="auto"/>
            <w:vAlign w:val="center"/>
          </w:tcPr>
          <w:p>
            <w:pPr>
              <w:widowControl/>
              <w:jc w:val="center"/>
              <w:rPr>
                <w:rFonts w:ascii="Times New Roman" w:hAnsi="Times New Roman" w:eastAsia="仿宋_GB2312" w:cs="Times New Roman"/>
                <w:kern w:val="0"/>
                <w:szCs w:val="21"/>
              </w:rPr>
            </w:pP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widowControl/>
        <w:jc w:val="center"/>
        <w:rPr>
          <w:rFonts w:ascii="宋体" w:hAnsi="宋体" w:eastAsia="宋体" w:cs="宋体"/>
          <w:b/>
          <w:bCs/>
          <w:color w:val="333333"/>
          <w:sz w:val="36"/>
          <w:szCs w:val="36"/>
          <w:shd w:val="clear" w:color="auto" w:fill="FFFFFF"/>
        </w:rPr>
      </w:pPr>
      <w:r>
        <w:rPr>
          <w:rFonts w:hint="eastAsia" w:ascii="宋体" w:hAnsi="宋体" w:eastAsia="宋体" w:cs="宋体"/>
          <w:b/>
          <w:bCs/>
          <w:color w:val="333333"/>
          <w:sz w:val="36"/>
          <w:szCs w:val="36"/>
          <w:shd w:val="clear" w:color="auto" w:fill="FFFFFF"/>
        </w:rPr>
        <w:t>国有资本经营预算财政拨款支出决算表</w:t>
      </w:r>
    </w:p>
    <w:tbl>
      <w:tblPr>
        <w:tblStyle w:val="3"/>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ind w:right="20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noWrap/>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部门：交通建设质量安全监督站</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tbl>
      <w:tblPr>
        <w:tblStyle w:val="3"/>
        <w:tblW w:w="8715" w:type="dxa"/>
        <w:tblInd w:w="0" w:type="dxa"/>
        <w:tblLayout w:type="autofit"/>
        <w:tblCellMar>
          <w:top w:w="0" w:type="dxa"/>
          <w:left w:w="0" w:type="dxa"/>
          <w:bottom w:w="0" w:type="dxa"/>
          <w:right w:w="0" w:type="dxa"/>
        </w:tblCellMar>
      </w:tblPr>
      <w:tblGrid>
        <w:gridCol w:w="8716"/>
      </w:tblGrid>
      <w:tr>
        <w:tblPrEx>
          <w:tblCellMar>
            <w:top w:w="0" w:type="dxa"/>
            <w:left w:w="0" w:type="dxa"/>
            <w:bottom w:w="0" w:type="dxa"/>
            <w:right w:w="0" w:type="dxa"/>
          </w:tblCellMar>
        </w:tblPrEx>
        <w:trPr>
          <w:trHeight w:val="267" w:hRule="atLeast"/>
        </w:trPr>
        <w:tc>
          <w:tcPr>
            <w:tcW w:w="8716"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p>
        </w:tc>
      </w:tr>
    </w:tbl>
    <w:p>
      <w:r>
        <w:rPr>
          <w:rFonts w:hint="eastAsia"/>
        </w:rPr>
        <w:t xml:space="preserve">     </w:t>
      </w:r>
    </w:p>
    <w:p>
      <w:pPr>
        <w:widowControl/>
        <w:jc w:val="left"/>
        <w:rPr>
          <w:rFonts w:ascii="仿宋" w:hAnsi="仿宋" w:eastAsia="仿宋" w:cs="仿宋"/>
          <w:kern w:val="0"/>
          <w:szCs w:val="21"/>
        </w:rPr>
      </w:pPr>
      <w:r>
        <w:rPr>
          <w:rFonts w:hint="eastAsia"/>
        </w:rPr>
        <w:tab/>
      </w:r>
      <w:r>
        <w:rPr>
          <w:rFonts w:hint="eastAsia" w:ascii="仿宋" w:hAnsi="仿宋" w:eastAsia="仿宋" w:cs="仿宋"/>
          <w:kern w:val="0"/>
          <w:szCs w:val="21"/>
        </w:rPr>
        <w:t>(若本单位无</w:t>
      </w:r>
      <w:r>
        <w:rPr>
          <w:rFonts w:hint="eastAsia" w:ascii="仿宋" w:hAnsi="仿宋" w:eastAsia="仿宋" w:cs="仿宋"/>
          <w:color w:val="000000"/>
          <w:kern w:val="0"/>
          <w:szCs w:val="21"/>
        </w:rPr>
        <w:t>国有资本经营预算财政拨款支出</w:t>
      </w:r>
      <w:r>
        <w:rPr>
          <w:rFonts w:hint="eastAsia" w:ascii="仿宋" w:hAnsi="仿宋" w:eastAsia="仿宋" w:cs="仿宋"/>
          <w:kern w:val="0"/>
          <w:szCs w:val="21"/>
        </w:rPr>
        <w:t>,请说明：XX单位无</w:t>
      </w:r>
      <w:r>
        <w:rPr>
          <w:rFonts w:hint="eastAsia" w:ascii="仿宋" w:hAnsi="仿宋" w:eastAsia="仿宋" w:cs="仿宋"/>
          <w:color w:val="000000"/>
          <w:kern w:val="0"/>
          <w:szCs w:val="21"/>
        </w:rPr>
        <w:t>国有资本经营预算财政拨款支出</w:t>
      </w:r>
      <w:r>
        <w:rPr>
          <w:rFonts w:hint="eastAsia" w:ascii="仿宋" w:hAnsi="仿宋" w:eastAsia="仿宋" w:cs="仿宋"/>
          <w:kern w:val="0"/>
          <w:szCs w:val="21"/>
        </w:rPr>
        <w:t>，故本表无数据)。</w:t>
      </w:r>
    </w:p>
    <w:p>
      <w:pPr>
        <w:tabs>
          <w:tab w:val="left" w:pos="1460"/>
        </w:tabs>
        <w:jc w:val="left"/>
        <w:rPr>
          <w:szCs w:val="21"/>
        </w:rPr>
        <w:sectPr>
          <w:pgSz w:w="16838" w:h="11906" w:orient="landscape"/>
          <w:pgMar w:top="720" w:right="720" w:bottom="720" w:left="720" w:header="851" w:footer="992" w:gutter="0"/>
          <w:cols w:space="425" w:num="1"/>
          <w:docGrid w:type="lines" w:linePitch="312" w:charSpace="0"/>
        </w:sectPr>
      </w:pPr>
    </w:p>
    <w:p>
      <w:pPr>
        <w:pStyle w:val="5"/>
        <w:rPr>
          <w:sz w:val="32"/>
          <w:szCs w:val="32"/>
        </w:rPr>
      </w:pPr>
      <w:r>
        <w:rPr>
          <w:rFonts w:hint="eastAsia"/>
          <w:sz w:val="32"/>
          <w:szCs w:val="32"/>
        </w:rPr>
        <w:t>第三部分 2021年度部门决算情况说明</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一、收入支出决算总体情况说明</w:t>
      </w:r>
    </w:p>
    <w:p>
      <w:pPr>
        <w:pStyle w:val="6"/>
        <w:ind w:left="1140" w:firstLine="0" w:firstLineChars="0"/>
        <w:rPr>
          <w:rFonts w:ascii="仿宋" w:hAnsi="仿宋" w:eastAsia="仿宋" w:cs="Mongolian Baiti"/>
          <w:sz w:val="32"/>
          <w:szCs w:val="32"/>
        </w:rPr>
      </w:pPr>
      <w:r>
        <w:rPr>
          <w:rFonts w:hint="eastAsia" w:asciiTheme="minorEastAsia" w:hAnsiTheme="minorEastAsia" w:cstheme="minorEastAsia"/>
          <w:sz w:val="28"/>
          <w:szCs w:val="28"/>
        </w:rPr>
        <w:t>2021 年度收、支总计93.6万元。与2020年相比，</w:t>
      </w:r>
      <w:r>
        <w:rPr>
          <w:rFonts w:hint="eastAsia" w:ascii="仿宋" w:hAnsi="仿宋" w:eastAsia="仿宋" w:cs="Mongolian Baiti"/>
          <w:sz w:val="32"/>
          <w:szCs w:val="32"/>
        </w:rPr>
        <w:t>人员经费支出增加了12</w:t>
      </w:r>
      <w:r>
        <w:rPr>
          <w:rFonts w:hint="eastAsia" w:ascii="仿宋" w:hAnsi="仿宋" w:eastAsia="仿宋"/>
          <w:sz w:val="32"/>
          <w:szCs w:val="32"/>
        </w:rPr>
        <w:t>.</w:t>
      </w:r>
      <w:r>
        <w:rPr>
          <w:rFonts w:hint="eastAsia" w:ascii="仿宋" w:hAnsi="仿宋" w:eastAsia="仿宋" w:cs="Mongolian Baiti"/>
          <w:sz w:val="32"/>
          <w:szCs w:val="32"/>
        </w:rPr>
        <w:t>9</w:t>
      </w:r>
      <w:r>
        <w:rPr>
          <w:rFonts w:hint="eastAsia" w:asciiTheme="minorEastAsia" w:hAnsiTheme="minorEastAsia" w:cstheme="minorEastAsia"/>
          <w:sz w:val="28"/>
          <w:szCs w:val="28"/>
        </w:rPr>
        <w:t>万元，</w:t>
      </w:r>
      <w:r>
        <w:rPr>
          <w:rFonts w:hint="eastAsia" w:ascii="仿宋" w:hAnsi="仿宋" w:eastAsia="仿宋" w:cs="Mongolian Baiti"/>
          <w:sz w:val="32"/>
          <w:szCs w:val="32"/>
        </w:rPr>
        <w:t>公用支出减少了15</w:t>
      </w:r>
      <w:r>
        <w:rPr>
          <w:rFonts w:hint="eastAsia" w:ascii="仿宋" w:hAnsi="仿宋" w:eastAsia="仿宋"/>
          <w:sz w:val="32"/>
          <w:szCs w:val="32"/>
        </w:rPr>
        <w:t>.</w:t>
      </w:r>
      <w:r>
        <w:rPr>
          <w:rFonts w:hint="eastAsia" w:ascii="仿宋" w:hAnsi="仿宋" w:eastAsia="仿宋" w:cs="Mongolian Baiti"/>
          <w:sz w:val="32"/>
          <w:szCs w:val="32"/>
        </w:rPr>
        <w:t>1</w:t>
      </w:r>
      <w:r>
        <w:rPr>
          <w:rFonts w:hint="eastAsia" w:ascii="仿宋" w:hAnsi="仿宋" w:eastAsia="仿宋"/>
          <w:sz w:val="32"/>
          <w:szCs w:val="32"/>
        </w:rPr>
        <w:t>万</w:t>
      </w:r>
      <w:r>
        <w:rPr>
          <w:rFonts w:hint="eastAsia" w:ascii="仿宋" w:hAnsi="仿宋" w:eastAsia="仿宋" w:cs="Mongolian Baiti"/>
          <w:sz w:val="32"/>
          <w:szCs w:val="32"/>
        </w:rPr>
        <w:t>元。</w:t>
      </w:r>
    </w:p>
    <w:p>
      <w:pPr>
        <w:snapToGrid w:val="0"/>
        <w:spacing w:line="520" w:lineRule="exact"/>
        <w:ind w:firstLine="560" w:firstLineChars="200"/>
        <w:rPr>
          <w:rFonts w:ascii="仿宋_GB2312" w:hAnsi="仿宋" w:eastAsia="仿宋_GB2312" w:cs="Mongolian Baiti"/>
          <w:sz w:val="32"/>
          <w:szCs w:val="32"/>
        </w:rPr>
      </w:pPr>
      <w:r>
        <w:rPr>
          <w:rFonts w:hint="eastAsia" w:asciiTheme="minorEastAsia" w:hAnsiTheme="minorEastAsia" w:cstheme="minorEastAsia"/>
          <w:sz w:val="28"/>
          <w:szCs w:val="28"/>
        </w:rPr>
        <w:t>减少0.009%，主要是因为</w:t>
      </w:r>
      <w:r>
        <w:rPr>
          <w:rFonts w:hint="eastAsia" w:ascii="仿宋_GB2312" w:hAnsi="仿宋" w:eastAsia="仿宋_GB2312" w:cs="Mongolian Baiti"/>
          <w:sz w:val="32"/>
          <w:szCs w:val="32"/>
        </w:rPr>
        <w:t>2021年经费紧张，很多费用都没有支付，所以公用支出减少得比较大。人员经费增加是因为调资。</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二、收入决算情况说明</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本年收入合计93.6万元，其中：财政拨款收入93.6万元，占100%；上级补助收入0万元，占0%；事业收入0万元，占0%；经营收入0万元，占0%；附属单位上缴收入0万元，占0%；其他收入0万元，占0%。</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三、支出决算情况说明</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本年支出合计93.6万元，其中：基本支出93.6万元，占100%；项目支出0万元，占0%；上缴上级支出0万元，占0%；经营支出0万元，占0%；对附属单位补助支出0万元，占0%。</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四、财政拨款收入支出决算总体情况说明</w:t>
      </w:r>
    </w:p>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2021年度财政拨款收、支总计93.6万元，与2020年相比，减少2.2万元,减少0.009%，主要是因为</w:t>
      </w:r>
      <w:r>
        <w:rPr>
          <w:rFonts w:hint="eastAsia" w:ascii="仿宋_GB2312" w:hAnsi="仿宋" w:eastAsia="仿宋_GB2312"/>
          <w:sz w:val="32"/>
          <w:szCs w:val="32"/>
        </w:rPr>
        <w:t>2021年经费紧张，很多费用都没有支付，所以公用支出减少得比较大。</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五、一般公共预算财政拨款支出决算情况说明</w:t>
      </w:r>
    </w:p>
    <w:p>
      <w:pPr>
        <w:pStyle w:val="5"/>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（一）财政拨款支出决算总体情况</w:t>
      </w:r>
    </w:p>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2021年度财政拨款支出93.6万元，占本年支出合计的100%，与2020年相比，财政拨款支出减少2.2万元，减少0.009%，主要是因为</w:t>
      </w:r>
      <w:r>
        <w:rPr>
          <w:rFonts w:hint="eastAsia" w:ascii="仿宋_GB2312" w:hAnsi="仿宋" w:eastAsia="仿宋_GB2312"/>
          <w:sz w:val="32"/>
          <w:szCs w:val="32"/>
        </w:rPr>
        <w:t>2021年经费紧张，很多费用都没有支付，所以公用支出减少得比较大。</w:t>
      </w:r>
    </w:p>
    <w:p>
      <w:pPr>
        <w:pStyle w:val="5"/>
        <w:ind w:firstLine="420" w:firstLineChars="15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（二）财政拨款支出决算结构情况</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2021年度财政拨款支出93.6万元，主要用于以下方面：一般公共服务（类）支出93.6万元，占100%；教育（类）支出0万元，占0%</w:t>
      </w:r>
    </w:p>
    <w:p>
      <w:pPr>
        <w:pStyle w:val="5"/>
        <w:ind w:firstLine="700" w:firstLineChars="25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（三）财政拨款支出决算具体情况</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2021年度财政拨款支出年初预算数为113.27万元，支出决算数为93.6万元，完成年初预算的100%，其中：</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1、一般公共服务（类）拨（款）支出（项）。</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年初预算为113.27万元，支出决算为93.6万元，完成年初预算的0.0068%，决算数小于年初预算数的主要原因是：</w:t>
      </w:r>
      <w:r>
        <w:rPr>
          <w:rFonts w:hint="eastAsia" w:ascii="仿宋_GB2312" w:hAnsi="仿宋" w:eastAsia="仿宋_GB2312"/>
          <w:sz w:val="32"/>
          <w:szCs w:val="32"/>
        </w:rPr>
        <w:t>2021年经费紧张，很多费用都没有支付。</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2、一般公共服务（类）0（款）0（项）。</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年初预算为0万元，支出决算为0万元，完成年初预算的0%，决算数大于（小于）年初预算数的主要原因是：</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六、一般公共预算财政拨款基本支出决算情况说明</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基本支出93.6万元，其中：人员经费89.92万元，占基本支出的96%,主要包括基本工资、津贴补贴、奖金、伙食补助费；公用经费3.68万元，占基本支出的4%，主要包括办公费、印刷费、咨询费、手续费。</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七、一般公共预算财政拨款三公经费支出决算情况说明</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（一）“三公”经费财政拨款支出决算总体情况说明</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“三公”经费财政拨款支出预算为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万元，支出决算为0.008万元，完成预算的100%，其中：</w:t>
      </w:r>
    </w:p>
    <w:p>
      <w:pPr>
        <w:pStyle w:val="5"/>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因公出国（境）费支出</w:t>
      </w:r>
      <w:r>
        <w:rPr>
          <w:rFonts w:hint="eastAsia" w:asciiTheme="minorEastAsia" w:hAnsiTheme="minorEastAsia" w:eastAsiaTheme="minorEastAsia" w:cstheme="minorEastAsia"/>
          <w:sz w:val="28"/>
          <w:szCs w:val="28"/>
          <w:lang w:val="en-US" w:eastAsia="zh-CN"/>
        </w:rPr>
        <w:t>预算为0万元，支出</w:t>
      </w:r>
      <w:r>
        <w:rPr>
          <w:rFonts w:hint="eastAsia" w:asciiTheme="minorEastAsia" w:hAnsiTheme="minorEastAsia" w:eastAsiaTheme="minorEastAsia" w:cstheme="minorEastAsia"/>
          <w:sz w:val="28"/>
          <w:szCs w:val="28"/>
        </w:rPr>
        <w:t>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因预算数为0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无法计算预算完成百分比。决算数与预算数一致，与上年相比持平，原因是上年及本年均无出国出境情况，无相关费用支出。</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接待费支出预算为0万元，支出决算为0.008万元，超出预算的100%，决算数大于年初预算数的主要原因是因为上级临时下来检查工作发生的接待支出，与上年相比增加0.008万元，增长100%,增长的主要原因是因为上级临时下来检查工作发生的接待支出。</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公务用车购置费及运行维护费支出预算为0万元，支出决算为0万元，完成预算的0%，</w:t>
      </w:r>
      <w:r>
        <w:rPr>
          <w:rFonts w:hint="eastAsia" w:asciiTheme="minorEastAsia" w:hAnsiTheme="minorEastAsia" w:eastAsiaTheme="minorEastAsia" w:cstheme="minorEastAsia"/>
          <w:sz w:val="28"/>
          <w:szCs w:val="28"/>
          <w:lang w:val="en-US" w:eastAsia="zh-CN"/>
        </w:rPr>
        <w:t>决算数与预算数一致，与上年相比持平，原因是上年及本年均无公务用车购置费情况，无相关费用支出</w:t>
      </w:r>
      <w:r>
        <w:rPr>
          <w:rFonts w:hint="eastAsia" w:asciiTheme="minorEastAsia" w:hAnsiTheme="minorEastAsia" w:eastAsiaTheme="minorEastAsia" w:cstheme="minorEastAsia"/>
          <w:sz w:val="28"/>
          <w:szCs w:val="28"/>
        </w:rPr>
        <w:t>。</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（二）“三公”经费财政拨款支出决算具体情况说明</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2021年度“三公”经费财政拨款支出决算中，公务接待费支出决算0.008万元，占100%,因公出国（境）费支出</w:t>
      </w:r>
      <w:r>
        <w:rPr>
          <w:rFonts w:hint="eastAsia" w:asciiTheme="minorEastAsia" w:hAnsiTheme="minorEastAsia" w:eastAsiaTheme="minorEastAsia" w:cstheme="minorEastAsia"/>
          <w:sz w:val="28"/>
          <w:szCs w:val="28"/>
          <w:lang w:val="en-US" w:eastAsia="zh-CN"/>
        </w:rPr>
        <w:t>预算为0万元，支出</w:t>
      </w:r>
      <w:r>
        <w:rPr>
          <w:rFonts w:hint="eastAsia" w:asciiTheme="minorEastAsia" w:hAnsiTheme="minorEastAsia" w:eastAsiaTheme="minorEastAsia" w:cstheme="minorEastAsia"/>
          <w:sz w:val="28"/>
          <w:szCs w:val="28"/>
        </w:rPr>
        <w:t>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因预算数为0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无法计算预算完成百分比。决算数与预算数一致，与上年相比持平，原因是上年及本年均无出国出境情况，无相关费用支出。公务用车购置费</w:t>
      </w:r>
      <w:r>
        <w:rPr>
          <w:rFonts w:hint="eastAsia" w:asciiTheme="minorEastAsia" w:hAnsiTheme="minorEastAsia" w:eastAsiaTheme="minorEastAsia" w:cstheme="minorEastAsia"/>
          <w:sz w:val="28"/>
          <w:szCs w:val="28"/>
        </w:rPr>
        <w:t>支出</w:t>
      </w:r>
      <w:r>
        <w:rPr>
          <w:rFonts w:hint="eastAsia" w:asciiTheme="minorEastAsia" w:hAnsiTheme="minorEastAsia" w:eastAsiaTheme="minorEastAsia" w:cstheme="minorEastAsia"/>
          <w:sz w:val="28"/>
          <w:szCs w:val="28"/>
          <w:lang w:val="en-US" w:eastAsia="zh-CN"/>
        </w:rPr>
        <w:t>预算为0万元，支出</w:t>
      </w:r>
      <w:r>
        <w:rPr>
          <w:rFonts w:hint="eastAsia" w:asciiTheme="minorEastAsia" w:hAnsiTheme="minorEastAsia" w:eastAsiaTheme="minorEastAsia" w:cstheme="minorEastAsia"/>
          <w:sz w:val="28"/>
          <w:szCs w:val="28"/>
        </w:rPr>
        <w:t>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因预算数为0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无法计算预算完成百分比。决算数与预算数一致，与上年相比持平，原因是上年及本年均无公务用车购置费情况，无相关费用支出。</w:t>
      </w:r>
      <w:r>
        <w:rPr>
          <w:rFonts w:hint="eastAsia" w:asciiTheme="minorEastAsia" w:hAnsiTheme="minorEastAsia" w:eastAsiaTheme="minorEastAsia" w:cstheme="minorEastAsia"/>
          <w:sz w:val="28"/>
          <w:szCs w:val="28"/>
        </w:rPr>
        <w:t>其中：</w:t>
      </w:r>
    </w:p>
    <w:p>
      <w:pPr>
        <w:pStyle w:val="5"/>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1、因公出国（境）费支出决算为0万元，全年安排因公出国（境）团组0个，累计0人次,开支内容包括：</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2、公务接待费支出决算为0.008万元，全年共接待来访团组0个、来宾5人次，主要是市质安站下来检查工作发生的接待支出。</w:t>
      </w:r>
    </w:p>
    <w:p>
      <w:pPr>
        <w:ind w:firstLine="700" w:firstLineChars="250"/>
        <w:rPr>
          <w:rFonts w:asciiTheme="minorEastAsia" w:hAnsiTheme="minorEastAsia" w:cstheme="minorEastAsia"/>
          <w:color w:val="000000"/>
          <w:kern w:val="0"/>
          <w:sz w:val="28"/>
          <w:szCs w:val="28"/>
        </w:rPr>
      </w:pPr>
      <w:r>
        <w:rPr>
          <w:rFonts w:hint="eastAsia" w:asciiTheme="minorEastAsia" w:hAnsiTheme="minorEastAsia" w:cstheme="minorEastAsia"/>
          <w:sz w:val="28"/>
          <w:szCs w:val="28"/>
        </w:rPr>
        <w:t>3、公务用车购置费及运行维护费支出决算为0万元，其中：公务用车购置费0万元</w:t>
      </w:r>
      <w:r>
        <w:rPr>
          <w:rFonts w:hint="eastAsia" w:asciiTheme="minorEastAsia" w:hAnsiTheme="minorEastAsia" w:cstheme="minorEastAsia"/>
          <w:color w:val="000000" w:themeColor="text1"/>
          <w:sz w:val="28"/>
          <w:szCs w:val="28"/>
        </w:rPr>
        <w:t>。</w:t>
      </w:r>
      <w:r>
        <w:rPr>
          <w:rFonts w:hint="eastAsia" w:asciiTheme="minorEastAsia" w:hAnsiTheme="minorEastAsia" w:cstheme="minorEastAsia"/>
          <w:sz w:val="28"/>
          <w:szCs w:val="28"/>
        </w:rPr>
        <w:t>公务用车运行维护费0万元，截止2021年12月31日，我单位开支财政拨款的公务用车保有量为0辆。</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八、政府性基金预算收入支出决算情况</w:t>
      </w:r>
    </w:p>
    <w:p>
      <w:pPr>
        <w:pStyle w:val="5"/>
        <w:ind w:firstLine="55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i/>
          <w:color w:val="FF0000"/>
          <w:sz w:val="28"/>
          <w:szCs w:val="28"/>
        </w:rPr>
        <w:t>本单位无政府性基金收支</w:t>
      </w:r>
    </w:p>
    <w:p>
      <w:pPr>
        <w:pStyle w:val="5"/>
        <w:ind w:firstLine="55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九、</w:t>
      </w:r>
      <w:r>
        <w:rPr>
          <w:rFonts w:hint="eastAsia" w:ascii="宋体" w:hAnsi="宋体" w:eastAsia="宋体" w:cs="宋体"/>
          <w:b/>
          <w:bCs/>
          <w:color w:val="333333"/>
          <w:sz w:val="28"/>
          <w:szCs w:val="28"/>
          <w:shd w:val="clear" w:color="auto" w:fill="FFFFFF"/>
        </w:rPr>
        <w:t>国有资本经营预算财政拨款支出决算情况</w:t>
      </w:r>
    </w:p>
    <w:p>
      <w:pPr>
        <w:pStyle w:val="5"/>
        <w:rPr>
          <w:rFonts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i/>
          <w:color w:val="FF0000"/>
          <w:sz w:val="28"/>
          <w:szCs w:val="28"/>
        </w:rPr>
        <w:t>本单位无</w:t>
      </w:r>
      <w:r>
        <w:rPr>
          <w:rFonts w:hint="eastAsia" w:ascii="宋体" w:hAnsi="宋体" w:eastAsia="宋体" w:cs="宋体"/>
          <w:color w:val="FF0000"/>
          <w:sz w:val="28"/>
          <w:szCs w:val="28"/>
          <w:shd w:val="clear" w:color="auto" w:fill="FFFFFF"/>
        </w:rPr>
        <w:t>国有资本经营预算财政拨款支出</w:t>
      </w:r>
    </w:p>
    <w:p>
      <w:pPr>
        <w:ind w:firstLine="420" w:firstLineChars="150"/>
        <w:rPr>
          <w:rFonts w:asciiTheme="minorEastAsia" w:hAnsiTheme="minorEastAsia" w:cstheme="minorEastAsia"/>
          <w:b/>
          <w:color w:val="000000"/>
          <w:kern w:val="0"/>
          <w:sz w:val="28"/>
          <w:szCs w:val="28"/>
        </w:rPr>
      </w:pPr>
      <w:r>
        <w:rPr>
          <w:rFonts w:hint="eastAsia" w:asciiTheme="minorEastAsia" w:hAnsiTheme="minorEastAsia" w:cstheme="minorEastAsia"/>
          <w:b/>
          <w:sz w:val="28"/>
          <w:szCs w:val="28"/>
        </w:rPr>
        <w:t>十、</w:t>
      </w:r>
      <w:r>
        <w:rPr>
          <w:rFonts w:hint="eastAsia" w:asciiTheme="minorEastAsia" w:hAnsiTheme="minorEastAsia" w:cstheme="minorEastAsia"/>
          <w:b/>
          <w:color w:val="000000"/>
          <w:kern w:val="0"/>
          <w:sz w:val="28"/>
          <w:szCs w:val="28"/>
        </w:rPr>
        <w:t>机关运行经费支出情况</w:t>
      </w:r>
    </w:p>
    <w:p>
      <w:pPr>
        <w:pStyle w:val="5"/>
        <w:rPr>
          <w:rFonts w:asciiTheme="minorEastAsia" w:hAnsiTheme="minorEastAsia" w:eastAsiaTheme="minorEastAsia" w:cstheme="minorEastAsia"/>
          <w:sz w:val="28"/>
          <w:szCs w:val="28"/>
        </w:rPr>
      </w:pPr>
      <w:r>
        <w:rPr>
          <w:rFonts w:hint="eastAsia" w:asciiTheme="minorEastAsia" w:hAnsiTheme="minorEastAsia" w:cstheme="minorEastAsia"/>
          <w:sz w:val="28"/>
          <w:szCs w:val="28"/>
        </w:rPr>
        <w:t>本部门2021 年度机关运行经费支出3.68万元，比年初预算数减少9.52万元，降低65%。主要原因是</w:t>
      </w:r>
      <w:r>
        <w:rPr>
          <w:rFonts w:hint="eastAsia" w:ascii="仿宋_GB2312" w:hAnsi="仿宋" w:eastAsia="仿宋_GB2312"/>
          <w:sz w:val="32"/>
          <w:szCs w:val="32"/>
        </w:rPr>
        <w:t>2021年经费紧张，很多费用都没有支付，所以公用支出减少得比较大。</w:t>
      </w:r>
    </w:p>
    <w:p>
      <w:pPr>
        <w:ind w:firstLine="560" w:firstLineChars="200"/>
        <w:rPr>
          <w:rFonts w:asciiTheme="minorEastAsia" w:hAnsiTheme="minorEastAsia" w:cstheme="minorEastAsia"/>
          <w:color w:val="000000"/>
          <w:kern w:val="0"/>
          <w:sz w:val="28"/>
          <w:szCs w:val="28"/>
        </w:rPr>
      </w:pPr>
    </w:p>
    <w:p>
      <w:pPr>
        <w:ind w:firstLine="560" w:firstLineChars="200"/>
        <w:rPr>
          <w:rFonts w:asciiTheme="minorEastAsia" w:hAnsiTheme="minorEastAsia" w:cstheme="minorEastAsia"/>
          <w:b/>
          <w:color w:val="000000"/>
          <w:kern w:val="0"/>
          <w:sz w:val="28"/>
          <w:szCs w:val="28"/>
        </w:rPr>
      </w:pPr>
      <w:r>
        <w:rPr>
          <w:rFonts w:hint="eastAsia" w:asciiTheme="minorEastAsia" w:hAnsiTheme="minorEastAsia" w:cstheme="minorEastAsia"/>
          <w:b/>
          <w:sz w:val="28"/>
          <w:szCs w:val="28"/>
        </w:rPr>
        <w:t>十一、</w:t>
      </w:r>
      <w:r>
        <w:rPr>
          <w:rFonts w:hint="eastAsia" w:asciiTheme="minorEastAsia" w:hAnsiTheme="minorEastAsia" w:cstheme="minorEastAsia"/>
          <w:b/>
          <w:color w:val="000000"/>
          <w:kern w:val="0"/>
          <w:sz w:val="28"/>
          <w:szCs w:val="28"/>
        </w:rPr>
        <w:t>一般性支出情况</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2021年本部门无开支会议费</w:t>
      </w:r>
    </w:p>
    <w:p>
      <w:pPr>
        <w:ind w:firstLine="560" w:firstLineChars="200"/>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十二、政府采购支出情况</w:t>
      </w:r>
    </w:p>
    <w:p>
      <w:pPr>
        <w:ind w:firstLine="560" w:firstLineChars="200"/>
        <w:rPr>
          <w:rFonts w:asciiTheme="minorEastAsia" w:hAnsiTheme="minorEastAsia" w:cstheme="minorEastAsia"/>
          <w:i/>
          <w:color w:val="FF0000"/>
          <w:kern w:val="0"/>
          <w:sz w:val="28"/>
          <w:szCs w:val="28"/>
        </w:rPr>
      </w:pPr>
      <w:r>
        <w:rPr>
          <w:rFonts w:hint="eastAsia" w:asciiTheme="minorEastAsia" w:hAnsiTheme="minorEastAsia" w:cstheme="minorEastAsia"/>
          <w:color w:val="000000"/>
          <w:kern w:val="0"/>
          <w:sz w:val="28"/>
          <w:szCs w:val="28"/>
        </w:rPr>
        <w:t>本部门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ind w:firstLine="420" w:firstLineChars="150"/>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十三、国有资产占用情况</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截至2021年12月31日，本单位共有车辆0辆，其中，领导干部用车0辆、机要通信用车0辆、应急保障用车0辆、执法执勤用车0辆、特种专业技术用车0辆、其他用车0辆，其他用车主要是……；单位价值50万元以上通用设备0台（套）；单位价值100万元以上专用设备0台（套）。</w:t>
      </w:r>
    </w:p>
    <w:p>
      <w:pPr>
        <w:pStyle w:val="5"/>
        <w:rPr>
          <w:rFonts w:asciiTheme="minorEastAsia" w:hAnsiTheme="minorEastAsia" w:eastAsiaTheme="minorEastAsia" w:cstheme="minorEastAsia"/>
          <w:b/>
          <w:sz w:val="28"/>
          <w:szCs w:val="28"/>
        </w:rPr>
      </w:pPr>
      <w:r>
        <w:rPr>
          <w:rFonts w:hint="eastAsia" w:asciiTheme="minorEastAsia" w:hAnsiTheme="minorEastAsia" w:cstheme="minorEastAsia"/>
          <w:b/>
          <w:sz w:val="28"/>
          <w:szCs w:val="28"/>
        </w:rPr>
        <w:t>十四、</w:t>
      </w:r>
      <w:r>
        <w:rPr>
          <w:rFonts w:hint="eastAsia" w:asciiTheme="minorEastAsia" w:hAnsiTheme="minorEastAsia" w:eastAsiaTheme="minorEastAsia" w:cstheme="minorEastAsia"/>
          <w:b/>
          <w:sz w:val="28"/>
          <w:szCs w:val="28"/>
        </w:rPr>
        <w:t>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根据预算绩效管理要求，我部门组织对</w:t>
      </w:r>
      <w:r>
        <w:rPr>
          <w:rFonts w:cs="黑体" w:asciiTheme="minorEastAsia" w:hAnsiTheme="minorEastAsia"/>
          <w:color w:val="000000"/>
          <w:kern w:val="0"/>
          <w:sz w:val="28"/>
          <w:szCs w:val="28"/>
        </w:rPr>
        <w:t xml:space="preserve">2021 </w:t>
      </w:r>
      <w:r>
        <w:rPr>
          <w:rFonts w:hint="eastAsia" w:cs="黑体" w:asciiTheme="minorEastAsia" w:hAnsiTheme="minorEastAsia"/>
          <w:color w:val="000000"/>
          <w:kern w:val="0"/>
          <w:sz w:val="28"/>
          <w:szCs w:val="28"/>
        </w:rPr>
        <w:t>年度一般公共预算项目支出全面开展绩效自评，其中，一级项目0个，二级项目0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个，共涉及资金0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万元，占一般公共预算项目支出总额的0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2021</w:t>
      </w:r>
      <w:r>
        <w:rPr>
          <w:rFonts w:hint="eastAsia" w:cs="黑体" w:asciiTheme="minorEastAsia" w:hAnsiTheme="minorEastAsia"/>
          <w:color w:val="000000"/>
          <w:kern w:val="0"/>
          <w:sz w:val="28"/>
          <w:szCs w:val="28"/>
        </w:rPr>
        <w:t>年度0、0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等0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个政府性基金预算项目支出开展绩效自评，共涉及资金0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万元，占政府性基金预算项目支出总额的0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 xml:space="preserve">2021 </w:t>
      </w:r>
      <w:r>
        <w:rPr>
          <w:rFonts w:hint="eastAsia" w:cs="黑体" w:asciiTheme="minorEastAsia" w:hAnsiTheme="minorEastAsia"/>
          <w:color w:val="000000"/>
          <w:kern w:val="0"/>
          <w:sz w:val="28"/>
          <w:szCs w:val="28"/>
        </w:rPr>
        <w:t>年度0、0等0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个国有资本经营预算项目支出开展绩效自评，共涉及资金0万元，占国有资本经营预算项目支出总额的0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组织对“0”等0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个项目开展了部门评价，涉及一般公共预算支出0万元，政府性基金预算支出0万元，国有资本经营预算支出0万元。从评价情况来看，（请对预算绩效评价情况进行简单说明）。</w:t>
      </w:r>
    </w:p>
    <w:p>
      <w:pPr>
        <w:widowControl/>
        <w:ind w:firstLine="560"/>
        <w:jc w:val="left"/>
        <w:rPr>
          <w:rFonts w:ascii="仿宋" w:hAnsi="仿宋" w:eastAsia="仿宋" w:cs="宋体"/>
          <w:color w:val="000000"/>
          <w:kern w:val="0"/>
          <w:sz w:val="24"/>
        </w:rPr>
      </w:pPr>
      <w:r>
        <w:rPr>
          <w:rFonts w:hint="eastAsia" w:cs="黑体" w:asciiTheme="minorEastAsia" w:hAnsiTheme="minorEastAsia"/>
          <w:color w:val="000000"/>
          <w:kern w:val="0"/>
          <w:sz w:val="28"/>
          <w:szCs w:val="28"/>
        </w:rPr>
        <w:t>组织对交通质安站等1个单位开展整体支出绩效评价，涉及一般公共预算支出93.6</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万元，政府性基金预算支出0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万元。从评价情况来看，</w:t>
      </w:r>
      <w:r>
        <w:rPr>
          <w:rFonts w:hint="eastAsia" w:ascii="仿宋" w:hAnsi="仿宋" w:eastAsia="仿宋" w:cs="宋体"/>
          <w:color w:val="000000"/>
          <w:kern w:val="0"/>
          <w:sz w:val="28"/>
          <w:szCs w:val="28"/>
        </w:rPr>
        <w:t>我单位组织对2021年度部门整体支出全面开展绩效自评，自评分为100分；取得了预期目标，得到上级社会各界一致好评，部门整体工作被评为县良好单位等。</w:t>
      </w:r>
    </w:p>
    <w:p>
      <w:pPr>
        <w:pStyle w:val="5"/>
        <w:ind w:firstLine="700" w:firstLineChars="250"/>
        <w:rPr>
          <w:rFonts w:ascii="仿宋" w:hAnsi="仿宋" w:eastAsia="仿宋" w:cstheme="minorEastAsia"/>
          <w:sz w:val="28"/>
          <w:szCs w:val="28"/>
        </w:rPr>
      </w:pPr>
      <w:r>
        <w:rPr>
          <w:rFonts w:hint="eastAsia" w:ascii="仿宋" w:hAnsi="仿宋" w:eastAsia="仿宋" w:cstheme="minorEastAsia"/>
          <w:sz w:val="28"/>
          <w:szCs w:val="28"/>
        </w:rPr>
        <w:t>本部门预算绩效管理开展情况、绩效目标和绩效评价报告等，按照财政绩效部门要求已公开或其他有关部门要求需随同部门决算一同公开的绩效信息，请作为附件公开）</w:t>
      </w:r>
      <w:r>
        <w:rPr>
          <w:rFonts w:hint="eastAsia" w:asciiTheme="minorEastAsia" w:hAnsiTheme="minorEastAsia"/>
          <w:sz w:val="28"/>
          <w:szCs w:val="28"/>
        </w:rPr>
        <w:t>。</w:t>
      </w:r>
    </w:p>
    <w:p>
      <w:pPr>
        <w:autoSpaceDE w:val="0"/>
        <w:autoSpaceDN w:val="0"/>
        <w:adjustRightInd w:val="0"/>
        <w:ind w:firstLine="560" w:firstLineChars="200"/>
        <w:jc w:val="left"/>
        <w:rPr>
          <w:rFonts w:cs="黑体" w:asciiTheme="minorEastAsia" w:hAnsiTheme="minorEastAsia"/>
          <w:b/>
          <w:color w:val="000000"/>
          <w:kern w:val="0"/>
          <w:sz w:val="28"/>
          <w:szCs w:val="28"/>
        </w:rPr>
      </w:pPr>
      <w:r>
        <w:rPr>
          <w:rFonts w:hint="eastAsia" w:cs="黑体" w:asciiTheme="minorEastAsia" w:hAnsiTheme="minorEastAsia"/>
          <w:b/>
          <w:color w:val="000000"/>
          <w:kern w:val="0"/>
          <w:sz w:val="28"/>
          <w:szCs w:val="28"/>
        </w:rPr>
        <w:t>（2）部门决算中项目绩效自评结果（如有）。</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项目绩效自评综述：根据年初设定的绩效目标，项目绩效自评得分为0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分。项目全年预算数为0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万元，执行数为0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万元，完成预算的0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。项目绩效目标完成情况：一是……；二是……。发现的主要问题及原因：一是……；二是……。下一步改进措施：一是……；二是……。</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b/>
          <w:color w:val="000000"/>
          <w:kern w:val="0"/>
          <w:sz w:val="28"/>
          <w:szCs w:val="28"/>
        </w:rPr>
        <w:t>（</w:t>
      </w:r>
      <w:r>
        <w:rPr>
          <w:rFonts w:cs="黑体" w:asciiTheme="minorEastAsia" w:hAnsiTheme="minorEastAsia"/>
          <w:b/>
          <w:color w:val="000000"/>
          <w:kern w:val="0"/>
          <w:sz w:val="28"/>
          <w:szCs w:val="28"/>
        </w:rPr>
        <w:t>3</w:t>
      </w:r>
      <w:r>
        <w:rPr>
          <w:rFonts w:hint="eastAsia" w:cs="黑体" w:asciiTheme="minorEastAsia" w:hAnsiTheme="minorEastAsia"/>
          <w:b/>
          <w:color w:val="000000"/>
          <w:kern w:val="0"/>
          <w:sz w:val="28"/>
          <w:szCs w:val="28"/>
        </w:rPr>
        <w:t>）部门评价项目绩效评价结果。</w:t>
      </w:r>
    </w:p>
    <w:p>
      <w:pPr>
        <w:pStyle w:val="5"/>
        <w:jc w:val="both"/>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 w:eastAsia="zh-CN"/>
        </w:rPr>
        <w:t>本单位已开展项目绩效自评，无需开展部门评价，因此无</w:t>
      </w:r>
      <w:r>
        <w:rPr>
          <w:rFonts w:hint="eastAsia" w:ascii="仿宋" w:hAnsi="仿宋" w:eastAsia="仿宋" w:cs="仿宋"/>
          <w:sz w:val="32"/>
          <w:szCs w:val="32"/>
          <w:u w:val="none"/>
          <w:lang w:val="en-US" w:eastAsia="zh-CN"/>
        </w:rPr>
        <w:t>部门评价项目绩效评价结果</w:t>
      </w:r>
    </w:p>
    <w:p>
      <w:pPr>
        <w:pStyle w:val="5"/>
        <w:jc w:val="both"/>
        <w:rPr>
          <w:rFonts w:hAnsi="黑体"/>
          <w:sz w:val="32"/>
          <w:szCs w:val="32"/>
        </w:rPr>
      </w:pPr>
      <w:bookmarkStart w:id="2" w:name="_GoBack"/>
      <w:bookmarkEnd w:id="2"/>
      <w:r>
        <w:rPr>
          <w:rFonts w:hint="eastAsia" w:hAnsi="黑体"/>
          <w:sz w:val="32"/>
          <w:szCs w:val="32"/>
        </w:rPr>
        <w:t>第四部分 名词解释</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一、收入科目</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财政拨款收入：指财政当年拨付的资金。</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二、支出科目</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1.基本支出：指为保障机构正常运转、完成日常工作任务而发生的人员支出和公用支出。</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2.项目支出：指在基本支出之外为完成特定行政任务和事业发展目标所发生的支出。</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3.年末结转和结余：指本年度或以前年度预算安排、因客观条件发生变化无法按原计划实施，需延迟到以后年度按有关规定继续使用的资金。</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三、“三公”经费</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四、机关运行经费</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5"/>
        <w:ind w:firstLine="640" w:firstLineChars="200"/>
        <w:jc w:val="both"/>
        <w:rPr>
          <w:rFonts w:hAnsi="黑体"/>
          <w:sz w:val="32"/>
          <w:szCs w:val="32"/>
        </w:rPr>
      </w:pPr>
      <w:r>
        <w:rPr>
          <w:rFonts w:hint="eastAsia" w:hAnsi="黑体"/>
          <w:sz w:val="32"/>
          <w:szCs w:val="32"/>
        </w:rPr>
        <w:t>第五部分 附件</w:t>
      </w:r>
    </w:p>
    <w:p>
      <w:pPr>
        <w:ind w:firstLine="560" w:firstLineChars="200"/>
        <w:jc w:val="center"/>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2021年度部门整体支出绩效评价报告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1F174C"/>
    <w:multiLevelType w:val="multilevel"/>
    <w:tmpl w:val="321F174C"/>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FiMGIxM2E1N2FhYTlmMzMxYjhlZmNkOWQxNDZhNTQifQ=="/>
  </w:docVars>
  <w:rsids>
    <w:rsidRoot w:val="196D3D59"/>
    <w:rsid w:val="00150D91"/>
    <w:rsid w:val="001A75BC"/>
    <w:rsid w:val="00322076"/>
    <w:rsid w:val="0036293B"/>
    <w:rsid w:val="00405243"/>
    <w:rsid w:val="00437561"/>
    <w:rsid w:val="004C279A"/>
    <w:rsid w:val="00571E2E"/>
    <w:rsid w:val="0059145B"/>
    <w:rsid w:val="006B317C"/>
    <w:rsid w:val="007E76EB"/>
    <w:rsid w:val="007F25D9"/>
    <w:rsid w:val="0089113D"/>
    <w:rsid w:val="00A20EAC"/>
    <w:rsid w:val="00A31B31"/>
    <w:rsid w:val="00A77B85"/>
    <w:rsid w:val="00AA33CF"/>
    <w:rsid w:val="00AB7DB7"/>
    <w:rsid w:val="00ED0ECE"/>
    <w:rsid w:val="00F07A6F"/>
    <w:rsid w:val="06983C28"/>
    <w:rsid w:val="0ACD5128"/>
    <w:rsid w:val="196D3D59"/>
    <w:rsid w:val="1A710F95"/>
    <w:rsid w:val="2F9874C3"/>
    <w:rsid w:val="36DC4165"/>
    <w:rsid w:val="383F5EE0"/>
    <w:rsid w:val="47FD5A57"/>
    <w:rsid w:val="4C8E2E4B"/>
    <w:rsid w:val="5313200B"/>
    <w:rsid w:val="5753429D"/>
    <w:rsid w:val="627B167E"/>
    <w:rsid w:val="71062E85"/>
    <w:rsid w:val="790A7FD0"/>
    <w:rsid w:val="7C3A1A78"/>
    <w:rsid w:val="7E232498"/>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rFonts w:cs="Times New Roman"/>
      <w:kern w:val="0"/>
      <w:sz w:val="24"/>
      <w:lang w:bidi="mn-Mong-CN"/>
    </w:rPr>
  </w:style>
  <w:style w:type="paragraph" w:customStyle="1" w:styleId="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6769</Words>
  <Characters>7604</Characters>
  <Lines>73</Lines>
  <Paragraphs>20</Paragraphs>
  <TotalTime>0</TotalTime>
  <ScaleCrop>false</ScaleCrop>
  <LinksUpToDate>false</LinksUpToDate>
  <CharactersWithSpaces>9183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2022-10-13T07:39:00Z</dcterms:created>
  <dc:creator>Administrator</dc:creator>
  <cp:lastModifiedBy>香香公主</cp:lastModifiedBy>
  <dcterms:modified xsi:type="dcterms:W3CDTF">2023-09-27T11:40:43Z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12E491ABB52F48B3B10442F7CA6CEB1A</vt:lpwstr>
  </property>
</Properties>
</file>