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/>
        <w:jc w:val="center"/>
        <w:rPr>
          <w:color w:val="auto"/>
          <w:sz w:val="44"/>
          <w:szCs w:val="44"/>
        </w:rPr>
      </w:pPr>
      <w:r>
        <w:rPr>
          <w:rFonts w:hint="eastAsia" w:ascii="黑体" w:hAnsi="宋体" w:eastAsia="黑体" w:cs="黑体"/>
          <w:b/>
          <w:color w:val="auto"/>
          <w:kern w:val="0"/>
          <w:sz w:val="44"/>
          <w:szCs w:val="44"/>
          <w:shd w:val="clear" w:color="auto" w:fill="F6F6F6"/>
          <w:lang w:val="en-US" w:eastAsia="zh-CN" w:bidi="ar"/>
        </w:rPr>
        <w:t>2022年新田县</w:t>
      </w:r>
      <w:r>
        <w:rPr>
          <w:rFonts w:hint="eastAsia" w:ascii="黑体" w:hAnsi="宋体" w:eastAsia="黑体" w:cs="黑体"/>
          <w:b/>
          <w:color w:val="auto"/>
          <w:kern w:val="0"/>
          <w:sz w:val="44"/>
          <w:szCs w:val="44"/>
          <w:u w:val="none"/>
          <w:shd w:val="clear" w:color="auto" w:fill="F6F6F6"/>
          <w:lang w:val="en-US" w:eastAsia="zh-CN" w:bidi="ar"/>
        </w:rPr>
        <w:t>司法局单位</w:t>
      </w:r>
      <w:r>
        <w:rPr>
          <w:rFonts w:hint="eastAsia" w:ascii="黑体" w:hAnsi="宋体" w:eastAsia="黑体" w:cs="黑体"/>
          <w:b/>
          <w:color w:val="auto"/>
          <w:kern w:val="0"/>
          <w:sz w:val="44"/>
          <w:szCs w:val="44"/>
          <w:shd w:val="clear" w:color="auto" w:fill="F6F6F6"/>
          <w:lang w:val="en-US" w:eastAsia="zh-CN" w:bidi="ar"/>
        </w:rPr>
        <w:t>部门预算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right="0"/>
        <w:jc w:val="center"/>
        <w:rPr>
          <w:rFonts w:hint="eastAsia" w:ascii="黑体" w:hAnsi="黑体" w:eastAsia="黑体" w:cs="黑体"/>
          <w:color w:val="auto"/>
          <w:sz w:val="44"/>
          <w:szCs w:val="44"/>
        </w:rPr>
      </w:pPr>
      <w:r>
        <w:rPr>
          <w:rFonts w:hint="eastAsia" w:ascii="黑体" w:hAnsi="黑体" w:eastAsia="黑体" w:cs="黑体"/>
          <w:color w:val="auto"/>
          <w:sz w:val="44"/>
          <w:szCs w:val="44"/>
        </w:rPr>
        <w:t>目 录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3" w:firstLineChars="200"/>
        <w:jc w:val="left"/>
        <w:rPr>
          <w:rFonts w:hint="eastAsia" w:ascii="楷体" w:hAnsi="楷体" w:eastAsia="楷体" w:cs="楷体"/>
          <w:b/>
          <w:bCs/>
          <w:color w:val="auto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eastAsia="zh-CN"/>
        </w:rPr>
        <w:t>第一部分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val="en-US" w:eastAsia="zh-CN"/>
        </w:rPr>
        <w:t xml:space="preserve"> 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202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val="en-US" w:eastAsia="zh-CN"/>
        </w:rPr>
        <w:t>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年部门预算说明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一、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部门基本概况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二、部门预算单位构成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三、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部门收支总体情况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四、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一般公共预算拨款支出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五、政府性基金预算支出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六、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其他重要事项的情况说明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七、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名词解释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3" w:firstLineChars="200"/>
        <w:jc w:val="left"/>
        <w:rPr>
          <w:rFonts w:hint="eastAsia" w:ascii="楷体" w:hAnsi="楷体" w:eastAsia="楷体" w:cs="楷体"/>
          <w:b/>
          <w:bCs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第二部分 202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val="en-US" w:eastAsia="zh-CN"/>
        </w:rPr>
        <w:t>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年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eastAsia="zh-CN"/>
        </w:rPr>
        <w:t>部门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预算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eastAsia="zh-CN"/>
        </w:rPr>
        <w:t>公开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1.收支总表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2.收入总表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.支出总表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.支出预算分类汇总表（按政府预算经济分类）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.支出预算分类汇总表（按部门预算经济分类）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6.财政拨款收支总表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7.一般公共预算支出表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8.一般公共预算基本支出表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9.一般公共预算基本支出表--人员经费(工资福利支出)(按政府预算经济分类)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10.一般公共预算基本支出表--人员经费(工资福利支出)(按部门预算经济分类)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11.一般公共预算基本支出表--人员经费(对个人和家庭的补助)(按政府预算经济分类)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12.一般公共预算基本支出表--人员经费(对个人和家庭的补助)（按部门预算经济分类）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13.一般公共预算基本支出表--公用经费(商品和服务支出)（按政府预算经济分类）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14.一般公共预算基本支出表--公用经费(商品和服务支出)(按部门预算经济分类)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15.一般公共预算“三公”经费支出表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16.政府性基金预算支出表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17.政府性基金预算支出分类汇总表（按政府预算经济分类）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18.政府性基金预算支出分类汇总表（按部门预算经济分类）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19.国有资本经营预算支出表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20.财政专户管理资金预算支出表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21.2022年部门整体支出绩效目标表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22.政府采购预算表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黑体" w:hAnsi="宋体" w:eastAsia="黑体" w:cs="黑体"/>
          <w:color w:val="000000" w:themeColor="text1"/>
          <w:kern w:val="0"/>
          <w:sz w:val="32"/>
          <w:szCs w:val="32"/>
          <w:shd w:val="clear" w:color="auto" w:fill="F6F6F6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23.政府购买服务支出预算表</w:t>
      </w:r>
    </w:p>
    <w:p>
      <w:pPr>
        <w:widowControl/>
        <w:spacing w:line="600" w:lineRule="exact"/>
        <w:ind w:firstLine="640" w:firstLineChars="200"/>
        <w:rPr>
          <w:rFonts w:eastAsia="仿宋_GB2312"/>
          <w:bCs/>
          <w:color w:val="auto"/>
          <w:kern w:val="0"/>
          <w:sz w:val="32"/>
          <w:szCs w:val="32"/>
        </w:rPr>
      </w:pPr>
      <w:r>
        <w:rPr>
          <w:rFonts w:eastAsia="仿宋_GB2312"/>
          <w:bCs/>
          <w:color w:val="auto"/>
          <w:kern w:val="0"/>
          <w:sz w:val="32"/>
          <w:szCs w:val="32"/>
        </w:rPr>
        <w:t>注：以上部门预算报表中，空表表示本部门无相关收支情况。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right="0"/>
        <w:jc w:val="left"/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/>
        <w:jc w:val="center"/>
        <w:rPr>
          <w:rFonts w:hint="eastAsia" w:ascii="黑体" w:hAnsi="宋体" w:eastAsia="黑体" w:cs="黑体"/>
          <w:b/>
          <w:color w:val="auto"/>
          <w:kern w:val="0"/>
          <w:sz w:val="36"/>
          <w:szCs w:val="36"/>
          <w:shd w:val="clear" w:color="auto" w:fill="F6F6F6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/>
        <w:jc w:val="center"/>
        <w:rPr>
          <w:color w:val="auto"/>
        </w:rPr>
      </w:pPr>
      <w:r>
        <w:rPr>
          <w:rFonts w:hint="eastAsia" w:ascii="黑体" w:hAnsi="宋体" w:eastAsia="黑体" w:cs="黑体"/>
          <w:b/>
          <w:color w:val="auto"/>
          <w:kern w:val="0"/>
          <w:sz w:val="36"/>
          <w:szCs w:val="36"/>
          <w:shd w:val="clear" w:color="auto" w:fill="F6F6F6"/>
          <w:lang w:val="en-US" w:eastAsia="zh-CN" w:bidi="ar"/>
        </w:rPr>
        <w:t>第一部分 2022年部门预算说明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一、部门基本概况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、职能职责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。</w:t>
      </w:r>
    </w:p>
    <w:p>
      <w:pPr>
        <w:widowControl/>
        <w:spacing w:line="600" w:lineRule="atLeast"/>
        <w:ind w:firstLine="627"/>
        <w:jc w:val="left"/>
        <w:rPr>
          <w:rFonts w:ascii="仿宋" w:hAnsi="仿宋" w:eastAsia="仿宋" w:cs="仿宋_GB2312"/>
          <w:b/>
          <w:sz w:val="32"/>
          <w:szCs w:val="32"/>
        </w:rPr>
      </w:pPr>
      <w:r>
        <w:rPr>
          <w:rFonts w:ascii="仿宋" w:hAnsi="仿宋" w:eastAsia="仿宋" w:cs="仿宋_GB2312"/>
          <w:b/>
          <w:sz w:val="32"/>
          <w:szCs w:val="32"/>
        </w:rPr>
        <w:t>1、职能职责</w:t>
      </w:r>
    </w:p>
    <w:p>
      <w:pPr>
        <w:numPr>
          <w:ilvl w:val="0"/>
          <w:numId w:val="1"/>
        </w:numPr>
        <w:tabs>
          <w:tab w:val="left" w:pos="840"/>
          <w:tab w:val="clear" w:pos="0"/>
        </w:tabs>
        <w:spacing w:line="560" w:lineRule="exact"/>
        <w:ind w:left="-10" w:leftChars="0" w:firstLine="640" w:firstLineChars="0"/>
        <w:rPr>
          <w:rFonts w:hint="eastAsia"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承担全面依法治县重大问题的政策研究，协调有关方面提出全面依法治县中长期规划建议，负责有关重大决策部署督察工作。</w:t>
      </w:r>
    </w:p>
    <w:p>
      <w:pPr>
        <w:numPr>
          <w:ilvl w:val="0"/>
          <w:numId w:val="1"/>
        </w:numPr>
        <w:tabs>
          <w:tab w:val="left" w:pos="420"/>
          <w:tab w:val="clear" w:pos="0"/>
        </w:tabs>
        <w:spacing w:line="560" w:lineRule="exact"/>
        <w:ind w:left="-10" w:leftChars="0" w:firstLine="640" w:firstLineChars="0"/>
        <w:rPr>
          <w:rFonts w:hint="eastAsia"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承担上级立法调研协调工作。配合开展立法规划和年度立法工作计划的调研工作，协调有关方面提出立法规划和年度立法工作计划的建议。</w:t>
      </w:r>
    </w:p>
    <w:p>
      <w:pPr>
        <w:numPr>
          <w:ilvl w:val="0"/>
          <w:numId w:val="1"/>
        </w:numPr>
        <w:tabs>
          <w:tab w:val="left" w:pos="420"/>
          <w:tab w:val="clear" w:pos="0"/>
        </w:tabs>
        <w:spacing w:line="560" w:lineRule="exact"/>
        <w:ind w:left="-10" w:leftChars="0" w:firstLine="640" w:firstLineChars="0"/>
        <w:rPr>
          <w:rFonts w:hint="eastAsia"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指导全县规范性文件管理有关工作，承担县政府规范性文件送审稿的合法性审查工作，承办县政府及其部门规范性文件的登记工作。负责县政府规范性文件向市政府报送备案工作。受理有关规范性文件是否违法的审查申请。组织开展规范性文件清理工作。承担县政府法律顾问工作，负责对县政府重大行政决策进行合法性审查或论证说明。</w:t>
      </w:r>
    </w:p>
    <w:p>
      <w:pPr>
        <w:tabs>
          <w:tab w:val="left" w:pos="0"/>
        </w:tabs>
        <w:spacing w:line="560" w:lineRule="exact"/>
        <w:ind w:firstLine="640" w:firstLineChars="200"/>
        <w:rPr>
          <w:rFonts w:hint="eastAsia"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（四）承担统筹推进法治政府建设的责任。指导、监督县政府各部门、各乡镇政府依法行政工作。负责综合协调行政执法，承担推进行政执法体制改革有关工作，推进严格规范公正文明执法。承办向县政府申请的行政复议案件。指导、监督全县行政复议、行政赔偿和行政应诉工作，负责县政府行政复议和行政应诉案件办理工作。承担县政府行政复议办公室的日常工作。</w:t>
      </w:r>
    </w:p>
    <w:p>
      <w:pPr>
        <w:tabs>
          <w:tab w:val="left" w:pos="0"/>
        </w:tabs>
        <w:spacing w:line="560" w:lineRule="exact"/>
        <w:ind w:firstLine="640" w:firstLineChars="200"/>
        <w:rPr>
          <w:rFonts w:hint="eastAsia"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（五）承担统筹规划全县法治社会建设的责任。负责拟订法治宣传教育规划，组织实施普法宣传工作，组织对外法治宣传。推动人民参与和促进法治建设。指导依法治理和法治创建工作。指导人民调解工作和人民陪审员、人民监督员选任管理工作，推进司法所建设。</w:t>
      </w:r>
    </w:p>
    <w:p>
      <w:pPr>
        <w:tabs>
          <w:tab w:val="left" w:pos="0"/>
        </w:tabs>
        <w:spacing w:line="560" w:lineRule="exact"/>
        <w:ind w:firstLine="640" w:firstLineChars="200"/>
        <w:rPr>
          <w:rFonts w:hint="eastAsia"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（六）指导、管理社区矫正工作。指导刑满释放人员帮教安置工作。</w:t>
      </w:r>
    </w:p>
    <w:p>
      <w:pPr>
        <w:tabs>
          <w:tab w:val="left" w:pos="0"/>
        </w:tabs>
        <w:spacing w:line="560" w:lineRule="exact"/>
        <w:ind w:firstLine="640" w:firstLineChars="200"/>
        <w:rPr>
          <w:rFonts w:hint="eastAsia"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（七）负责拟订公共法律服务体系建设规划并指导实施，统筹和布局城乡、区域法律服务资源。指导、监督律师、法律援助、司法鉴定、公证和基层法律服务管理工作。</w:t>
      </w:r>
    </w:p>
    <w:p>
      <w:pPr>
        <w:tabs>
          <w:tab w:val="left" w:pos="0"/>
        </w:tabs>
        <w:spacing w:line="560" w:lineRule="exact"/>
        <w:ind w:firstLine="640" w:firstLineChars="200"/>
        <w:rPr>
          <w:rFonts w:hint="eastAsia"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（八）负责全县法治对外合作工作。（九）负责本系统服装和警车管理工作，指导、监督本系统财务、装备、设施、场所等保障工作。</w:t>
      </w:r>
    </w:p>
    <w:p>
      <w:pPr>
        <w:tabs>
          <w:tab w:val="left" w:pos="0"/>
        </w:tabs>
        <w:spacing w:line="560" w:lineRule="exact"/>
        <w:ind w:firstLine="640" w:firstLineChars="200"/>
        <w:rPr>
          <w:rFonts w:hint="eastAsia"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（十）规划、协调、指导法治人才队伍建设相关工作。</w:t>
      </w:r>
    </w:p>
    <w:p>
      <w:pPr>
        <w:tabs>
          <w:tab w:val="left" w:pos="0"/>
        </w:tabs>
        <w:spacing w:line="560" w:lineRule="exact"/>
        <w:ind w:left="420" w:leftChars="200" w:firstLine="320" w:firstLineChars="100"/>
        <w:rPr>
          <w:rFonts w:hint="eastAsia"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(十一）承办县委、县政府交办的其他任务。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</w:p>
    <w:p>
      <w:pPr>
        <w:pStyle w:val="3"/>
        <w:numPr>
          <w:ilvl w:val="0"/>
          <w:numId w:val="2"/>
        </w:numPr>
        <w:spacing w:before="0" w:beforeAutospacing="0" w:after="0" w:afterAutospacing="0" w:line="600" w:lineRule="exact"/>
        <w:ind w:firstLine="640" w:firstLineChars="200"/>
        <w:jc w:val="both"/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机构设置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。</w:t>
      </w:r>
    </w:p>
    <w:p>
      <w:pPr>
        <w:pStyle w:val="3"/>
        <w:numPr>
          <w:ilvl w:val="0"/>
          <w:numId w:val="0"/>
        </w:numPr>
        <w:spacing w:before="0" w:beforeAutospacing="0" w:after="0" w:afterAutospacing="0" w:line="600" w:lineRule="exact"/>
        <w:ind w:firstLine="640" w:firstLineChars="200"/>
        <w:jc w:val="both"/>
        <w:rPr>
          <w:rFonts w:ascii="仿宋" w:hAnsi="仿宋" w:eastAsia="仿宋" w:cs="仿宋_GB2312"/>
          <w:kern w:val="2"/>
          <w:sz w:val="32"/>
          <w:szCs w:val="32"/>
        </w:rPr>
      </w:pPr>
      <w:r>
        <w:rPr>
          <w:rFonts w:ascii="仿宋" w:hAnsi="仿宋" w:eastAsia="仿宋" w:cs="仿宋_GB2312"/>
          <w:kern w:val="2"/>
          <w:sz w:val="32"/>
          <w:szCs w:val="32"/>
        </w:rPr>
        <w:t>根据编委核定，我</w:t>
      </w:r>
      <w:r>
        <w:rPr>
          <w:rFonts w:hint="eastAsia" w:ascii="仿宋" w:hAnsi="仿宋" w:eastAsia="仿宋" w:cs="仿宋_GB2312"/>
          <w:kern w:val="2"/>
          <w:sz w:val="32"/>
          <w:szCs w:val="32"/>
        </w:rPr>
        <w:t>局</w:t>
      </w:r>
      <w:r>
        <w:rPr>
          <w:rFonts w:ascii="仿宋" w:hAnsi="仿宋" w:eastAsia="仿宋" w:cs="仿宋_GB2312"/>
          <w:kern w:val="2"/>
          <w:sz w:val="32"/>
          <w:szCs w:val="32"/>
        </w:rPr>
        <w:t>内设</w:t>
      </w:r>
      <w:r>
        <w:rPr>
          <w:rFonts w:hint="eastAsia" w:ascii="仿宋" w:hAnsi="仿宋" w:eastAsia="仿宋" w:cs="仿宋_GB2312"/>
          <w:kern w:val="2"/>
          <w:sz w:val="32"/>
          <w:szCs w:val="32"/>
        </w:rPr>
        <w:t>股室10</w:t>
      </w:r>
      <w:r>
        <w:rPr>
          <w:rFonts w:ascii="仿宋" w:hAnsi="仿宋" w:eastAsia="仿宋" w:cs="仿宋_GB2312"/>
          <w:kern w:val="2"/>
          <w:sz w:val="32"/>
          <w:szCs w:val="32"/>
        </w:rPr>
        <w:t>个，所属单位</w:t>
      </w:r>
      <w:r>
        <w:rPr>
          <w:rFonts w:hint="eastAsia" w:ascii="仿宋" w:hAnsi="仿宋" w:eastAsia="仿宋" w:cs="仿宋_GB2312"/>
          <w:kern w:val="2"/>
          <w:sz w:val="32"/>
          <w:szCs w:val="32"/>
        </w:rPr>
        <w:t>15</w:t>
      </w:r>
      <w:r>
        <w:rPr>
          <w:rFonts w:ascii="仿宋" w:hAnsi="仿宋" w:eastAsia="仿宋" w:cs="仿宋_GB2312"/>
          <w:kern w:val="2"/>
          <w:sz w:val="32"/>
          <w:szCs w:val="32"/>
        </w:rPr>
        <w:t>个。</w:t>
      </w:r>
    </w:p>
    <w:p>
      <w:pPr>
        <w:pStyle w:val="3"/>
        <w:spacing w:before="0" w:beforeAutospacing="0" w:after="0" w:afterAutospacing="0" w:line="600" w:lineRule="exact"/>
        <w:ind w:firstLine="640" w:firstLineChars="200"/>
        <w:jc w:val="both"/>
        <w:rPr>
          <w:rFonts w:hint="eastAsia" w:ascii="仿宋" w:hAnsi="仿宋" w:eastAsia="仿宋" w:cs="仿宋_GB2312"/>
          <w:kern w:val="2"/>
          <w:sz w:val="32"/>
          <w:szCs w:val="32"/>
        </w:rPr>
      </w:pPr>
      <w:r>
        <w:rPr>
          <w:rFonts w:ascii="仿宋" w:hAnsi="仿宋" w:eastAsia="仿宋" w:cs="仿宋_GB2312"/>
          <w:kern w:val="2"/>
          <w:sz w:val="32"/>
          <w:szCs w:val="32"/>
        </w:rPr>
        <w:t>内设</w:t>
      </w:r>
      <w:r>
        <w:rPr>
          <w:rFonts w:hint="eastAsia" w:ascii="仿宋" w:hAnsi="仿宋" w:eastAsia="仿宋" w:cs="仿宋_GB2312"/>
          <w:kern w:val="2"/>
          <w:sz w:val="32"/>
          <w:szCs w:val="32"/>
        </w:rPr>
        <w:t>股</w:t>
      </w:r>
      <w:r>
        <w:rPr>
          <w:rFonts w:ascii="仿宋" w:hAnsi="仿宋" w:eastAsia="仿宋" w:cs="仿宋_GB2312"/>
          <w:kern w:val="2"/>
          <w:sz w:val="32"/>
          <w:szCs w:val="32"/>
        </w:rPr>
        <w:t>室分别是</w:t>
      </w:r>
      <w:r>
        <w:rPr>
          <w:rFonts w:hint="eastAsia" w:ascii="仿宋" w:hAnsi="仿宋" w:eastAsia="仿宋" w:cs="仿宋_GB2312"/>
          <w:kern w:val="2"/>
          <w:sz w:val="32"/>
          <w:szCs w:val="32"/>
        </w:rPr>
        <w:t>机关办公室、法治调研与督察股、社区矫正管理股、行政复议与应诉股、行政执法协调监督股、普法与依法治理股、人民参与和促进法治股、公共法律服务管理股、装备财务保障股、</w:t>
      </w:r>
      <w:r>
        <w:rPr>
          <w:rFonts w:hint="eastAsia" w:ascii="仿宋" w:hAnsi="仿宋" w:eastAsia="仿宋" w:cs="仿宋_GB2312"/>
          <w:kern w:val="2"/>
          <w:sz w:val="32"/>
          <w:szCs w:val="32"/>
          <w:lang w:eastAsia="zh-CN"/>
        </w:rPr>
        <w:t>政工室</w:t>
      </w:r>
      <w:r>
        <w:rPr>
          <w:rFonts w:hint="eastAsia" w:ascii="仿宋" w:hAnsi="仿宋" w:eastAsia="仿宋" w:cs="仿宋_GB2312"/>
          <w:kern w:val="2"/>
          <w:sz w:val="32"/>
          <w:szCs w:val="32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ascii="仿宋" w:hAnsi="仿宋" w:eastAsia="仿宋" w:cs="仿宋_GB2312"/>
          <w:kern w:val="2"/>
          <w:sz w:val="32"/>
          <w:szCs w:val="32"/>
        </w:rPr>
        <w:t>所属单位分别是</w:t>
      </w:r>
      <w:r>
        <w:rPr>
          <w:rFonts w:hint="eastAsia" w:ascii="仿宋" w:hAnsi="仿宋" w:eastAsia="仿宋" w:cs="仿宋_GB2312"/>
          <w:kern w:val="2"/>
          <w:sz w:val="32"/>
          <w:szCs w:val="32"/>
        </w:rPr>
        <w:t>12个乡镇司法所、县法律援助中心、公证处，湖南天常律师事务所。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二、部门预算单位构成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" w:hAnsi="仿宋" w:eastAsia="仿宋" w:cs="仿宋_GB2312"/>
          <w:kern w:val="2"/>
          <w:sz w:val="32"/>
          <w:szCs w:val="32"/>
        </w:rPr>
      </w:pPr>
      <w:r>
        <w:rPr>
          <w:rFonts w:hint="eastAsia" w:ascii="仿宋" w:hAnsi="仿宋" w:eastAsia="仿宋" w:cs="仿宋_GB2312"/>
          <w:kern w:val="2"/>
          <w:sz w:val="32"/>
          <w:szCs w:val="32"/>
        </w:rPr>
        <w:t>司法局机关及司法所政法专项编制为41人，事业编制14人，实有人数93人(其中聘请人员38名)，退休人员1</w:t>
      </w:r>
      <w:r>
        <w:rPr>
          <w:rFonts w:hint="eastAsia" w:ascii="仿宋" w:hAnsi="仿宋" w:eastAsia="仿宋" w:cs="仿宋_GB2312"/>
          <w:kern w:val="2"/>
          <w:sz w:val="32"/>
          <w:szCs w:val="32"/>
          <w:lang w:eastAsia="zh-CN"/>
        </w:rPr>
        <w:t>9</w:t>
      </w:r>
      <w:r>
        <w:rPr>
          <w:rFonts w:hint="eastAsia" w:ascii="仿宋" w:hAnsi="仿宋" w:eastAsia="仿宋" w:cs="仿宋_GB2312"/>
          <w:kern w:val="2"/>
          <w:sz w:val="32"/>
          <w:szCs w:val="32"/>
        </w:rPr>
        <w:t>人，实有车辆1台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三、部门收支总体情况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202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年部门预算即我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本级预算。我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202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年没有政府性基金预算拨款、国有资本经营预算收入和纳入专户管理的非税收入拨款收入，也没有使用政府性基金预算拨款、国有资本经营预算收入和纳入专户管理的非税收入拨款安排的支出，所以公开的附件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16、17、18、19、20</w:t>
      </w:r>
      <w:bookmarkStart w:id="0" w:name="_GoBack"/>
      <w:bookmarkEnd w:id="0"/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表均为空。收入包括经费拨款，也包括行政事业性收费收入和国有资源有偿使用收入；支出包括保障机关及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所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属事业单位基本运行的经费，等项目经费。</w:t>
      </w:r>
    </w:p>
    <w:p>
      <w:pPr>
        <w:widowControl/>
        <w:spacing w:line="600" w:lineRule="exact"/>
        <w:ind w:firstLine="643" w:firstLineChars="200"/>
        <w:rPr>
          <w:rFonts w:eastAsia="仿宋_GB2312"/>
          <w:b w:val="0"/>
          <w:bCs/>
          <w:color w:val="auto"/>
          <w:sz w:val="32"/>
          <w:szCs w:val="32"/>
        </w:rPr>
      </w:pPr>
      <w:r>
        <w:rPr>
          <w:rFonts w:eastAsia="楷体_GB2312"/>
          <w:b/>
          <w:color w:val="auto"/>
          <w:sz w:val="32"/>
          <w:szCs w:val="32"/>
        </w:rPr>
        <w:t>（一）收入预算：</w:t>
      </w:r>
      <w:r>
        <w:rPr>
          <w:rFonts w:eastAsia="仿宋_GB2312"/>
          <w:color w:val="auto"/>
          <w:sz w:val="32"/>
          <w:szCs w:val="32"/>
        </w:rPr>
        <w:t>包括一般公共预算、政府性基金、国有资本经营预算等财政拨款收入，以及经营收入、事业收入等单位资金。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2022</w:t>
      </w:r>
      <w:r>
        <w:rPr>
          <w:rFonts w:eastAsia="仿宋_GB2312"/>
          <w:color w:val="auto"/>
          <w:sz w:val="32"/>
          <w:szCs w:val="32"/>
        </w:rPr>
        <w:t>年本部门收入预算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1052.86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万元，其中，一般公共预算拨款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972.86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万元，政府性基金预算拨款</w:t>
      </w:r>
      <w:r>
        <w:rPr>
          <w:rFonts w:eastAsia="仿宋_GB2312"/>
          <w:color w:val="auto"/>
          <w:sz w:val="32"/>
          <w:szCs w:val="32"/>
          <w:u w:val="single"/>
        </w:rPr>
        <w:t xml:space="preserve">   </w:t>
      </w:r>
      <w:r>
        <w:rPr>
          <w:rFonts w:eastAsia="仿宋_GB2312"/>
          <w:color w:val="auto"/>
          <w:sz w:val="32"/>
          <w:szCs w:val="32"/>
        </w:rPr>
        <w:t>万元，国有资本经营预算拨款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万元，纳入专户管理的非税收入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23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</w:t>
      </w:r>
      <w:r>
        <w:rPr>
          <w:rFonts w:hint="eastAsia" w:eastAsia="仿宋_GB2312"/>
          <w:color w:val="auto"/>
          <w:sz w:val="32"/>
          <w:szCs w:val="32"/>
          <w:lang w:eastAsia="zh-CN"/>
        </w:rPr>
        <w:t>，上级财政补助收入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80万元。</w:t>
      </w:r>
      <w:r>
        <w:rPr>
          <w:rFonts w:eastAsia="仿宋_GB2312"/>
          <w:b/>
          <w:color w:val="auto"/>
          <w:sz w:val="32"/>
          <w:szCs w:val="32"/>
        </w:rPr>
        <w:t>收入较去年增加</w:t>
      </w:r>
      <w:r>
        <w:rPr>
          <w:rFonts w:eastAsia="仿宋_GB2312"/>
          <w:b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b/>
          <w:color w:val="auto"/>
          <w:sz w:val="32"/>
          <w:szCs w:val="32"/>
          <w:u w:val="single"/>
          <w:lang w:val="en-US" w:eastAsia="zh-CN"/>
        </w:rPr>
        <w:t>246.95</w:t>
      </w:r>
      <w:r>
        <w:rPr>
          <w:rFonts w:eastAsia="仿宋_GB2312"/>
          <w:b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b/>
          <w:color w:val="auto"/>
          <w:sz w:val="32"/>
          <w:szCs w:val="32"/>
        </w:rPr>
        <w:t>万元，</w:t>
      </w:r>
      <w:r>
        <w:rPr>
          <w:rFonts w:eastAsia="仿宋_GB2312"/>
          <w:b w:val="0"/>
          <w:bCs/>
          <w:color w:val="auto"/>
          <w:sz w:val="32"/>
          <w:szCs w:val="32"/>
        </w:rPr>
        <w:t>主要是</w:t>
      </w:r>
      <w:r>
        <w:rPr>
          <w:rFonts w:hint="eastAsia" w:eastAsia="仿宋_GB2312"/>
          <w:b w:val="0"/>
          <w:bCs/>
          <w:color w:val="auto"/>
          <w:sz w:val="32"/>
          <w:szCs w:val="32"/>
          <w:lang w:eastAsia="zh-CN"/>
        </w:rPr>
        <w:t>五险一金、社会保险，上级补助纳入预算</w:t>
      </w:r>
      <w:r>
        <w:rPr>
          <w:rFonts w:eastAsia="仿宋_GB2312"/>
          <w:b w:val="0"/>
          <w:bCs/>
          <w:color w:val="auto"/>
          <w:sz w:val="32"/>
          <w:szCs w:val="32"/>
        </w:rPr>
        <w:t>。</w:t>
      </w:r>
    </w:p>
    <w:p>
      <w:pPr>
        <w:widowControl/>
        <w:spacing w:line="600" w:lineRule="exact"/>
        <w:ind w:firstLine="630" w:firstLineChars="196"/>
        <w:jc w:val="left"/>
        <w:rPr>
          <w:rFonts w:eastAsia="仿宋_GB2312"/>
          <w:b w:val="0"/>
          <w:bCs/>
          <w:color w:val="auto"/>
          <w:sz w:val="32"/>
          <w:szCs w:val="32"/>
        </w:rPr>
      </w:pPr>
      <w:r>
        <w:rPr>
          <w:rFonts w:eastAsia="楷体_GB2312"/>
          <w:b/>
          <w:color w:val="auto"/>
          <w:sz w:val="32"/>
          <w:szCs w:val="32"/>
        </w:rPr>
        <w:t>（二）支出预算：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2022</w:t>
      </w:r>
      <w:r>
        <w:rPr>
          <w:rFonts w:eastAsia="仿宋_GB2312"/>
          <w:color w:val="auto"/>
          <w:sz w:val="32"/>
          <w:szCs w:val="32"/>
        </w:rPr>
        <w:t>年本部门支出预算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1052.86</w:t>
      </w:r>
      <w:r>
        <w:rPr>
          <w:rFonts w:eastAsia="仿宋_GB2312"/>
          <w:color w:val="auto"/>
          <w:sz w:val="32"/>
          <w:szCs w:val="32"/>
        </w:rPr>
        <w:t>万元，其中，一般公共服务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万元，公共安全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916.7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万元，教育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万元，科学技术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万元，</w:t>
      </w:r>
      <w:r>
        <w:rPr>
          <w:rFonts w:hint="eastAsia" w:eastAsia="仿宋_GB2312"/>
          <w:color w:val="auto"/>
          <w:sz w:val="32"/>
          <w:szCs w:val="32"/>
          <w:lang w:eastAsia="zh-CN"/>
        </w:rPr>
        <w:t>社会保障支出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60.16万元，卫生健康支出31.94万元，住房保障支出44.06万元</w:t>
      </w:r>
      <w:r>
        <w:rPr>
          <w:rFonts w:eastAsia="仿宋_GB2312"/>
          <w:color w:val="auto"/>
          <w:sz w:val="32"/>
          <w:szCs w:val="32"/>
        </w:rPr>
        <w:t>。</w:t>
      </w:r>
      <w:r>
        <w:rPr>
          <w:rFonts w:eastAsia="仿宋_GB2312"/>
          <w:b w:val="0"/>
          <w:bCs/>
          <w:color w:val="auto"/>
          <w:sz w:val="32"/>
          <w:szCs w:val="32"/>
        </w:rPr>
        <w:t>支出较去年增加</w:t>
      </w:r>
      <w:r>
        <w:rPr>
          <w:rFonts w:hint="eastAsia" w:eastAsia="仿宋_GB2312"/>
          <w:b w:val="0"/>
          <w:bCs/>
          <w:color w:val="auto"/>
          <w:sz w:val="32"/>
          <w:szCs w:val="32"/>
          <w:lang w:val="en-US" w:eastAsia="zh-CN"/>
        </w:rPr>
        <w:t>246.95</w:t>
      </w:r>
      <w:r>
        <w:rPr>
          <w:rFonts w:eastAsia="仿宋_GB2312"/>
          <w:b w:val="0"/>
          <w:bCs/>
          <w:color w:val="auto"/>
          <w:sz w:val="32"/>
          <w:szCs w:val="32"/>
        </w:rPr>
        <w:t>万元，主要是</w:t>
      </w:r>
      <w:r>
        <w:rPr>
          <w:rFonts w:hint="eastAsia" w:eastAsia="仿宋_GB2312"/>
          <w:b w:val="0"/>
          <w:bCs/>
          <w:color w:val="auto"/>
          <w:sz w:val="32"/>
          <w:szCs w:val="32"/>
          <w:lang w:eastAsia="zh-CN"/>
        </w:rPr>
        <w:t>新增社会保障支出、住房保障支出等</w:t>
      </w:r>
      <w:r>
        <w:rPr>
          <w:rFonts w:eastAsia="仿宋_GB2312"/>
          <w:b w:val="0"/>
          <w:bCs/>
          <w:color w:val="auto"/>
          <w:sz w:val="32"/>
          <w:szCs w:val="32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四、一般公共预算拨款支出</w:t>
      </w:r>
    </w:p>
    <w:p>
      <w:pPr>
        <w:widowControl/>
        <w:spacing w:line="600" w:lineRule="exact"/>
        <w:ind w:firstLine="660"/>
        <w:jc w:val="left"/>
        <w:rPr>
          <w:rFonts w:eastAsia="黑体"/>
          <w:color w:val="auto"/>
          <w:sz w:val="32"/>
          <w:szCs w:val="32"/>
        </w:rPr>
      </w:pPr>
      <w:r>
        <w:rPr>
          <w:rFonts w:hint="eastAsia" w:eastAsia="仿宋_GB2312"/>
          <w:color w:val="auto"/>
          <w:sz w:val="32"/>
          <w:szCs w:val="32"/>
          <w:lang w:val="en-US" w:eastAsia="zh-CN"/>
        </w:rPr>
        <w:t>2022</w:t>
      </w:r>
      <w:r>
        <w:rPr>
          <w:rFonts w:eastAsia="仿宋_GB2312"/>
          <w:color w:val="auto"/>
          <w:sz w:val="32"/>
          <w:szCs w:val="32"/>
        </w:rPr>
        <w:t>年本部门一般公共预算拨款支出预算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1052.86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万元，其中，一般公共服务支出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万元，占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 xml:space="preserve"> %；公共安全支出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916.7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万元，占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87.1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 xml:space="preserve"> %；</w:t>
      </w:r>
      <w:r>
        <w:rPr>
          <w:rFonts w:hint="eastAsia" w:eastAsia="仿宋_GB2312"/>
          <w:color w:val="auto"/>
          <w:sz w:val="32"/>
          <w:szCs w:val="32"/>
          <w:lang w:eastAsia="zh-CN"/>
        </w:rPr>
        <w:t>社会保障支出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60.16万元，</w:t>
      </w:r>
      <w:r>
        <w:rPr>
          <w:rFonts w:eastAsia="仿宋_GB2312"/>
          <w:color w:val="auto"/>
          <w:sz w:val="32"/>
          <w:szCs w:val="32"/>
        </w:rPr>
        <w:t>占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5.7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 xml:space="preserve"> %</w:t>
      </w:r>
      <w:r>
        <w:rPr>
          <w:rFonts w:hint="eastAsia" w:eastAsia="仿宋_GB2312"/>
          <w:color w:val="auto"/>
          <w:sz w:val="32"/>
          <w:szCs w:val="32"/>
          <w:lang w:eastAsia="zh-CN"/>
        </w:rPr>
        <w:t>；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卫生健康支出31.94万元，</w:t>
      </w:r>
      <w:r>
        <w:rPr>
          <w:rFonts w:eastAsia="仿宋_GB2312"/>
          <w:color w:val="auto"/>
          <w:sz w:val="32"/>
          <w:szCs w:val="32"/>
        </w:rPr>
        <w:t>占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0.3</w:t>
      </w:r>
      <w:r>
        <w:rPr>
          <w:rFonts w:eastAsia="仿宋_GB2312"/>
          <w:color w:val="auto"/>
          <w:sz w:val="32"/>
          <w:szCs w:val="32"/>
        </w:rPr>
        <w:t xml:space="preserve"> %</w:t>
      </w:r>
      <w:r>
        <w:rPr>
          <w:rFonts w:hint="eastAsia" w:eastAsia="仿宋_GB2312"/>
          <w:color w:val="auto"/>
          <w:sz w:val="32"/>
          <w:szCs w:val="32"/>
          <w:lang w:eastAsia="zh-CN"/>
        </w:rPr>
        <w:t>；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住房保障支出44.06万元</w:t>
      </w:r>
      <w:r>
        <w:rPr>
          <w:rFonts w:eastAsia="仿宋_GB2312"/>
          <w:color w:val="auto"/>
          <w:sz w:val="32"/>
          <w:szCs w:val="32"/>
        </w:rPr>
        <w:t>占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4.2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 xml:space="preserve"> %。具体安排情况如下：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（一）基本支出：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基本支出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预算数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833.36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万元，是指为保障单位机构正常运转、完成日常工作任务而发生的各项支出，包括用于基本工资、津贴补贴等人员经费以及办公费、印刷费、水电费、办公设备购置等公用经费。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（二）项目支出：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项目支出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预算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219.50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主要是部门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为完成特定行政工作任务或事业发展目标而发生的支出，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包括有关事业发展专项、专项业务费、基本建设支出等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。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其中：</w:t>
      </w:r>
      <w:r>
        <w:rPr>
          <w:rFonts w:hint="eastAsia" w:ascii="仿宋_GB2312" w:hAnsi="Arial" w:eastAsia="仿宋_GB2312" w:cs="仿宋_GB2312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>普法工作</w:t>
      </w:r>
      <w:r>
        <w:rPr>
          <w:rFonts w:hint="default" w:ascii="仿宋_GB2312" w:hAnsi="Arial" w:eastAsia="仿宋_GB2312" w:cs="仿宋_GB2312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>专项支出</w:t>
      </w:r>
      <w:r>
        <w:rPr>
          <w:rFonts w:hint="eastAsia" w:ascii="仿宋_GB2312" w:hAnsi="Arial" w:eastAsia="仿宋_GB2312" w:cs="仿宋_GB2312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>21.5</w:t>
      </w:r>
      <w:r>
        <w:rPr>
          <w:rFonts w:hint="default" w:ascii="仿宋_GB2312" w:hAnsi="Arial" w:eastAsia="仿宋_GB2312" w:cs="仿宋_GB2312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>万元，主要用于</w:t>
      </w:r>
      <w:r>
        <w:rPr>
          <w:rFonts w:hint="eastAsia" w:ascii="仿宋_GB2312" w:hAnsi="Arial" w:eastAsia="仿宋_GB2312" w:cs="仿宋_GB2312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>法制宣传工作</w:t>
      </w:r>
      <w:r>
        <w:rPr>
          <w:rFonts w:hint="default" w:ascii="仿宋_GB2312" w:hAnsi="Arial" w:eastAsia="仿宋_GB2312" w:cs="仿宋_GB2312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>方面；</w:t>
      </w:r>
      <w:r>
        <w:rPr>
          <w:rFonts w:hint="eastAsia" w:ascii="仿宋_GB2312" w:hAnsi="Arial" w:eastAsia="仿宋_GB2312" w:cs="仿宋_GB2312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>律师管理14万元，主要用于律师管理方面工作；社区矫正</w:t>
      </w:r>
      <w:r>
        <w:rPr>
          <w:rFonts w:hint="default" w:ascii="仿宋_GB2312" w:hAnsi="Arial" w:eastAsia="仿宋_GB2312" w:cs="仿宋_GB2312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>专项</w:t>
      </w:r>
      <w:r>
        <w:rPr>
          <w:rFonts w:hint="eastAsia" w:ascii="仿宋_GB2312" w:hAnsi="Arial" w:eastAsia="仿宋_GB2312" w:cs="仿宋_GB2312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>支出30</w:t>
      </w:r>
      <w:r>
        <w:rPr>
          <w:rFonts w:hint="default" w:ascii="仿宋_GB2312" w:hAnsi="Arial" w:eastAsia="仿宋_GB2312" w:cs="仿宋_GB2312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>万元，主要用于</w:t>
      </w:r>
      <w:r>
        <w:rPr>
          <w:rFonts w:hint="eastAsia" w:ascii="仿宋_GB2312" w:hAnsi="Arial" w:eastAsia="仿宋_GB2312" w:cs="仿宋_GB2312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>社区矫正工作</w:t>
      </w:r>
      <w:r>
        <w:rPr>
          <w:rFonts w:hint="default" w:ascii="仿宋_GB2312" w:hAnsi="Arial" w:eastAsia="仿宋_GB2312" w:cs="仿宋_GB2312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>方面。</w:t>
      </w:r>
      <w:r>
        <w:rPr>
          <w:rFonts w:hint="eastAsia" w:ascii="仿宋_GB2312" w:hAnsi="Arial" w:eastAsia="仿宋_GB2312" w:cs="仿宋_GB2312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>法制工作专项经费24万元，主要用于（原法制办）法制工作，基层司法业务80万，主要用于局机关、司法所办案工作，其他司法支出50万，主要用于其他司法业务支出。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五、政府性基金预算支出</w:t>
      </w:r>
    </w:p>
    <w:p>
      <w:pPr>
        <w:widowControl/>
        <w:spacing w:line="600" w:lineRule="exact"/>
        <w:ind w:firstLine="660"/>
        <w:jc w:val="left"/>
        <w:rPr>
          <w:rFonts w:hint="eastAsia" w:eastAsia="仿宋_GB2312"/>
          <w:b/>
          <w:color w:val="auto"/>
          <w:sz w:val="32"/>
          <w:szCs w:val="32"/>
          <w:lang w:eastAsia="zh-CN"/>
        </w:rPr>
      </w:pPr>
      <w:r>
        <w:rPr>
          <w:rFonts w:eastAsia="仿宋_GB2312"/>
          <w:b/>
          <w:color w:val="auto"/>
          <w:sz w:val="32"/>
          <w:szCs w:val="32"/>
        </w:rPr>
        <w:t>本部门无政府性基金安排的支出</w:t>
      </w:r>
      <w:r>
        <w:rPr>
          <w:rFonts w:hint="eastAsia" w:eastAsia="仿宋_GB2312"/>
          <w:b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right="0" w:firstLine="640" w:firstLineChars="200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六、其他重要事项的情况说明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、机关运行经费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 w:firstLine="660"/>
        <w:jc w:val="left"/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年本部门机关本级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1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家行政事业单位的机关运行经费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123.1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万元，比上年预算减少（增加或持平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）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0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万元，下降（上升）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0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%。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主要是厉行节约。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 w:firstLine="660"/>
        <w:jc w:val="left"/>
        <w:rPr>
          <w:color w:val="auto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“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三公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”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经费预算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本部门机关本级等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 1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家行政事业单位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“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三公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”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经费预算数为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4.1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万元，其中，公务接待费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2 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万元，公务用车购置及运行费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2.1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万元（其中，公务用车购置费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0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万元，公务用车运行费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2.1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万元），因公出国（境）费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0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万元。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“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三公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”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经费预算较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21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持平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，主要是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厉行节约，规范管理，进一步压缩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“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三公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”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经费。</w:t>
      </w:r>
    </w:p>
    <w:p>
      <w:pPr>
        <w:keepNext w:val="0"/>
        <w:keepLines w:val="0"/>
        <w:pageBreakBefore w:val="0"/>
        <w:widowControl/>
        <w:numPr>
          <w:ilvl w:val="0"/>
          <w:numId w:val="3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600" w:lineRule="exact"/>
        <w:ind w:left="660" w:leftChars="0" w:right="0" w:rightChars="0"/>
        <w:jc w:val="left"/>
        <w:textAlignment w:val="auto"/>
        <w:outlineLvl w:val="9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一般性支出情况：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outlineLvl w:val="9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202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年本部门会议费预算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0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万元，拟召开......等会议，人数约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0 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人次，主要包含传达......等内容；培训费预算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0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万元，拟开展......等培训，人数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 0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人次，主要内容为对......进行专题培训；未计划举办节庆、晚会、论坛、赛事活动。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600" w:lineRule="exact"/>
        <w:ind w:left="660" w:leftChars="0" w:right="0" w:rightChars="0"/>
        <w:jc w:val="left"/>
        <w:textAlignment w:val="auto"/>
        <w:outlineLvl w:val="9"/>
        <w:rPr>
          <w:color w:val="auto"/>
        </w:rPr>
      </w:pP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4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政府采购情况</w:t>
      </w:r>
    </w:p>
    <w:p>
      <w:pPr>
        <w:widowControl/>
        <w:spacing w:line="600" w:lineRule="exact"/>
        <w:ind w:firstLine="660"/>
        <w:rPr>
          <w:rFonts w:eastAsia="仿宋_GB2312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政府采购预算总额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30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万元，其中，</w:t>
      </w:r>
      <w:r>
        <w:rPr>
          <w:rFonts w:eastAsia="仿宋_GB2312"/>
          <w:color w:val="auto"/>
          <w:sz w:val="32"/>
          <w:szCs w:val="32"/>
        </w:rPr>
        <w:t>货物类采购预算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30</w:t>
      </w:r>
      <w:r>
        <w:rPr>
          <w:rFonts w:eastAsia="仿宋_GB2312"/>
          <w:color w:val="auto"/>
          <w:sz w:val="32"/>
          <w:szCs w:val="32"/>
        </w:rPr>
        <w:t>万元；工程类采购预算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万元；服务类采购预算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万元。</w:t>
      </w:r>
    </w:p>
    <w:p>
      <w:pPr>
        <w:widowControl/>
        <w:numPr>
          <w:ilvl w:val="0"/>
          <w:numId w:val="0"/>
        </w:numPr>
        <w:spacing w:line="600" w:lineRule="exact"/>
        <w:ind w:left="660" w:leftChars="0"/>
        <w:jc w:val="left"/>
        <w:rPr>
          <w:rFonts w:eastAsia="楷体_GB2312"/>
          <w:b/>
          <w:color w:val="auto"/>
          <w:sz w:val="32"/>
          <w:szCs w:val="32"/>
        </w:rPr>
      </w:pP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5、国有资产占用使用及新增资产配置情况</w:t>
      </w:r>
    </w:p>
    <w:p>
      <w:pPr>
        <w:widowControl/>
        <w:numPr>
          <w:ilvl w:val="0"/>
          <w:numId w:val="0"/>
        </w:numPr>
        <w:spacing w:line="600" w:lineRule="exact"/>
        <w:ind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eastAsia="仿宋_GB2312"/>
          <w:color w:val="auto"/>
          <w:sz w:val="32"/>
          <w:szCs w:val="32"/>
        </w:rPr>
        <w:t>截至202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1</w:t>
      </w:r>
      <w:r>
        <w:rPr>
          <w:rFonts w:eastAsia="仿宋_GB2312"/>
          <w:color w:val="auto"/>
          <w:sz w:val="32"/>
          <w:szCs w:val="32"/>
        </w:rPr>
        <w:t>年12月底，本部门</w:t>
      </w:r>
      <w:r>
        <w:rPr>
          <w:rFonts w:eastAsia="仿宋_GB2312"/>
          <w:bCs/>
          <w:color w:val="auto"/>
          <w:kern w:val="0"/>
          <w:sz w:val="32"/>
          <w:szCs w:val="32"/>
        </w:rPr>
        <w:t>共有公务用车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 xml:space="preserve"> 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辆，其中，机要通信用车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辆，应急保障用车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辆，执法执勤用车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辆，特种专业技术用车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辆，其他按照规定配备的公务用车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辆；单位价值50万元以上通用设备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台，单位价值100万元以上专用设备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台。</w:t>
      </w:r>
      <w:r>
        <w:rPr>
          <w:rFonts w:hint="eastAsia" w:eastAsia="仿宋_GB2312"/>
          <w:bCs/>
          <w:color w:val="auto"/>
          <w:kern w:val="0"/>
          <w:sz w:val="32"/>
          <w:szCs w:val="32"/>
          <w:lang w:val="en-US" w:eastAsia="zh-CN"/>
        </w:rPr>
        <w:t>2022</w:t>
      </w:r>
      <w:r>
        <w:rPr>
          <w:rFonts w:eastAsia="仿宋_GB2312"/>
          <w:bCs/>
          <w:color w:val="auto"/>
          <w:kern w:val="0"/>
          <w:sz w:val="32"/>
          <w:szCs w:val="32"/>
        </w:rPr>
        <w:t>年拟新增配置公务用车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1</w:t>
      </w:r>
      <w:r>
        <w:rPr>
          <w:rFonts w:eastAsia="仿宋_GB2312"/>
          <w:bCs/>
          <w:color w:val="auto"/>
          <w:kern w:val="0"/>
          <w:sz w:val="32"/>
          <w:szCs w:val="32"/>
        </w:rPr>
        <w:t>辆，其中，机要通信用车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</w:rPr>
        <w:t>辆，应急保障用车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辆，执法执勤用车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1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辆，特种专业技术用车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辆，其他按照规定配备的公务用车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辆；新增配备单位价值50万元以上通用设备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</w:rPr>
        <w:t>台，单位价值100万元以上专用设备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</w:rPr>
        <w:t>台。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660" w:leftChars="0" w:right="0" w:rightChars="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6、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预算绩效目标说明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所有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支出实行绩效目标管理，纳入20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年部门整体支出绩效目标的金额为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1052.86 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万元，其中，基本支出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833.36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万元，项目支出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219.5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，具体绩效目标详见报表。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660" w:leftChars="0" w:right="0" w:rightChars="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7、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批复时间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年度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部门预算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新田县第十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八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届人民代表大会第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一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次会议批复时间为20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21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10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月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日，财政部门批复时间为20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21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11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月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08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日。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 w:firstLine="660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七、名词解释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、机关运行经费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 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2、“三公”经费：纳入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省（市/县）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等支出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/>
        <w:jc w:val="center"/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黑体" w:hAnsi="宋体" w:eastAsia="黑体" w:cs="黑体"/>
          <w:b/>
          <w:color w:val="auto"/>
          <w:kern w:val="0"/>
          <w:sz w:val="36"/>
          <w:szCs w:val="36"/>
          <w:shd w:val="clear" w:color="auto" w:fill="F6F6F6"/>
          <w:lang w:val="en-US" w:eastAsia="zh-CN" w:bidi="ar"/>
        </w:rPr>
        <w:t>第二部分 2022年部门预算公开表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/>
        <w:jc w:val="center"/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（见附件）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F49504B"/>
    <w:multiLevelType w:val="singleLevel"/>
    <w:tmpl w:val="AF49504B"/>
    <w:lvl w:ilvl="0" w:tentative="0">
      <w:start w:val="2"/>
      <w:numFmt w:val="decimal"/>
      <w:suff w:val="nothing"/>
      <w:lvlText w:val="%1、"/>
      <w:lvlJc w:val="left"/>
    </w:lvl>
  </w:abstractNum>
  <w:abstractNum w:abstractNumId="1">
    <w:nsid w:val="B024FAE4"/>
    <w:multiLevelType w:val="singleLevel"/>
    <w:tmpl w:val="B024FAE4"/>
    <w:lvl w:ilvl="0" w:tentative="0">
      <w:start w:val="1"/>
      <w:numFmt w:val="chineseCounting"/>
      <w:suff w:val="nothing"/>
      <w:lvlText w:val="（%1）"/>
      <w:lvlJc w:val="left"/>
      <w:pPr>
        <w:tabs>
          <w:tab w:val="left" w:pos="0"/>
        </w:tabs>
        <w:ind w:left="-10" w:firstLine="0"/>
      </w:pPr>
      <w:rPr>
        <w:rFonts w:hint="eastAsia"/>
        <w:color w:val="auto"/>
      </w:rPr>
    </w:lvl>
  </w:abstractNum>
  <w:abstractNum w:abstractNumId="2">
    <w:nsid w:val="2D428231"/>
    <w:multiLevelType w:val="singleLevel"/>
    <w:tmpl w:val="2D428231"/>
    <w:lvl w:ilvl="0" w:tentative="0">
      <w:start w:val="3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RmZjcxNGUyZGNiYmQ1ZmRjMWYzYjZiYmJkYTA1ZWEifQ=="/>
  </w:docVars>
  <w:rsids>
    <w:rsidRoot w:val="00000000"/>
    <w:rsid w:val="026B348A"/>
    <w:rsid w:val="075313C3"/>
    <w:rsid w:val="099B4D80"/>
    <w:rsid w:val="0A564AAB"/>
    <w:rsid w:val="0AEC3CD0"/>
    <w:rsid w:val="0B1E6D2B"/>
    <w:rsid w:val="0B3202FF"/>
    <w:rsid w:val="0C5F4155"/>
    <w:rsid w:val="0D122A8A"/>
    <w:rsid w:val="0E5A2261"/>
    <w:rsid w:val="0EFE2AC3"/>
    <w:rsid w:val="101D5507"/>
    <w:rsid w:val="12F87997"/>
    <w:rsid w:val="176C2C06"/>
    <w:rsid w:val="184423B4"/>
    <w:rsid w:val="1A4713E9"/>
    <w:rsid w:val="1F122A8F"/>
    <w:rsid w:val="284A5A24"/>
    <w:rsid w:val="29310182"/>
    <w:rsid w:val="2A1C6CCC"/>
    <w:rsid w:val="32E26A66"/>
    <w:rsid w:val="3E5F384B"/>
    <w:rsid w:val="41366754"/>
    <w:rsid w:val="4167540A"/>
    <w:rsid w:val="4ACD36E9"/>
    <w:rsid w:val="4AD33D01"/>
    <w:rsid w:val="52326F0E"/>
    <w:rsid w:val="543D0DF6"/>
    <w:rsid w:val="55386724"/>
    <w:rsid w:val="5C000CAC"/>
    <w:rsid w:val="5DAB19E8"/>
    <w:rsid w:val="60DA7950"/>
    <w:rsid w:val="62674017"/>
    <w:rsid w:val="647D0321"/>
    <w:rsid w:val="6D88531E"/>
    <w:rsid w:val="703C4095"/>
    <w:rsid w:val="708A45C5"/>
    <w:rsid w:val="79183053"/>
    <w:rsid w:val="7BBA645B"/>
    <w:rsid w:val="7EBE0DBA"/>
    <w:rsid w:val="7F6D117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spacing w:before="100" w:beforeAutospacing="1" w:after="10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3649</Words>
  <Characters>3934</Characters>
  <Lines>0</Lines>
  <Paragraphs>0</Paragraphs>
  <TotalTime>0</TotalTime>
  <ScaleCrop>false</ScaleCrop>
  <LinksUpToDate>false</LinksUpToDate>
  <CharactersWithSpaces>4091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WPS_1668157542</cp:lastModifiedBy>
  <cp:lastPrinted>2019-09-03T01:21:00Z</cp:lastPrinted>
  <dcterms:modified xsi:type="dcterms:W3CDTF">2023-08-07T09:09:39Z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1637A26707264438A3BC0926A90C9798</vt:lpwstr>
  </property>
</Properties>
</file>