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sz w:val="48"/>
          <w:szCs w:val="48"/>
          <w:lang w:eastAsia="zh-CN"/>
        </w:rPr>
      </w:pPr>
    </w:p>
    <w:p>
      <w:pPr>
        <w:pStyle w:val="5"/>
        <w:jc w:val="center"/>
        <w:rPr>
          <w:rFonts w:hint="eastAsia"/>
          <w:sz w:val="48"/>
          <w:szCs w:val="48"/>
          <w:lang w:eastAsia="zh-CN"/>
        </w:rPr>
      </w:pPr>
      <w:r>
        <w:rPr>
          <w:rFonts w:hint="eastAsia"/>
          <w:sz w:val="48"/>
          <w:szCs w:val="48"/>
          <w:lang w:eastAsia="zh-CN"/>
        </w:rPr>
        <w:t>新田县新田县国土资源执法监察大队202</w:t>
      </w:r>
      <w:r>
        <w:rPr>
          <w:rFonts w:hint="eastAsia"/>
          <w:sz w:val="48"/>
          <w:szCs w:val="48"/>
          <w:lang w:val="en-US" w:eastAsia="zh-CN"/>
        </w:rPr>
        <w:t>1</w:t>
      </w:r>
      <w:r>
        <w:rPr>
          <w:rFonts w:hint="eastAsia"/>
          <w:sz w:val="48"/>
          <w:szCs w:val="48"/>
          <w:lang w:eastAsia="zh-CN"/>
        </w:rPr>
        <w:t>年度部门决算公开</w:t>
      </w:r>
    </w:p>
    <w:p>
      <w:pPr>
        <w:pStyle w:val="5"/>
        <w:jc w:val="center"/>
        <w:rPr>
          <w:sz w:val="48"/>
          <w:szCs w:val="48"/>
        </w:rPr>
      </w:pPr>
    </w:p>
    <w:p>
      <w:pPr>
        <w:pStyle w:val="5"/>
        <w:spacing w:line="540" w:lineRule="exact"/>
        <w:jc w:val="center"/>
        <w:rPr>
          <w:sz w:val="56"/>
          <w:szCs w:val="56"/>
        </w:rPr>
      </w:pPr>
      <w:r>
        <w:rPr>
          <w:rFonts w:hint="eastAsia" w:ascii="楷体_GB2312" w:hAnsi="宋体" w:eastAsia="楷体_GB2312"/>
          <w:b/>
          <w:bCs/>
          <w:sz w:val="30"/>
          <w:szCs w:val="30"/>
          <w:highlight w:val="yellow"/>
          <w:u w:val="single"/>
          <w:lang w:eastAsia="zh-CN"/>
        </w:rPr>
        <w:t>县级各</w:t>
      </w:r>
      <w:r>
        <w:rPr>
          <w:rFonts w:hint="eastAsia" w:ascii="楷体_GB2312" w:hAnsi="宋体" w:eastAsia="楷体_GB2312"/>
          <w:b/>
          <w:bCs/>
          <w:sz w:val="30"/>
          <w:szCs w:val="30"/>
          <w:highlight w:val="yellow"/>
          <w:u w:val="single"/>
        </w:rPr>
        <w:t>部门是决算公开的主体，请务必核实确认拟公开的数据。</w:t>
      </w: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目录</w:t>
      </w:r>
    </w:p>
    <w:p>
      <w:pPr>
        <w:pStyle w:val="5"/>
        <w:spacing w:line="520" w:lineRule="exact"/>
        <w:rPr>
          <w:rFonts w:ascii="仿宋_GB2312" w:hAnsi="仿宋_GB2312" w:cs="仿宋_GB2312"/>
          <w:b/>
          <w:sz w:val="28"/>
          <w:szCs w:val="28"/>
        </w:rPr>
      </w:pPr>
      <w:r>
        <w:rPr>
          <w:rFonts w:hint="eastAsia"/>
          <w:b/>
          <w:sz w:val="28"/>
          <w:szCs w:val="28"/>
        </w:rPr>
        <w:t>第一部分XX单位概况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5"/>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新田县国土资源执法监察大队</w:t>
      </w:r>
      <w:r>
        <w:rPr>
          <w:rFonts w:hint="eastAsia" w:ascii="黑体" w:hAnsi="黑体" w:eastAsia="黑体" w:cs="黑体"/>
          <w:sz w:val="32"/>
          <w:szCs w:val="32"/>
        </w:rPr>
        <w:t>单位概况</w:t>
      </w:r>
    </w:p>
    <w:p>
      <w:pPr>
        <w:pStyle w:val="6"/>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keepNext w:val="0"/>
        <w:keepLines w:val="0"/>
        <w:widowControl/>
        <w:suppressLineNumbers w:val="0"/>
        <w:spacing w:before="0" w:beforeAutospacing="0" w:after="0" w:afterAutospacing="0" w:line="600" w:lineRule="atLeast"/>
        <w:ind w:right="0"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负责全县国土资源违法案件的调查和巡察工作。</w:t>
      </w:r>
    </w:p>
    <w:p>
      <w:pPr>
        <w:numPr>
          <w:ilvl w:val="0"/>
          <w:numId w:val="0"/>
        </w:num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受理土地、矿产资源违法行为的举报、检举和控告，承办和接待群众来信来访。</w:t>
      </w:r>
    </w:p>
    <w:p>
      <w:pPr>
        <w:numPr>
          <w:ilvl w:val="0"/>
          <w:numId w:val="0"/>
        </w:num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负责送达并执行国土资源违法案件处理告知和决定，负责有关案件的落实工作。</w:t>
      </w:r>
    </w:p>
    <w:p>
      <w:pPr>
        <w:widowControl/>
        <w:spacing w:line="600" w:lineRule="exact"/>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widowControl/>
        <w:spacing w:line="600" w:lineRule="exact"/>
        <w:rPr>
          <w:rFonts w:hint="eastAsia" w:asciiTheme="minorEastAsia" w:hAnsiTheme="minorEastAsia" w:eastAsiaTheme="minorEastAsia" w:cstheme="minorEastAsia"/>
          <w:bCs/>
          <w:kern w:val="0"/>
          <w:sz w:val="28"/>
          <w:szCs w:val="28"/>
          <w:lang w:eastAsia="zh-CN"/>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cstheme="minorEastAsia"/>
          <w:bCs/>
          <w:kern w:val="0"/>
          <w:sz w:val="28"/>
          <w:szCs w:val="28"/>
          <w:lang w:eastAsia="zh-CN"/>
        </w:rPr>
        <w:t>新田县国土资源执法监察大队</w:t>
      </w:r>
      <w:r>
        <w:rPr>
          <w:rFonts w:hint="eastAsia" w:asciiTheme="minorEastAsia" w:hAnsiTheme="minorEastAsia" w:eastAsiaTheme="minorEastAsia" w:cstheme="minorEastAsia"/>
          <w:bCs/>
          <w:kern w:val="0"/>
          <w:sz w:val="28"/>
          <w:szCs w:val="28"/>
        </w:rPr>
        <w:t>单位内设机构包括</w:t>
      </w:r>
      <w:r>
        <w:rPr>
          <w:rFonts w:hint="eastAsia" w:asciiTheme="minorEastAsia" w:hAnsiTheme="minorEastAsia" w:cstheme="minorEastAsia"/>
          <w:bCs/>
          <w:kern w:val="0"/>
          <w:sz w:val="28"/>
          <w:szCs w:val="28"/>
          <w:lang w:eastAsia="zh-CN"/>
        </w:rPr>
        <w:t>：办公室、财务室、卫片室、一中队、二中队。</w:t>
      </w:r>
    </w:p>
    <w:p>
      <w:pPr>
        <w:widowControl/>
        <w:spacing w:line="600" w:lineRule="exact"/>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cstheme="minorEastAsia"/>
          <w:bCs/>
          <w:kern w:val="0"/>
          <w:sz w:val="28"/>
          <w:szCs w:val="28"/>
          <w:lang w:eastAsia="zh-CN"/>
        </w:rPr>
        <w:t>新田县国土资源执法监察大队</w:t>
      </w:r>
      <w:r>
        <w:rPr>
          <w:rFonts w:hint="eastAsia" w:asciiTheme="minorEastAsia" w:hAnsiTheme="minorEastAsia" w:eastAsiaTheme="minorEastAsia" w:cstheme="minorEastAsia"/>
          <w:bCs/>
          <w:kern w:val="0"/>
          <w:sz w:val="28"/>
          <w:szCs w:val="28"/>
        </w:rPr>
        <w:t>单位</w:t>
      </w:r>
      <w:r>
        <w:rPr>
          <w:rFonts w:hint="eastAsia" w:asciiTheme="minorEastAsia" w:hAnsiTheme="minorEastAsia" w:cstheme="minorEastAsia"/>
          <w:bCs/>
          <w:kern w:val="0"/>
          <w:sz w:val="28"/>
          <w:szCs w:val="28"/>
          <w:lang w:eastAsia="zh-CN"/>
        </w:rPr>
        <w:t>202</w:t>
      </w:r>
      <w:r>
        <w:rPr>
          <w:rFonts w:hint="eastAsia" w:asciiTheme="minorEastAsia" w:hAnsiTheme="minorEastAsia" w:cstheme="minorEastAsia"/>
          <w:bCs/>
          <w:kern w:val="0"/>
          <w:sz w:val="28"/>
          <w:szCs w:val="28"/>
          <w:lang w:val="en-US" w:eastAsia="zh-CN"/>
        </w:rPr>
        <w:t>1</w:t>
      </w:r>
      <w:r>
        <w:rPr>
          <w:rFonts w:hint="eastAsia" w:asciiTheme="minorEastAsia" w:hAnsiTheme="minorEastAsia" w:eastAsiaTheme="minorEastAsia" w:cstheme="minorEastAsia"/>
          <w:bCs/>
          <w:kern w:val="0"/>
          <w:sz w:val="28"/>
          <w:szCs w:val="28"/>
        </w:rPr>
        <w:t>年部门决算汇总公开单位构成包括：</w:t>
      </w:r>
      <w:r>
        <w:rPr>
          <w:rFonts w:hint="eastAsia" w:asciiTheme="minorEastAsia" w:hAnsiTheme="minorEastAsia" w:cstheme="minorEastAsia"/>
          <w:bCs/>
          <w:kern w:val="0"/>
          <w:sz w:val="28"/>
          <w:szCs w:val="28"/>
          <w:lang w:eastAsia="zh-CN"/>
        </w:rPr>
        <w:t>新田县国土资源执法监察大队</w:t>
      </w:r>
      <w:r>
        <w:rPr>
          <w:rFonts w:hint="eastAsia" w:asciiTheme="minorEastAsia" w:hAnsiTheme="minorEastAsia" w:eastAsiaTheme="minorEastAsia" w:cstheme="minorEastAsia"/>
          <w:bCs/>
          <w:kern w:val="0"/>
          <w:sz w:val="28"/>
          <w:szCs w:val="28"/>
        </w:rPr>
        <w:t>单位本级</w:t>
      </w:r>
    </w:p>
    <w:p>
      <w:pPr>
        <w:jc w:val="both"/>
        <w:rPr>
          <w:rFonts w:hint="eastAsia" w:asciiTheme="minorEastAsia" w:hAnsiTheme="minorEastAsia" w:eastAsiaTheme="minorEastAsia" w:cstheme="minorEastAsia"/>
          <w:sz w:val="28"/>
          <w:szCs w:val="28"/>
        </w:rPr>
        <w:sectPr>
          <w:pgSz w:w="11906" w:h="16838"/>
          <w:pgMar w:top="720" w:right="720" w:bottom="720" w:left="720" w:header="851" w:footer="992" w:gutter="0"/>
          <w:cols w:space="425" w:num="1"/>
          <w:docGrid w:type="lines" w:linePitch="312" w:charSpace="0"/>
        </w:sect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部门：新田县国土资源执法监察大队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3"/>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25"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1.03</w:t>
            </w:r>
          </w:p>
        </w:tc>
        <w:tc>
          <w:tcPr>
            <w:tcW w:w="48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十八、自然资源海洋气象等支出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280.48</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280.48</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lang w:val="en-US" w:eastAsia="zh-CN"/>
              </w:rPr>
              <w:t>280.48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280.48</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lang w:val="en-US" w:eastAsia="zh-CN"/>
              </w:rPr>
              <w:t>280.48</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新田县国土资源执法监察大队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公开02表</w:t>
      </w:r>
    </w:p>
    <w:p>
      <w:pPr>
        <w:widowControl/>
        <w:ind w:right="63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3"/>
        <w:tblW w:w="13813" w:type="dxa"/>
        <w:jc w:val="center"/>
        <w:tblLayout w:type="fixed"/>
        <w:tblCellMar>
          <w:top w:w="0" w:type="dxa"/>
          <w:left w:w="108" w:type="dxa"/>
          <w:bottom w:w="0" w:type="dxa"/>
          <w:right w:w="108" w:type="dxa"/>
        </w:tblCellMar>
      </w:tblPr>
      <w:tblGrid>
        <w:gridCol w:w="1080"/>
        <w:gridCol w:w="2115"/>
        <w:gridCol w:w="1605"/>
        <w:gridCol w:w="1575"/>
        <w:gridCol w:w="1530"/>
        <w:gridCol w:w="1380"/>
        <w:gridCol w:w="1365"/>
        <w:gridCol w:w="1950"/>
        <w:gridCol w:w="1213"/>
      </w:tblGrid>
      <w:tr>
        <w:tblPrEx>
          <w:tblCellMar>
            <w:top w:w="0" w:type="dxa"/>
            <w:left w:w="108" w:type="dxa"/>
            <w:bottom w:w="0" w:type="dxa"/>
            <w:right w:w="108" w:type="dxa"/>
          </w:tblCellMar>
        </w:tblPrEx>
        <w:trPr>
          <w:trHeight w:val="450" w:hRule="atLeast"/>
          <w:jc w:val="center"/>
        </w:trPr>
        <w:tc>
          <w:tcPr>
            <w:tcW w:w="319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0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7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53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36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95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213"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080"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1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0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9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80"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11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0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9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1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19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19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280.48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279.45</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w:t>
            </w:r>
          </w:p>
        </w:tc>
        <w:tc>
          <w:tcPr>
            <w:tcW w:w="2115" w:type="dxa"/>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自然资源海洋气象等支出</w:t>
            </w:r>
            <w:r>
              <w:rPr>
                <w:rFonts w:ascii="Times New Roman" w:hAnsi="Times New Roman" w:eastAsia="仿宋_GB2312" w:cs="Times New Roman"/>
                <w:kern w:val="0"/>
                <w:szCs w:val="21"/>
              </w:rPr>
              <w:t>　</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280.48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w:t>
            </w:r>
          </w:p>
        </w:tc>
      </w:tr>
      <w:tr>
        <w:tblPrEx>
          <w:tblCellMar>
            <w:top w:w="0" w:type="dxa"/>
            <w:left w:w="108" w:type="dxa"/>
            <w:bottom w:w="0" w:type="dxa"/>
            <w:right w:w="108" w:type="dxa"/>
          </w:tblCellMar>
        </w:tblPrEx>
        <w:trPr>
          <w:trHeight w:val="639"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w:t>
            </w:r>
          </w:p>
        </w:tc>
        <w:tc>
          <w:tcPr>
            <w:tcW w:w="2115" w:type="dxa"/>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自然资源事务</w:t>
            </w:r>
            <w:r>
              <w:rPr>
                <w:rFonts w:ascii="Times New Roman" w:hAnsi="Times New Roman" w:eastAsia="仿宋_GB2312" w:cs="Times New Roman"/>
                <w:kern w:val="0"/>
                <w:szCs w:val="21"/>
              </w:rPr>
              <w:t>　</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280.48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w:t>
            </w: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2200101</w:t>
            </w:r>
          </w:p>
        </w:tc>
        <w:tc>
          <w:tcPr>
            <w:tcW w:w="21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行政运行</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2200102</w:t>
            </w:r>
          </w:p>
        </w:tc>
        <w:tc>
          <w:tcPr>
            <w:tcW w:w="21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一般行政管理事务</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2200104</w:t>
            </w:r>
          </w:p>
        </w:tc>
        <w:tc>
          <w:tcPr>
            <w:tcW w:w="2115"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自然资源局规划及管理</w:t>
            </w:r>
          </w:p>
        </w:tc>
        <w:tc>
          <w:tcPr>
            <w:tcW w:w="160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w:t>
            </w:r>
          </w:p>
        </w:tc>
        <w:tc>
          <w:tcPr>
            <w:tcW w:w="157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2200199</w:t>
            </w:r>
          </w:p>
        </w:tc>
        <w:tc>
          <w:tcPr>
            <w:tcW w:w="2115" w:type="dxa"/>
            <w:tcBorders>
              <w:top w:val="nil"/>
              <w:left w:val="nil"/>
              <w:bottom w:val="single" w:color="auto" w:sz="8"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其他自然资源事务支出</w:t>
            </w:r>
          </w:p>
        </w:tc>
        <w:tc>
          <w:tcPr>
            <w:tcW w:w="160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w:t>
            </w:r>
          </w:p>
        </w:tc>
        <w:tc>
          <w:tcPr>
            <w:tcW w:w="157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16.92</w:t>
            </w:r>
          </w:p>
        </w:tc>
        <w:tc>
          <w:tcPr>
            <w:tcW w:w="153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6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95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213"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新田县国土资源执法监察大队</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803"/>
        <w:gridCol w:w="1725"/>
        <w:gridCol w:w="1770"/>
        <w:gridCol w:w="1553"/>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90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2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7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5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80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2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0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2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90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2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7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5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90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2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280.48</w:t>
            </w:r>
          </w:p>
        </w:tc>
        <w:tc>
          <w:tcPr>
            <w:tcW w:w="177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252.73</w:t>
            </w:r>
          </w:p>
        </w:tc>
        <w:tc>
          <w:tcPr>
            <w:tcW w:w="155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27.75</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80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自然资源海洋气象等支出</w:t>
            </w:r>
            <w:r>
              <w:rPr>
                <w:rFonts w:ascii="Times New Roman" w:hAnsi="Times New Roman" w:eastAsia="仿宋_GB2312" w:cs="Times New Roman"/>
                <w:kern w:val="0"/>
                <w:szCs w:val="21"/>
              </w:rPr>
              <w:t>　</w:t>
            </w:r>
          </w:p>
        </w:tc>
        <w:tc>
          <w:tcPr>
            <w:tcW w:w="172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280.48</w:t>
            </w:r>
          </w:p>
        </w:tc>
        <w:tc>
          <w:tcPr>
            <w:tcW w:w="177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155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27.75</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w:t>
            </w:r>
          </w:p>
        </w:tc>
        <w:tc>
          <w:tcPr>
            <w:tcW w:w="180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自然资源事务</w:t>
            </w:r>
            <w:r>
              <w:rPr>
                <w:rFonts w:ascii="Times New Roman" w:hAnsi="Times New Roman" w:eastAsia="仿宋_GB2312" w:cs="Times New Roman"/>
                <w:kern w:val="0"/>
                <w:szCs w:val="21"/>
              </w:rPr>
              <w:t>　</w:t>
            </w:r>
          </w:p>
        </w:tc>
        <w:tc>
          <w:tcPr>
            <w:tcW w:w="172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280.48</w:t>
            </w:r>
          </w:p>
        </w:tc>
        <w:tc>
          <w:tcPr>
            <w:tcW w:w="177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252.73</w:t>
            </w:r>
          </w:p>
        </w:tc>
        <w:tc>
          <w:tcPr>
            <w:tcW w:w="155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27.75</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2200101</w:t>
            </w:r>
          </w:p>
        </w:tc>
        <w:tc>
          <w:tcPr>
            <w:tcW w:w="1803" w:type="dxa"/>
            <w:shd w:val="clear" w:color="auto" w:fill="auto"/>
            <w:noWrap/>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行政运行</w:t>
            </w:r>
          </w:p>
        </w:tc>
        <w:tc>
          <w:tcPr>
            <w:tcW w:w="172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177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1553" w:type="dxa"/>
            <w:shd w:val="clear" w:color="auto" w:fill="auto"/>
            <w:noWrap/>
            <w:vAlign w:val="center"/>
          </w:tcPr>
          <w:p>
            <w:pPr>
              <w:widowControl/>
              <w:jc w:val="center"/>
              <w:rPr>
                <w:rFonts w:ascii="Times New Roman" w:hAnsi="Times New Roman" w:eastAsia="仿宋_GB2312" w:cs="Times New Roman"/>
                <w:kern w:val="0"/>
                <w:szCs w:val="21"/>
              </w:rPr>
            </w:pP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2200102</w:t>
            </w:r>
          </w:p>
        </w:tc>
        <w:tc>
          <w:tcPr>
            <w:tcW w:w="1803" w:type="dxa"/>
            <w:shd w:val="clear" w:color="auto" w:fill="auto"/>
            <w:noWrap/>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一般行政管理事务</w:t>
            </w:r>
          </w:p>
        </w:tc>
        <w:tc>
          <w:tcPr>
            <w:tcW w:w="172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w:t>
            </w:r>
          </w:p>
        </w:tc>
        <w:tc>
          <w:tcPr>
            <w:tcW w:w="1770" w:type="dxa"/>
            <w:shd w:val="clear" w:color="auto" w:fill="auto"/>
            <w:noWrap/>
            <w:vAlign w:val="center"/>
          </w:tcPr>
          <w:p>
            <w:pPr>
              <w:widowControl/>
              <w:jc w:val="center"/>
              <w:rPr>
                <w:rFonts w:ascii="Times New Roman" w:hAnsi="Times New Roman" w:eastAsia="仿宋_GB2312" w:cs="Times New Roman"/>
                <w:kern w:val="0"/>
                <w:szCs w:val="21"/>
              </w:rPr>
            </w:pPr>
          </w:p>
        </w:tc>
        <w:tc>
          <w:tcPr>
            <w:tcW w:w="1553"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2200104</w:t>
            </w:r>
          </w:p>
        </w:tc>
        <w:tc>
          <w:tcPr>
            <w:tcW w:w="1803" w:type="dxa"/>
            <w:shd w:val="clear" w:color="auto" w:fill="auto"/>
            <w:noWrap/>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自然资源局规划及管理</w:t>
            </w:r>
          </w:p>
        </w:tc>
        <w:tc>
          <w:tcPr>
            <w:tcW w:w="172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w:t>
            </w:r>
          </w:p>
        </w:tc>
        <w:tc>
          <w:tcPr>
            <w:tcW w:w="1770" w:type="dxa"/>
            <w:shd w:val="clear" w:color="auto" w:fill="auto"/>
            <w:noWrap/>
            <w:vAlign w:val="center"/>
          </w:tcPr>
          <w:p>
            <w:pPr>
              <w:widowControl/>
              <w:jc w:val="center"/>
              <w:rPr>
                <w:rFonts w:ascii="Times New Roman" w:hAnsi="Times New Roman" w:eastAsia="仿宋_GB2312" w:cs="Times New Roman"/>
                <w:kern w:val="0"/>
                <w:szCs w:val="21"/>
              </w:rPr>
            </w:pPr>
          </w:p>
        </w:tc>
        <w:tc>
          <w:tcPr>
            <w:tcW w:w="1553"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2200199</w:t>
            </w:r>
          </w:p>
        </w:tc>
        <w:tc>
          <w:tcPr>
            <w:tcW w:w="1803" w:type="dxa"/>
            <w:shd w:val="clear" w:color="auto" w:fill="auto"/>
            <w:noWrap/>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其他自然资源事务支出</w:t>
            </w:r>
          </w:p>
        </w:tc>
        <w:tc>
          <w:tcPr>
            <w:tcW w:w="1725"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w:t>
            </w:r>
          </w:p>
        </w:tc>
        <w:tc>
          <w:tcPr>
            <w:tcW w:w="1770" w:type="dxa"/>
            <w:shd w:val="clear" w:color="auto" w:fill="auto"/>
            <w:noWrap/>
            <w:vAlign w:val="center"/>
          </w:tcPr>
          <w:p>
            <w:pPr>
              <w:widowControl/>
              <w:jc w:val="center"/>
              <w:rPr>
                <w:rFonts w:ascii="Times New Roman" w:hAnsi="Times New Roman" w:eastAsia="仿宋_GB2312" w:cs="Times New Roman"/>
                <w:kern w:val="0"/>
                <w:szCs w:val="21"/>
              </w:rPr>
            </w:pPr>
          </w:p>
        </w:tc>
        <w:tc>
          <w:tcPr>
            <w:tcW w:w="1553"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新田县国土资源执法监察大队</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十八、自然资源海洋气象等支出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279.45</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279.45</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279.45</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279.45</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279.45</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新田县国土资执法监察大队</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自然资源海洋气象等支出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279.45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自然资源事务</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279.45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252.73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2200101</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252.73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2200104</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自然资源局规划及管理</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2200199</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其他自然资源事务支出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新田县国土资执法监察大队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199.37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53.36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69.99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14.14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23.31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42.58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21.53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9.69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0.44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4.18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13.62</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199.37</w:t>
            </w:r>
            <w:r>
              <w:rPr>
                <w:rFonts w:ascii="Times New Roman" w:hAnsi="Times New Roman" w:eastAsia="宋体" w:cs="Times New Roman"/>
                <w:color w:val="000000"/>
                <w:kern w:val="0"/>
                <w:sz w:val="18"/>
                <w:szCs w:val="18"/>
              </w:rPr>
              <w:t>　</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53.36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新田县国土资执法监察大队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4.18</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4.15</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新田县国土资执法监察大队</w:t>
      </w:r>
      <w:r>
        <w:rPr>
          <w:rFonts w:ascii="Times New Roman" w:hAnsi="Times New Roman" w:eastAsia="仿宋_GB2312" w:cs="Times New Roman"/>
          <w:color w:val="000000"/>
          <w:kern w:val="0"/>
          <w:szCs w:val="21"/>
        </w:rPr>
        <w:t xml:space="preserve">                                                                                                      公开08表</w:t>
      </w:r>
    </w:p>
    <w:p>
      <w:pPr>
        <w:widowControl/>
        <w:ind w:firstLine="13860" w:firstLineChars="66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3"/>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kern w:val="0"/>
                <w:sz w:val="20"/>
                <w:szCs w:val="20"/>
              </w:rPr>
              <w:t>　新田县国土资执法监察大队</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3"/>
        <w:tblW w:w="8716" w:type="dxa"/>
        <w:tblInd w:w="0" w:type="dxa"/>
        <w:shd w:val="clear" w:color="auto" w:fill="auto"/>
        <w:tblLayout w:type="fixed"/>
        <w:tblCellMar>
          <w:top w:w="0" w:type="dxa"/>
          <w:left w:w="0" w:type="dxa"/>
          <w:bottom w:w="0" w:type="dxa"/>
          <w:right w:w="0" w:type="dxa"/>
        </w:tblCellMar>
      </w:tblPr>
      <w:tblGrid>
        <w:gridCol w:w="8716"/>
      </w:tblGrid>
      <w:tr>
        <w:tblPrEx>
          <w:shd w:val="clear" w:color="auto" w:fill="auto"/>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(若本单位无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,请说明：XX</w:t>
      </w:r>
      <w:r>
        <w:rPr>
          <w:rFonts w:hint="eastAsia" w:ascii="仿宋" w:hAnsi="仿宋" w:eastAsia="仿宋" w:cs="仿宋"/>
          <w:kern w:val="0"/>
          <w:sz w:val="21"/>
          <w:szCs w:val="21"/>
          <w:lang w:eastAsia="zh-CN"/>
        </w:rPr>
        <w:t>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5"/>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年度收、支总计</w:t>
      </w:r>
      <w:r>
        <w:rPr>
          <w:rFonts w:hint="eastAsia" w:asciiTheme="minorEastAsia" w:hAnsiTheme="minorEastAsia" w:eastAsiaTheme="minorEastAsia" w:cstheme="minorEastAsia"/>
          <w:sz w:val="28"/>
          <w:szCs w:val="28"/>
          <w:lang w:val="en-US" w:eastAsia="zh-CN"/>
        </w:rPr>
        <w:t>280.48</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11.25</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3.86</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今年收取罚没收入减少，导致非税征管拨款减少。</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280.48</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99.63</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1.03</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0.37</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280.48</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252.73</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90.11</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27.75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9.89</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ind w:firstLine="56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年度财政拨款收、支总计</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12.28</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4.21</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今年收取罚没收入减少，导致非税征管拨款减少。</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99.63</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年相比，财政拨款支出减少</w:t>
      </w:r>
      <w:r>
        <w:rPr>
          <w:rFonts w:hint="eastAsia" w:asciiTheme="minorEastAsia" w:hAnsiTheme="minorEastAsia" w:eastAsiaTheme="minorEastAsia" w:cstheme="minorEastAsia"/>
          <w:sz w:val="28"/>
          <w:szCs w:val="28"/>
          <w:lang w:val="en-US" w:eastAsia="zh-CN"/>
        </w:rPr>
        <w:t>12.28</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4.21</w:t>
      </w:r>
      <w:r>
        <w:rPr>
          <w:rFonts w:hint="eastAsia" w:asciiTheme="minorEastAsia" w:hAnsiTheme="minorEastAsia" w:eastAsiaTheme="minorEastAsia" w:cstheme="minorEastAsia"/>
          <w:sz w:val="28"/>
          <w:szCs w:val="28"/>
        </w:rPr>
        <w:t>%，主要是因为今年收取罚没收入减少，导致非税征管拨款减少</w:t>
      </w:r>
      <w:r>
        <w:rPr>
          <w:rFonts w:hint="eastAsia" w:asciiTheme="minorEastAsia" w:hAnsiTheme="minorEastAsia" w:eastAsiaTheme="minorEastAsia" w:cstheme="minorEastAsia"/>
          <w:sz w:val="28"/>
          <w:szCs w:val="28"/>
          <w:lang w:eastAsia="zh-CN"/>
        </w:rPr>
        <w:t>。</w:t>
      </w:r>
    </w:p>
    <w:p>
      <w:pPr>
        <w:pStyle w:val="5"/>
        <w:ind w:firstLine="420" w:firstLineChars="1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万元，主要用于以下方面：</w:t>
      </w:r>
      <w:r>
        <w:rPr>
          <w:rFonts w:hint="eastAsia" w:asciiTheme="minorEastAsia" w:hAnsiTheme="minorEastAsia" w:eastAsiaTheme="minorEastAsia" w:cstheme="minorEastAsia"/>
          <w:sz w:val="28"/>
          <w:szCs w:val="28"/>
          <w:lang w:eastAsia="zh-CN"/>
        </w:rPr>
        <w:t>自然资源海洋气象等支出</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val="en-US" w:eastAsia="zh-CN"/>
        </w:rPr>
        <w:t>原因是精准控制预算，所以支出预算决算一致。</w:t>
      </w:r>
      <w:bookmarkStart w:id="2" w:name="_GoBack"/>
      <w:bookmarkEnd w:id="2"/>
    </w:p>
    <w:p>
      <w:pPr>
        <w:pStyle w:val="5"/>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270.4</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103.35</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1、自然资源海洋气象等支出。</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270.4</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279.45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103.35</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eastAsia="zh-CN"/>
        </w:rPr>
        <w:t>大于</w:t>
      </w:r>
      <w:r>
        <w:rPr>
          <w:rFonts w:hint="eastAsia" w:asciiTheme="minorEastAsia" w:hAnsiTheme="minorEastAsia" w:eastAsiaTheme="minorEastAsia" w:cstheme="minorEastAsia"/>
          <w:sz w:val="28"/>
          <w:szCs w:val="28"/>
        </w:rPr>
        <w:t>年初预算数的主要原因是：</w:t>
      </w:r>
      <w:r>
        <w:rPr>
          <w:rFonts w:hint="eastAsia" w:asciiTheme="minorEastAsia" w:hAnsiTheme="minorEastAsia" w:eastAsiaTheme="minorEastAsia" w:cstheme="minorEastAsia"/>
          <w:sz w:val="28"/>
          <w:szCs w:val="28"/>
          <w:lang w:eastAsia="zh-CN"/>
        </w:rPr>
        <w:t>今年追加卫片执法检查专项工作项目经费</w:t>
      </w:r>
      <w:r>
        <w:rPr>
          <w:rFonts w:hint="eastAsia" w:asciiTheme="minorEastAsia" w:hAnsiTheme="minorEastAsia" w:eastAsiaTheme="minorEastAsia" w:cstheme="minorEastAsia"/>
          <w:sz w:val="28"/>
          <w:szCs w:val="28"/>
          <w:lang w:val="en-US" w:eastAsia="zh-CN"/>
        </w:rPr>
        <w:t>13万元</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252.73</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199.37</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78.89</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eastAsia="zh-CN"/>
        </w:rPr>
        <w:t>、绩效工资、机关事业单位基本养老保险费、职工基本医疗保险缴费、其他社会保障缴费、医疗费、其他工资福利支出</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53.36</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21.11</w:t>
      </w:r>
      <w:r>
        <w:rPr>
          <w:rFonts w:hint="eastAsia" w:asciiTheme="minorEastAsia" w:hAnsiTheme="minorEastAsia" w:eastAsiaTheme="minorEastAsia" w:cstheme="minorEastAsia"/>
          <w:sz w:val="28"/>
          <w:szCs w:val="28"/>
        </w:rPr>
        <w:t>%，主要包括办公费、印刷费、</w:t>
      </w:r>
      <w:r>
        <w:rPr>
          <w:rFonts w:hint="eastAsia" w:asciiTheme="minorEastAsia" w:hAnsiTheme="minorEastAsia" w:eastAsiaTheme="minorEastAsia" w:cstheme="minorEastAsia"/>
          <w:sz w:val="28"/>
          <w:szCs w:val="28"/>
          <w:lang w:eastAsia="zh-CN"/>
        </w:rPr>
        <w:t>水费、电费、差旅费、租赁费、公务接待费、福利费、公务用车运行维护费、其他交通费用、其他商品和服务支出</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9.5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8.33</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87.68</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5.3</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4.18</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78.87</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eastAsia="zh-CN"/>
        </w:rPr>
        <w:t>小于</w:t>
      </w:r>
      <w:r>
        <w:rPr>
          <w:rFonts w:hint="eastAsia" w:asciiTheme="minorEastAsia" w:hAnsiTheme="minorEastAsia" w:eastAsiaTheme="minorEastAsia" w:cstheme="minorEastAsia"/>
          <w:sz w:val="28"/>
          <w:szCs w:val="28"/>
        </w:rPr>
        <w:t>年初预算数的主要原因</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是</w:t>
      </w:r>
      <w:r>
        <w:rPr>
          <w:rFonts w:hint="eastAsia" w:asciiTheme="minorEastAsia" w:hAnsiTheme="minorEastAsia" w:eastAsiaTheme="minorEastAsia" w:cstheme="minorEastAsia"/>
          <w:sz w:val="28"/>
          <w:szCs w:val="28"/>
          <w:lang w:eastAsia="zh-CN"/>
        </w:rPr>
        <w:t>因为财务手续未齐全进而导致今年公务接待支出未及时拨付到位；二是因为单位领导牢固树立“过紧日子”的思想，严格控制三公经费支出。</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0.62</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eastAsia="zh-CN"/>
        </w:rPr>
        <w:t>单位领导牢固树立“过紧日子”的思想，严格控制三公经费支出</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w:t>
      </w: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万元，运行维护费支出决算为</w:t>
      </w:r>
      <w:r>
        <w:rPr>
          <w:rFonts w:hint="eastAsia" w:asciiTheme="minorEastAsia" w:hAnsiTheme="minorEastAsia" w:eastAsiaTheme="minorEastAsia" w:cstheme="minorEastAsia"/>
          <w:sz w:val="28"/>
          <w:szCs w:val="28"/>
          <w:lang w:val="en-US" w:eastAsia="zh-CN"/>
        </w:rPr>
        <w:t>4.15</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98.81</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eastAsia="zh-CN"/>
        </w:rPr>
        <w:t>单位领导牢固树立“过紧日子”的思想，严格控制三公经费支出；</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32.26</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eastAsia="zh-CN"/>
        </w:rPr>
        <w:t>单位领导牢固树立“过紧日子”的思想，严格控制三公经费支出</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4.18</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50.18</w:t>
      </w: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4.15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49.82</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、公务接待费支出决算为</w:t>
      </w:r>
      <w:r>
        <w:rPr>
          <w:rFonts w:hint="eastAsia" w:asciiTheme="minorEastAsia" w:hAnsiTheme="minorEastAsia" w:eastAsiaTheme="minorEastAsia" w:cstheme="minorEastAsia"/>
          <w:sz w:val="28"/>
          <w:szCs w:val="28"/>
          <w:lang w:val="en-US" w:eastAsia="zh-CN"/>
        </w:rPr>
        <w:t>4.18</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90</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393</w:t>
      </w:r>
      <w:r>
        <w:rPr>
          <w:rFonts w:hint="eastAsia" w:asciiTheme="minorEastAsia" w:hAnsiTheme="minorEastAsia" w:eastAsiaTheme="minorEastAsia" w:cstheme="minorEastAsia"/>
          <w:sz w:val="28"/>
          <w:szCs w:val="28"/>
        </w:rPr>
        <w:t>人次，主要</w:t>
      </w:r>
      <w:r>
        <w:rPr>
          <w:rFonts w:hint="eastAsia" w:asciiTheme="minorEastAsia" w:hAnsiTheme="minorEastAsia" w:eastAsiaTheme="minorEastAsia" w:cstheme="minorEastAsia"/>
          <w:sz w:val="28"/>
          <w:szCs w:val="28"/>
          <w:lang w:eastAsia="zh-CN"/>
        </w:rPr>
        <w:t>是卫片执法检查、案件督查、耕地保护检查等</w:t>
      </w:r>
      <w:r>
        <w:rPr>
          <w:rFonts w:hint="eastAsia" w:asciiTheme="minorEastAsia" w:hAnsiTheme="minorEastAsia" w:eastAsiaTheme="minorEastAsia" w:cstheme="minorEastAsia"/>
          <w:sz w:val="28"/>
          <w:szCs w:val="28"/>
        </w:rPr>
        <w:t>发生的接待支出。</w:t>
      </w:r>
    </w:p>
    <w:p>
      <w:pPr>
        <w:ind w:firstLine="700" w:firstLineChars="25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、公务用车购置费及运行维护费支出决算为</w:t>
      </w:r>
      <w:r>
        <w:rPr>
          <w:rFonts w:hint="eastAsia" w:asciiTheme="minorEastAsia" w:hAnsiTheme="minorEastAsia" w:cstheme="minorEastAsia"/>
          <w:sz w:val="28"/>
          <w:szCs w:val="28"/>
          <w:lang w:val="en-US" w:eastAsia="zh-CN"/>
        </w:rPr>
        <w:t>4.15</w:t>
      </w:r>
      <w:r>
        <w:rPr>
          <w:rFonts w:hint="eastAsia" w:asciiTheme="minorEastAsia" w:hAnsiTheme="minorEastAsia" w:eastAsiaTheme="minorEastAsia" w:cstheme="minorEastAsia"/>
          <w:sz w:val="28"/>
          <w:szCs w:val="28"/>
        </w:rPr>
        <w:t>万元，其中：公务用车运行维护费</w:t>
      </w:r>
      <w:r>
        <w:rPr>
          <w:rFonts w:hint="eastAsia" w:asciiTheme="minorEastAsia" w:hAnsiTheme="minorEastAsia" w:cstheme="minorEastAsia"/>
          <w:sz w:val="28"/>
          <w:szCs w:val="28"/>
          <w:lang w:val="en-US" w:eastAsia="zh-CN"/>
        </w:rPr>
        <w:t>4.15</w:t>
      </w:r>
      <w:r>
        <w:rPr>
          <w:rFonts w:hint="eastAsia" w:asciiTheme="minorEastAsia" w:hAnsiTheme="minorEastAsia" w:eastAsiaTheme="minorEastAsia" w:cstheme="minorEastAsia"/>
          <w:sz w:val="28"/>
          <w:szCs w:val="28"/>
        </w:rPr>
        <w:t>万元，主要是</w:t>
      </w:r>
      <w:r>
        <w:rPr>
          <w:rFonts w:hint="eastAsia" w:asciiTheme="minorEastAsia" w:hAnsiTheme="minorEastAsia" w:cstheme="minorEastAsia"/>
          <w:sz w:val="28"/>
          <w:szCs w:val="28"/>
          <w:lang w:eastAsia="zh-CN"/>
        </w:rPr>
        <w:t>车辆燃油费、车辆维修费</w:t>
      </w:r>
      <w:r>
        <w:rPr>
          <w:rFonts w:hint="eastAsia" w:asciiTheme="minorEastAsia" w:hAnsiTheme="minorEastAsia" w:eastAsiaTheme="minorEastAsia" w:cstheme="minorEastAsia"/>
          <w:sz w:val="28"/>
          <w:szCs w:val="28"/>
        </w:rPr>
        <w:t>支出，截止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辆。</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rPr>
          <w:rFonts w:hint="eastAsia" w:asciiTheme="minorEastAsia" w:hAnsiTheme="minorEastAsia" w:eastAsiaTheme="minorEastAsia" w:cstheme="minorEastAsia"/>
          <w:i/>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本</w:t>
      </w:r>
      <w:r>
        <w:rPr>
          <w:rFonts w:hint="eastAsia" w:asciiTheme="minorEastAsia" w:hAnsiTheme="minorEastAsia" w:eastAsiaTheme="minorEastAsia" w:cstheme="minorEastAsia"/>
          <w:sz w:val="28"/>
          <w:szCs w:val="28"/>
        </w:rPr>
        <w:t>单位没有政府性基金收入，也没有使用政府性基金安排的支出，故本表无数据。</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5"/>
        <w:numPr>
          <w:ilvl w:val="0"/>
          <w:numId w:val="0"/>
        </w:numPr>
        <w:rPr>
          <w:rFonts w:hint="default"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本单位无国有资本经营预算财政拨款支出，故本表无数据。</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hint="eastAsia" w:asciiTheme="minorEastAsia" w:hAnsiTheme="minorEastAsia" w:cstheme="minorEastAsia"/>
          <w:iCs/>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53.36</w:t>
      </w:r>
      <w:r>
        <w:rPr>
          <w:rFonts w:hint="eastAsia" w:asciiTheme="minorEastAsia" w:hAnsiTheme="minorEastAsia" w:eastAsiaTheme="minorEastAsia" w:cstheme="minorEastAsia"/>
          <w:color w:val="000000"/>
          <w:kern w:val="0"/>
          <w:sz w:val="28"/>
          <w:szCs w:val="28"/>
        </w:rPr>
        <w:t>万元，比年初预算数</w:t>
      </w:r>
      <w:r>
        <w:rPr>
          <w:rFonts w:hint="eastAsia" w:asciiTheme="minorEastAsia" w:hAnsiTheme="minorEastAsia" w:cstheme="minorEastAsia"/>
          <w:color w:val="000000"/>
          <w:kern w:val="0"/>
          <w:sz w:val="28"/>
          <w:szCs w:val="28"/>
          <w:lang w:eastAsia="zh-CN"/>
        </w:rPr>
        <w:t>增加</w:t>
      </w:r>
      <w:r>
        <w:rPr>
          <w:rFonts w:hint="eastAsia" w:asciiTheme="minorEastAsia" w:hAnsiTheme="minorEastAsia" w:cstheme="minorEastAsia"/>
          <w:color w:val="000000"/>
          <w:kern w:val="0"/>
          <w:sz w:val="28"/>
          <w:szCs w:val="28"/>
          <w:lang w:val="en-US" w:eastAsia="zh-CN"/>
        </w:rPr>
        <w:t>0.52</w:t>
      </w:r>
      <w:r>
        <w:rPr>
          <w:rFonts w:hint="eastAsia" w:asciiTheme="minorEastAsia" w:hAnsiTheme="minorEastAsia" w:eastAsiaTheme="minorEastAsia" w:cstheme="minorEastAsia"/>
          <w:color w:val="000000"/>
          <w:kern w:val="0"/>
          <w:sz w:val="28"/>
          <w:szCs w:val="28"/>
        </w:rPr>
        <w:t>万元，降低</w:t>
      </w:r>
      <w:r>
        <w:rPr>
          <w:rFonts w:hint="eastAsia" w:asciiTheme="minorEastAsia" w:hAnsiTheme="minorEastAsia" w:cstheme="minorEastAsia"/>
          <w:color w:val="000000"/>
          <w:kern w:val="0"/>
          <w:sz w:val="28"/>
          <w:szCs w:val="28"/>
          <w:lang w:val="en-US" w:eastAsia="zh-CN"/>
        </w:rPr>
        <w:t>0.98</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cstheme="minorEastAsia"/>
          <w:color w:val="000000"/>
          <w:kern w:val="0"/>
          <w:sz w:val="28"/>
          <w:szCs w:val="28"/>
        </w:rPr>
        <w:t>领导严格控制把关，导致开支减少</w:t>
      </w:r>
      <w:r>
        <w:rPr>
          <w:rFonts w:hint="eastAsia" w:asciiTheme="minorEastAsia" w:hAnsiTheme="minorEastAsia" w:cstheme="minorEastAsia"/>
          <w:iCs/>
          <w:kern w:val="0"/>
          <w:sz w:val="28"/>
          <w:szCs w:val="28"/>
        </w:rPr>
        <w:t>。</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0万元</w:t>
      </w:r>
      <w:r>
        <w:rPr>
          <w:rFonts w:hint="eastAsia" w:asciiTheme="minorEastAsia" w:hAnsiTheme="minorEastAsia" w:eastAsiaTheme="minorEastAsia" w:cstheme="minorEastAsia"/>
          <w:color w:val="000000"/>
          <w:kern w:val="0"/>
          <w:sz w:val="28"/>
          <w:szCs w:val="28"/>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本部门2020年度政府采购支出总额0万元。</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辆，其中，执法执勤用车</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5"/>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hint="eastAsia" w:cs="黑体" w:asciiTheme="minorEastAsia" w:hAnsiTheme="minorEastAsia"/>
          <w:color w:val="000000"/>
          <w:kern w:val="0"/>
          <w:sz w:val="28"/>
          <w:szCs w:val="28"/>
          <w:lang w:eastAsia="zh-CN"/>
        </w:rPr>
      </w:pPr>
      <w:r>
        <w:rPr>
          <w:rFonts w:hint="eastAsia" w:cs="黑体" w:asciiTheme="minorEastAsia" w:hAnsiTheme="minorEastAsia"/>
          <w:color w:val="000000"/>
          <w:kern w:val="0"/>
          <w:sz w:val="28"/>
          <w:szCs w:val="28"/>
        </w:rPr>
        <w:t>根据预算绩效管理要求，我部门组织对</w:t>
      </w:r>
      <w:r>
        <w:rPr>
          <w:rFonts w:hint="eastAsia" w:cs="黑体" w:asciiTheme="minorEastAsia" w:hAnsiTheme="minorEastAsia"/>
          <w:color w:val="000000"/>
          <w:kern w:val="0"/>
          <w:sz w:val="28"/>
          <w:szCs w:val="28"/>
          <w:lang w:eastAsia="zh-CN"/>
        </w:rPr>
        <w:t>新田县国土资执法监察大队</w:t>
      </w:r>
      <w:r>
        <w:rPr>
          <w:rFonts w:hint="eastAsia" w:cs="黑体" w:asciiTheme="minorEastAsia" w:hAnsiTheme="minorEastAsia"/>
          <w:color w:val="000000"/>
          <w:kern w:val="0"/>
          <w:sz w:val="28"/>
          <w:szCs w:val="28"/>
        </w:rPr>
        <w:t>开展整体支出绩效评价，涉及一般公共预算支出</w:t>
      </w:r>
      <w:r>
        <w:rPr>
          <w:rFonts w:hint="eastAsia" w:cs="黑体" w:asciiTheme="minorEastAsia" w:hAnsiTheme="minorEastAsia"/>
          <w:color w:val="000000"/>
          <w:kern w:val="0"/>
          <w:sz w:val="28"/>
          <w:szCs w:val="28"/>
          <w:lang w:val="en-US" w:eastAsia="zh-CN"/>
        </w:rPr>
        <w:t>252.73</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color w:val="000000"/>
          <w:kern w:val="0"/>
          <w:sz w:val="28"/>
          <w:szCs w:val="28"/>
          <w:lang w:eastAsia="zh-CN"/>
        </w:rPr>
        <w:t>本单位强力推进土地违法违规行动，摸清了存量违法土地，形成了任务清单，有序推进违法用地清理，加大违法违规占用耕地的处置力度；同时在经费支出这块，严格按照预算执行，预算完成率比较高，“三公”经费未超过预算，整体来说较好地完成了整体绩效目标。</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w:t>
      </w:r>
    </w:p>
    <w:p>
      <w:pPr>
        <w:autoSpaceDE w:val="0"/>
        <w:autoSpaceDN w:val="0"/>
        <w:adjustRightInd w:val="0"/>
        <w:ind w:firstLine="560" w:firstLineChars="200"/>
        <w:jc w:val="left"/>
        <w:rPr>
          <w:rFonts w:hint="eastAsia" w:cs="黑体" w:asciiTheme="minorEastAsia" w:hAnsiTheme="minorEastAsia"/>
          <w:color w:val="000000"/>
          <w:kern w:val="0"/>
          <w:sz w:val="28"/>
          <w:szCs w:val="28"/>
          <w:lang w:eastAsia="zh-CN"/>
        </w:rPr>
      </w:pPr>
      <w:r>
        <w:rPr>
          <w:rFonts w:hint="eastAsia" w:cs="黑体" w:asciiTheme="minorEastAsia" w:hAnsiTheme="minorEastAsia"/>
          <w:color w:val="000000"/>
          <w:kern w:val="0"/>
          <w:sz w:val="28"/>
          <w:szCs w:val="28"/>
          <w:lang w:eastAsia="zh-CN"/>
        </w:rPr>
        <w:t>无。</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本单位已开展项目绩效自评，无需开展部门评价，因此无</w:t>
      </w:r>
      <w:r>
        <w:rPr>
          <w:rFonts w:hint="eastAsia" w:ascii="仿宋" w:hAnsi="仿宋" w:eastAsia="仿宋" w:cs="仿宋"/>
          <w:sz w:val="32"/>
          <w:szCs w:val="32"/>
          <w:u w:val="none"/>
          <w:lang w:val="en-US" w:eastAsia="zh-CN"/>
        </w:rPr>
        <w:t>部门评价项目绩效评价结果。</w:t>
      </w:r>
    </w:p>
    <w:p>
      <w:pPr>
        <w:pStyle w:val="5"/>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一、基本情况</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（一）单位基本情况</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1、机构设置情况：本部门为新田县自然资源局的二级机构。</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2.人员情况：202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年本部门人员编制30人，实有在职人员2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人，退休人员</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cstheme="minorEastAsia"/>
          <w:color w:val="000000"/>
          <w:kern w:val="0"/>
          <w:sz w:val="28"/>
          <w:szCs w:val="28"/>
        </w:rPr>
        <w:t>人，合计实有</w:t>
      </w:r>
      <w:r>
        <w:rPr>
          <w:rFonts w:hint="eastAsia" w:asciiTheme="minorEastAsia" w:hAnsiTheme="minorEastAsia" w:cstheme="minorEastAsia"/>
          <w:color w:val="000000"/>
          <w:kern w:val="0"/>
          <w:sz w:val="28"/>
          <w:szCs w:val="28"/>
          <w:lang w:val="en-US" w:eastAsia="zh-CN"/>
        </w:rPr>
        <w:t>24</w:t>
      </w:r>
      <w:r>
        <w:rPr>
          <w:rFonts w:hint="eastAsia" w:asciiTheme="minorEastAsia" w:hAnsiTheme="minorEastAsia" w:cstheme="minorEastAsia"/>
          <w:color w:val="000000"/>
          <w:kern w:val="0"/>
          <w:sz w:val="28"/>
          <w:szCs w:val="28"/>
        </w:rPr>
        <w:t>人。</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3.主要职能及重点工作：负责全县国土资源违法案件的调查和执法巡察工作；受理土地、矿产资源违法行为的举报、检举和控告，承办和接待群众来信来访；负责送达并执行国土资源违法案件处理告知和决定，负责有关案件的落实工作。</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（二）单位年度整体支出绩效目标</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1、全面加强土地执法监察力度。强力推进土地违法违规行动专项整治行动，摸清存量违法土地家底，形成任务清单，推进违法用地清理；</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2、落实最严格耕地保护制度，加大违法违规占用耕地处置力度，牢牢守住耕地红线；</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3、严格控制“三公”经费，加强预算执行，强化内部控制，依法依规使用资金；</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4、抓好党建工作，强化廉洁单位建设。</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二、一般公共预算支出情况</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（一）基本支出情况</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年度财政拨款基本支出</w:t>
      </w:r>
      <w:r>
        <w:rPr>
          <w:rFonts w:hint="eastAsia" w:asciiTheme="minorEastAsia" w:hAnsiTheme="minorEastAsia" w:cstheme="minorEastAsia"/>
          <w:color w:val="000000"/>
          <w:kern w:val="0"/>
          <w:sz w:val="28"/>
          <w:szCs w:val="28"/>
          <w:lang w:val="en-US" w:eastAsia="zh-CN"/>
        </w:rPr>
        <w:t>252.73</w:t>
      </w:r>
      <w:r>
        <w:rPr>
          <w:rFonts w:hint="eastAsia" w:asciiTheme="minorEastAsia" w:hAnsiTheme="minorEastAsia" w:cstheme="minorEastAsia"/>
          <w:color w:val="000000"/>
          <w:kern w:val="0"/>
          <w:sz w:val="28"/>
          <w:szCs w:val="28"/>
        </w:rPr>
        <w:t>万元，其中：人员经费</w:t>
      </w:r>
      <w:r>
        <w:rPr>
          <w:rFonts w:hint="eastAsia" w:asciiTheme="minorEastAsia" w:hAnsiTheme="minorEastAsia" w:cstheme="minorEastAsia"/>
          <w:color w:val="000000"/>
          <w:kern w:val="0"/>
          <w:sz w:val="28"/>
          <w:szCs w:val="28"/>
          <w:lang w:val="en-US" w:eastAsia="zh-CN"/>
        </w:rPr>
        <w:t>199.37</w:t>
      </w:r>
      <w:r>
        <w:rPr>
          <w:rFonts w:hint="eastAsia" w:asciiTheme="minorEastAsia" w:hAnsiTheme="minorEastAsia" w:cstheme="minorEastAsia"/>
          <w:color w:val="000000"/>
          <w:kern w:val="0"/>
          <w:sz w:val="28"/>
          <w:szCs w:val="28"/>
        </w:rPr>
        <w:t>万元，主要包括：基本工资、津贴补贴、奖金、伙食补助费、绩效工资、机关事业单位基本养老保险费、职工基本医疗保险缴费、其他社会保障缴费、医疗费、其他工资福利支出；公用经费53.</w:t>
      </w:r>
      <w:r>
        <w:rPr>
          <w:rFonts w:hint="eastAsia" w:asciiTheme="minorEastAsia" w:hAnsiTheme="minorEastAsia" w:cstheme="minorEastAsia"/>
          <w:color w:val="000000"/>
          <w:kern w:val="0"/>
          <w:sz w:val="28"/>
          <w:szCs w:val="28"/>
          <w:lang w:val="en-US" w:eastAsia="zh-CN"/>
        </w:rPr>
        <w:t>36</w:t>
      </w:r>
      <w:r>
        <w:rPr>
          <w:rFonts w:hint="eastAsia" w:asciiTheme="minorEastAsia" w:hAnsiTheme="minorEastAsia" w:cstheme="minorEastAsia"/>
          <w:color w:val="000000"/>
          <w:kern w:val="0"/>
          <w:sz w:val="28"/>
          <w:szCs w:val="28"/>
        </w:rPr>
        <w:t>万元，主要包括：办公费、印刷费、水费、电费、差旅费、租赁费、公务接待费、福利费、公务用车运行维护费、其他交通费用、其他商品和服务支出。</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年度“三公”经费财政拨款支出决算中：</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公务用车购置及运行费支出决算</w:t>
      </w:r>
      <w:r>
        <w:rPr>
          <w:rFonts w:hint="eastAsia" w:asciiTheme="minorEastAsia" w:hAnsiTheme="minorEastAsia" w:cstheme="minorEastAsia"/>
          <w:color w:val="000000"/>
          <w:kern w:val="0"/>
          <w:sz w:val="28"/>
          <w:szCs w:val="28"/>
          <w:lang w:val="en-US" w:eastAsia="zh-CN"/>
        </w:rPr>
        <w:t>4.18</w:t>
      </w:r>
      <w:r>
        <w:rPr>
          <w:rFonts w:hint="eastAsia" w:asciiTheme="minorEastAsia" w:hAnsiTheme="minorEastAsia" w:cstheme="minorEastAsia"/>
          <w:color w:val="000000"/>
          <w:kern w:val="0"/>
          <w:sz w:val="28"/>
          <w:szCs w:val="28"/>
        </w:rPr>
        <w:t>万元，占</w:t>
      </w:r>
      <w:r>
        <w:rPr>
          <w:rFonts w:hint="eastAsia" w:asciiTheme="minorEastAsia" w:hAnsiTheme="minorEastAsia" w:cstheme="minorEastAsia"/>
          <w:color w:val="000000"/>
          <w:kern w:val="0"/>
          <w:sz w:val="28"/>
          <w:szCs w:val="28"/>
          <w:lang w:val="en-US" w:eastAsia="zh-CN"/>
        </w:rPr>
        <w:t>50.18</w:t>
      </w:r>
      <w:r>
        <w:rPr>
          <w:rFonts w:hint="eastAsia" w:asciiTheme="minorEastAsia" w:hAnsiTheme="minorEastAsia" w:cstheme="minorEastAsia"/>
          <w:color w:val="000000"/>
          <w:kern w:val="0"/>
          <w:sz w:val="28"/>
          <w:szCs w:val="28"/>
        </w:rPr>
        <w:t>%，其中公务用车运行支出</w:t>
      </w:r>
      <w:r>
        <w:rPr>
          <w:rFonts w:hint="eastAsia" w:asciiTheme="minorEastAsia" w:hAnsiTheme="minorEastAsia" w:cstheme="minorEastAsia"/>
          <w:color w:val="000000"/>
          <w:kern w:val="0"/>
          <w:sz w:val="28"/>
          <w:szCs w:val="28"/>
          <w:lang w:val="en-US" w:eastAsia="zh-CN"/>
        </w:rPr>
        <w:t>4.18</w:t>
      </w:r>
      <w:r>
        <w:rPr>
          <w:rFonts w:hint="eastAsia" w:asciiTheme="minorEastAsia" w:hAnsiTheme="minorEastAsia" w:cstheme="minorEastAsia"/>
          <w:color w:val="000000"/>
          <w:kern w:val="0"/>
          <w:sz w:val="28"/>
          <w:szCs w:val="28"/>
        </w:rPr>
        <w:t>万元；</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公务接待费支出决算</w:t>
      </w:r>
      <w:r>
        <w:rPr>
          <w:rFonts w:hint="eastAsia" w:asciiTheme="minorEastAsia" w:hAnsiTheme="minorEastAsia" w:cstheme="minorEastAsia"/>
          <w:color w:val="000000"/>
          <w:kern w:val="0"/>
          <w:sz w:val="28"/>
          <w:szCs w:val="28"/>
          <w:lang w:val="en-US" w:eastAsia="zh-CN"/>
        </w:rPr>
        <w:t>4.15</w:t>
      </w:r>
      <w:r>
        <w:rPr>
          <w:rFonts w:hint="eastAsia" w:asciiTheme="minorEastAsia" w:hAnsiTheme="minorEastAsia" w:cstheme="minorEastAsia"/>
          <w:color w:val="000000"/>
          <w:kern w:val="0"/>
          <w:sz w:val="28"/>
          <w:szCs w:val="28"/>
        </w:rPr>
        <w:t>万元，占</w:t>
      </w:r>
      <w:r>
        <w:rPr>
          <w:rFonts w:hint="eastAsia" w:asciiTheme="minorEastAsia" w:hAnsiTheme="minorEastAsia" w:cstheme="minorEastAsia"/>
          <w:color w:val="000000"/>
          <w:kern w:val="0"/>
          <w:sz w:val="28"/>
          <w:szCs w:val="28"/>
          <w:lang w:val="en-US" w:eastAsia="zh-CN"/>
        </w:rPr>
        <w:t>49.82</w:t>
      </w:r>
      <w:r>
        <w:rPr>
          <w:rFonts w:hint="eastAsia" w:asciiTheme="minorEastAsia" w:hAnsiTheme="minorEastAsia" w:cstheme="minorEastAsia"/>
          <w:color w:val="000000"/>
          <w:kern w:val="0"/>
          <w:sz w:val="28"/>
          <w:szCs w:val="28"/>
        </w:rPr>
        <w:t>%。</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（二）项目支出情况</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本单位202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年无项目支出。</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三、部门整体支出绩效情况</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根据202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年度部门整体支出绩效评价文件要求，我单位对202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度基本支出、“三公”经费和厉行节约等方面的情况进行自评，主要包括预算配置、预算执行、预算管理、职责履行、履职效益及厉行节约保障措施等方面的情况，最后得分为92.2分，其中“三公”经费支出情况如下：</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1、公务接待费。202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年公务接待费为4.</w:t>
      </w:r>
      <w:r>
        <w:rPr>
          <w:rFonts w:hint="eastAsia" w:asciiTheme="minorEastAsia" w:hAnsiTheme="minorEastAsia" w:cstheme="minorEastAsia"/>
          <w:color w:val="000000"/>
          <w:kern w:val="0"/>
          <w:sz w:val="28"/>
          <w:szCs w:val="28"/>
          <w:lang w:val="en-US" w:eastAsia="zh-CN"/>
        </w:rPr>
        <w:t>18</w:t>
      </w:r>
      <w:r>
        <w:rPr>
          <w:rFonts w:hint="eastAsia" w:asciiTheme="minorEastAsia" w:hAnsiTheme="minorEastAsia" w:cstheme="minorEastAsia"/>
          <w:color w:val="000000"/>
          <w:kern w:val="0"/>
          <w:sz w:val="28"/>
          <w:szCs w:val="28"/>
        </w:rPr>
        <w:t>万元,比上年减少0.</w:t>
      </w:r>
      <w:r>
        <w:rPr>
          <w:rFonts w:hint="eastAsia" w:asciiTheme="minorEastAsia" w:hAnsiTheme="minorEastAsia" w:cstheme="minorEastAsia"/>
          <w:color w:val="000000"/>
          <w:kern w:val="0"/>
          <w:sz w:val="28"/>
          <w:szCs w:val="28"/>
          <w:lang w:val="en-US" w:eastAsia="zh-CN"/>
        </w:rPr>
        <w:t>62</w:t>
      </w:r>
      <w:r>
        <w:rPr>
          <w:rFonts w:hint="eastAsia" w:asciiTheme="minorEastAsia" w:hAnsiTheme="minorEastAsia" w:cstheme="minorEastAsia"/>
          <w:color w:val="000000"/>
          <w:kern w:val="0"/>
          <w:sz w:val="28"/>
          <w:szCs w:val="28"/>
        </w:rPr>
        <w:t>万元。在公务接待中严格审批程序，规定了公务接待的审批权限；严格接待标准，规定用餐原则上都安排自助餐；严格报账，严格执行先审批，后接待的程序。</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2、公务用车购置及运行费。我单位202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rPr>
        <w:t>年车辆运行费用支出</w:t>
      </w:r>
      <w:r>
        <w:rPr>
          <w:rFonts w:hint="eastAsia" w:asciiTheme="minorEastAsia" w:hAnsiTheme="minorEastAsia" w:cstheme="minorEastAsia"/>
          <w:color w:val="000000"/>
          <w:kern w:val="0"/>
          <w:sz w:val="28"/>
          <w:szCs w:val="28"/>
          <w:lang w:val="en-US" w:eastAsia="zh-CN"/>
        </w:rPr>
        <w:t>4.15</w:t>
      </w:r>
      <w:r>
        <w:rPr>
          <w:rFonts w:hint="eastAsia" w:asciiTheme="minorEastAsia" w:hAnsiTheme="minorEastAsia" w:cstheme="minorEastAsia"/>
          <w:color w:val="000000"/>
          <w:kern w:val="0"/>
          <w:sz w:val="28"/>
          <w:szCs w:val="28"/>
        </w:rPr>
        <w:t>万元，与上年相比减少2万元，主要原因是单位领导牢固树立“过紧日子”的思想，严格控制三公经费支出。</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七、存在的问题及原因分析</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1、预算执行进度总体偏慢。主要原因是年初预算做了安排，但是因为各种原因不能做到当年开支，当年报账，延缓了资金结算进度，</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社会公众满意度有待进一步提升。这是由于我单位工作性质原因，为保证耕地不被破坏，守住耕地保护红线，必须严格遏制乱占耕地建房，加强执法力度，对违法建筑必须进行拆除，当地群众损失严重，从而导致群众满意度降低。</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八、下一步改进措施</w:t>
      </w:r>
    </w:p>
    <w:p>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1、进一步加快预算执行进度。一是改进预算安排，坚持当年能形成支出的，当年安排，当年不能形成支出的，不予安排。二是加快预算执行，加快实施进度，加快资金结算进度。</w:t>
      </w:r>
    </w:p>
    <w:p>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2、进一步提升服务水平。巩固作风建设成果，树立部门良好形象。加大日常巡查，同时地群众加强不乱占耕地建房的宣传力度，从源头上遏制违法用地的行为，尽量让群众减少损失，提高对我们工作的满意度。</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GIxM2E1N2FhYTlmMzMxYjhlZmNkOWQxNDZhNTQifQ=="/>
  </w:docVars>
  <w:rsids>
    <w:rsidRoot w:val="196D3D59"/>
    <w:rsid w:val="06983C28"/>
    <w:rsid w:val="18237274"/>
    <w:rsid w:val="196D3D59"/>
    <w:rsid w:val="2F9874C3"/>
    <w:rsid w:val="324A6B67"/>
    <w:rsid w:val="34B53CE6"/>
    <w:rsid w:val="36DC4165"/>
    <w:rsid w:val="383F5EE0"/>
    <w:rsid w:val="3FBA60B0"/>
    <w:rsid w:val="44415E48"/>
    <w:rsid w:val="47FD5A57"/>
    <w:rsid w:val="4C8E2E4B"/>
    <w:rsid w:val="4D6943E2"/>
    <w:rsid w:val="5313200B"/>
    <w:rsid w:val="5753429D"/>
    <w:rsid w:val="627B167E"/>
    <w:rsid w:val="71062E85"/>
    <w:rsid w:val="73640463"/>
    <w:rsid w:val="790A7FD0"/>
    <w:rsid w:val="7C3A1A78"/>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6986</Words>
  <Characters>8183</Characters>
  <Lines>0</Lines>
  <Paragraphs>0</Paragraphs>
  <TotalTime>0</TotalTime>
  <ScaleCrop>false</ScaleCrop>
  <LinksUpToDate>false</LinksUpToDate>
  <CharactersWithSpaces>9896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香香公主</cp:lastModifiedBy>
  <dcterms:modified xsi:type="dcterms:W3CDTF">2023-09-27T08:05:14Z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1F31D2F974AF47B9BA39C0073A6757E9</vt:lpwstr>
  </property>
</Properties>
</file>