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新田县公路建设养护中心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w:t>
      </w:r>
      <w:bookmarkStart w:id="0" w:name="_GoBack"/>
      <w:bookmarkEnd w:id="0"/>
      <w:r>
        <w:rPr>
          <w:rFonts w:hint="eastAsia" w:ascii="楷体" w:hAnsi="楷体" w:eastAsia="楷体" w:cs="楷体"/>
          <w:color w:val="auto"/>
          <w:sz w:val="32"/>
          <w:szCs w:val="32"/>
          <w:lang w:eastAsia="zh-CN"/>
        </w:rPr>
        <w:t>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楷体" w:hAnsi="楷体" w:eastAsia="楷体" w:cs="楷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 xml:space="preserve">    </w:t>
      </w:r>
      <w:r>
        <w:rPr>
          <w:rFonts w:hint="eastAsia" w:ascii="楷体" w:hAnsi="楷体" w:eastAsia="楷体" w:cs="楷体"/>
          <w:color w:val="auto"/>
          <w:kern w:val="0"/>
          <w:sz w:val="32"/>
          <w:szCs w:val="32"/>
          <w:shd w:val="clear" w:color="auto" w:fill="F6F6F6"/>
          <w:lang w:val="en-US" w:eastAsia="zh-CN" w:bidi="ar"/>
        </w:rPr>
        <w:t>24.项目支出绩效目标表</w:t>
      </w: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（1）贯彻执行国家及省、市、县有关公路建设、养护和管理工作的方针、政策和法律法规，并拟定相应的实施办法和措施。</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负责组织实施全县境内国省干线公路的新、改、扩建工程和其它重大公路工程建设；负责全县境内国省干线公路大中修工作；负责全县境内国省干线公路建设工程的勘查和设计；负责全县境内国省干线道路及民桥建设技术咨询服务；负责全县境内国省干线公路科技项目成果的推广应用等工作；负责全县境内国省干线公路建设工程材料检测实验工作。</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负责对全县境内国省干线公路的路况目标任务实施指导、监督、检查和考核工作；负责全县境内国省干线公路的养护管理、应急保通、危桥改造、安保工程建设；负责全县境内国省干线公路桥涵（隧）和公路附属设施的日常养护和维修工作；负责全县境内国省干线公路的绿化工作；负责全县境内国省干线公路信息化建设管理和公路路网运行监测工作。</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（4）负责所属单位的安全生产和精神文明建设工作承担统筹协调全县境内国省干线公路产权保护的相关事务性工作。</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（5）参与制定全县境内国省干线公路建设中长期发展规划和年度全县境内国省干线公路改造计划；参与拟定全县境内国省干线公路固定资产规划；贯彻执行统计法规，负责全县境内国省干线公路工作统计。</w:t>
      </w:r>
    </w:p>
    <w:p>
      <w:pPr>
        <w:pStyle w:val="3"/>
        <w:widowControl/>
        <w:shd w:val="clear" w:color="auto" w:fill="FFFFFF"/>
        <w:spacing w:line="420" w:lineRule="atLeast"/>
        <w:ind w:firstLine="8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（6）负责公路领域应急体系建设及重大突发性事件应急处置的行政辅助工作；参与交通战备保障工作。</w:t>
      </w:r>
    </w:p>
    <w:p>
      <w:pPr>
        <w:pStyle w:val="3"/>
        <w:widowControl/>
        <w:shd w:val="clear" w:color="auto" w:fill="FFFFFF"/>
        <w:spacing w:line="420" w:lineRule="atLeast"/>
        <w:ind w:firstLine="800"/>
        <w:rPr>
          <w:rFonts w:hint="eastAsia" w:ascii="仿宋" w:hAnsi="仿宋" w:eastAsia="仿宋" w:cs="仿宋_GB2312"/>
          <w:color w:val="000000"/>
          <w:sz w:val="28"/>
          <w:szCs w:val="28"/>
          <w:shd w:val="clear" w:color="auto" w:fill="FFFFFF"/>
        </w:rPr>
      </w:pPr>
      <w:r>
        <w:rPr>
          <w:rFonts w:hint="eastAsia" w:ascii="Times New Roman" w:hAnsi="Times New Roman" w:eastAsia="仿宋_GB2312" w:cs="Times New Roman"/>
          <w:color w:val="auto"/>
          <w:kern w:val="2"/>
          <w:sz w:val="32"/>
          <w:szCs w:val="32"/>
          <w:lang w:val="en-US" w:eastAsia="zh-CN" w:bidi="ar-SA"/>
        </w:rPr>
        <w:t>（7）承办县交通运输局交办的其他事项</w:t>
      </w:r>
      <w:r>
        <w:rPr>
          <w:rFonts w:hint="eastAsia" w:ascii="仿宋" w:hAnsi="仿宋" w:eastAsia="仿宋" w:cs="仿宋_GB2312"/>
          <w:color w:val="000000"/>
          <w:sz w:val="28"/>
          <w:szCs w:val="28"/>
          <w:shd w:val="clear" w:color="auto" w:fill="FFFFFF"/>
        </w:rPr>
        <w:t>。</w:t>
      </w:r>
    </w:p>
    <w:p>
      <w:pPr>
        <w:widowControl/>
        <w:spacing w:line="600" w:lineRule="exact"/>
        <w:ind w:firstLine="627" w:firstLineChars="196"/>
        <w:jc w:val="left"/>
        <w:rPr>
          <w:rFonts w:hint="eastAsia" w:ascii="Times New Roman" w:hAnsi="Times New Roman" w:eastAsia="仿宋_GB2312" w:cs="Times New Roman"/>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我单位是由新田县人民政府直属科级事业单位，核定为全额拨款的事业单位，现有在职人数55个，离退休人数44个，一共99人。内设股室分别是办公室、政工室、财务室、工程建设室、国省干线公路室、安全法制室、计划统计信息室。</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eastAsia="zh-CN"/>
        </w:rPr>
        <w:t>本</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180.57</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工资及社保预算增加</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180.57</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工资及社保支出预算增加</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lang w:val="en-US" w:eastAsia="zh-CN"/>
        </w:rPr>
        <w:t>1419.68</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919.68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500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ascii="仿宋_GB2312" w:hAnsi="Arial" w:eastAsia="仿宋_GB2312" w:cs="仿宋_GB2312"/>
          <w:sz w:val="32"/>
          <w:szCs w:val="32"/>
          <w:u w:val="single"/>
          <w:shd w:val="clear" w:color="auto" w:fill="F6F6F6"/>
        </w:rPr>
        <w:t xml:space="preserve"> </w:t>
      </w:r>
      <w:r>
        <w:rPr>
          <w:rFonts w:hint="eastAsia" w:ascii="仿宋_GB2312" w:hAnsi="Arial" w:eastAsia="仿宋_GB2312" w:cs="仿宋_GB2312"/>
          <w:sz w:val="32"/>
          <w:szCs w:val="32"/>
          <w:u w:val="single"/>
          <w:shd w:val="clear" w:color="auto" w:fill="F6F6F6"/>
        </w:rPr>
        <w:t>公路养护</w:t>
      </w:r>
      <w:r>
        <w:rPr>
          <w:rFonts w:ascii="仿宋_GB2312" w:hAnsi="Arial" w:eastAsia="仿宋_GB2312" w:cs="仿宋_GB2312"/>
          <w:sz w:val="32"/>
          <w:szCs w:val="32"/>
          <w:u w:val="single"/>
          <w:shd w:val="clear" w:color="auto" w:fill="F6F6F6"/>
        </w:rPr>
        <w:t xml:space="preserve"> </w:t>
      </w:r>
      <w:r>
        <w:rPr>
          <w:rFonts w:hint="eastAsia" w:ascii="仿宋_GB2312" w:hAnsi="Arial" w:eastAsia="仿宋_GB2312" w:cs="仿宋_GB2312"/>
          <w:sz w:val="32"/>
          <w:szCs w:val="32"/>
          <w:shd w:val="clear" w:color="auto" w:fill="F6F6F6"/>
        </w:rPr>
        <w:t>支出</w:t>
      </w:r>
      <w:r>
        <w:rPr>
          <w:rFonts w:ascii="仿宋_GB2312" w:hAnsi="Arial" w:eastAsia="仿宋_GB2312" w:cs="仿宋_GB2312"/>
          <w:sz w:val="32"/>
          <w:szCs w:val="32"/>
          <w:u w:val="single"/>
          <w:shd w:val="clear" w:color="auto" w:fill="F6F6F6"/>
        </w:rPr>
        <w:t xml:space="preserve"> 300  </w:t>
      </w:r>
      <w:r>
        <w:rPr>
          <w:rFonts w:hint="eastAsia" w:ascii="仿宋_GB2312" w:hAnsi="Arial" w:eastAsia="仿宋_GB2312" w:cs="仿宋_GB2312"/>
          <w:sz w:val="32"/>
          <w:szCs w:val="32"/>
          <w:shd w:val="clear" w:color="auto" w:fill="F6F6F6"/>
        </w:rPr>
        <w:t>万元，主要用于公路日常养护等方面；</w:t>
      </w:r>
      <w:r>
        <w:rPr>
          <w:rFonts w:ascii="仿宋_GB2312" w:hAnsi="Arial" w:eastAsia="仿宋_GB2312" w:cs="仿宋_GB2312"/>
          <w:sz w:val="32"/>
          <w:szCs w:val="32"/>
          <w:u w:val="single"/>
          <w:shd w:val="clear" w:color="auto" w:fill="F6F6F6"/>
        </w:rPr>
        <w:t xml:space="preserve">  </w:t>
      </w:r>
      <w:r>
        <w:rPr>
          <w:rFonts w:hint="eastAsia" w:ascii="仿宋_GB2312" w:hAnsi="Arial" w:eastAsia="仿宋_GB2312" w:cs="仿宋_GB2312"/>
          <w:sz w:val="32"/>
          <w:szCs w:val="32"/>
          <w:u w:val="single"/>
          <w:shd w:val="clear" w:color="auto" w:fill="F6F6F6"/>
        </w:rPr>
        <w:t>公路建设及应急抢险</w:t>
      </w:r>
      <w:r>
        <w:rPr>
          <w:rFonts w:ascii="仿宋_GB2312" w:hAnsi="Arial" w:eastAsia="仿宋_GB2312" w:cs="仿宋_GB2312"/>
          <w:sz w:val="32"/>
          <w:szCs w:val="32"/>
          <w:u w:val="single"/>
          <w:shd w:val="clear" w:color="auto" w:fill="F6F6F6"/>
        </w:rPr>
        <w:t xml:space="preserve"> </w:t>
      </w:r>
      <w:r>
        <w:rPr>
          <w:rFonts w:hint="eastAsia" w:ascii="仿宋_GB2312" w:hAnsi="Arial" w:eastAsia="仿宋_GB2312" w:cs="仿宋_GB2312"/>
          <w:sz w:val="32"/>
          <w:szCs w:val="32"/>
          <w:shd w:val="clear" w:color="auto" w:fill="F6F6F6"/>
        </w:rPr>
        <w:t>支出</w:t>
      </w:r>
      <w:r>
        <w:rPr>
          <w:rFonts w:ascii="仿宋_GB2312" w:hAnsi="Arial" w:eastAsia="仿宋_GB2312" w:cs="仿宋_GB2312"/>
          <w:sz w:val="32"/>
          <w:szCs w:val="32"/>
          <w:u w:val="single"/>
          <w:shd w:val="clear" w:color="auto" w:fill="F6F6F6"/>
        </w:rPr>
        <w:t xml:space="preserve"> 180  </w:t>
      </w:r>
      <w:r>
        <w:rPr>
          <w:rFonts w:hint="eastAsia" w:ascii="仿宋_GB2312" w:hAnsi="Arial" w:eastAsia="仿宋_GB2312" w:cs="仿宋_GB2312"/>
          <w:sz w:val="32"/>
          <w:szCs w:val="32"/>
          <w:shd w:val="clear" w:color="auto" w:fill="F6F6F6"/>
        </w:rPr>
        <w:t>万元，主要用于公路建设及应急抢险等方面；路政管理支出</w:t>
      </w:r>
      <w:r>
        <w:rPr>
          <w:rFonts w:ascii="仿宋_GB2312" w:hAnsi="Arial" w:eastAsia="仿宋_GB2312" w:cs="仿宋_GB2312"/>
          <w:sz w:val="32"/>
          <w:szCs w:val="32"/>
          <w:u w:val="single"/>
          <w:shd w:val="clear" w:color="auto" w:fill="F6F6F6"/>
        </w:rPr>
        <w:t>2</w:t>
      </w:r>
      <w:r>
        <w:rPr>
          <w:rFonts w:hint="eastAsia" w:ascii="仿宋_GB2312" w:hAnsi="Arial" w:eastAsia="仿宋_GB2312" w:cs="仿宋_GB2312"/>
          <w:sz w:val="32"/>
          <w:szCs w:val="32"/>
          <w:u w:val="single"/>
          <w:shd w:val="clear" w:color="auto" w:fill="F6F6F6"/>
          <w:lang w:val="en-US" w:eastAsia="zh-CN"/>
        </w:rPr>
        <w:t>0</w:t>
      </w:r>
      <w:r>
        <w:rPr>
          <w:rFonts w:hint="eastAsia" w:ascii="仿宋_GB2312" w:hAnsi="Arial" w:eastAsia="仿宋_GB2312" w:cs="仿宋_GB2312"/>
          <w:sz w:val="32"/>
          <w:szCs w:val="32"/>
          <w:shd w:val="clear" w:color="auto" w:fill="F6F6F6"/>
        </w:rPr>
        <w:t>万元，主要用于路产路权管理。</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%；文化旅游体育与传媒支出</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b/>
          <w:color w:val="auto"/>
          <w:sz w:val="32"/>
          <w:szCs w:val="32"/>
        </w:rPr>
      </w:pPr>
      <w:r>
        <w:rPr>
          <w:rFonts w:eastAsia="仿宋_GB2312"/>
          <w:b/>
          <w:color w:val="auto"/>
          <w:sz w:val="32"/>
          <w:szCs w:val="32"/>
        </w:rPr>
        <w:t>（注：如无政府性基金预算安排的支出，应反映“本部门无政府性基金安排的支出”）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年本部门机关本级、……等</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34.75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17.75</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33.81</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ascii="仿宋_GB2312" w:eastAsia="仿宋_GB2312" w:cs="仿宋_GB2312"/>
          <w:sz w:val="32"/>
          <w:szCs w:val="32"/>
          <w:shd w:val="clear" w:color="auto" w:fill="F6F6F6"/>
        </w:rPr>
        <w:t>进一步压缩开支，机关运行经费逐年递减</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本部门机关本级、……等</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5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5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501.25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21.25</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180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300</w:t>
      </w:r>
      <w:r>
        <w:rPr>
          <w:rFonts w:eastAsia="仿宋_GB2312"/>
          <w:color w:val="auto"/>
          <w:sz w:val="32"/>
          <w:szCs w:val="32"/>
          <w:u w:val="single"/>
        </w:rPr>
        <w:t xml:space="preserve">  </w:t>
      </w:r>
      <w:r>
        <w:rPr>
          <w:rFonts w:eastAsia="仿宋_GB2312"/>
          <w:color w:val="auto"/>
          <w:sz w:val="32"/>
          <w:szCs w:val="32"/>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 xml:space="preserve"> 1419.68 </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919.68</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 xml:space="preserve"> 500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6731C0F"/>
    <w:rsid w:val="184423B4"/>
    <w:rsid w:val="1A4713E9"/>
    <w:rsid w:val="1F122A8F"/>
    <w:rsid w:val="22606ACD"/>
    <w:rsid w:val="284A5A24"/>
    <w:rsid w:val="29310182"/>
    <w:rsid w:val="2A1C6CCC"/>
    <w:rsid w:val="2BBD624F"/>
    <w:rsid w:val="30285F7E"/>
    <w:rsid w:val="38995009"/>
    <w:rsid w:val="41366754"/>
    <w:rsid w:val="4167540A"/>
    <w:rsid w:val="41EF55F9"/>
    <w:rsid w:val="42F51E9D"/>
    <w:rsid w:val="44665BC1"/>
    <w:rsid w:val="4AB76D80"/>
    <w:rsid w:val="52326F0E"/>
    <w:rsid w:val="543D0DF6"/>
    <w:rsid w:val="55386724"/>
    <w:rsid w:val="60DA7950"/>
    <w:rsid w:val="62262323"/>
    <w:rsid w:val="647D0321"/>
    <w:rsid w:val="6AE52C4C"/>
    <w:rsid w:val="6BF1436A"/>
    <w:rsid w:val="703C4095"/>
    <w:rsid w:val="725A4212"/>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3371</Words>
  <Characters>3647</Characters>
  <Lines>0</Lines>
  <Paragraphs>0</Paragraphs>
  <TotalTime>65</TotalTime>
  <ScaleCrop>false</ScaleCrop>
  <LinksUpToDate>false</LinksUpToDate>
  <CharactersWithSpaces>3846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香香公主</cp:lastModifiedBy>
  <cp:lastPrinted>2019-09-03T01:21:00Z</cp:lastPrinted>
  <dcterms:modified xsi:type="dcterms:W3CDTF">2023-07-14T08:07:12Z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F645A0C94A034DC5A5C1DACBC734239D_12</vt:lpwstr>
  </property>
</Properties>
</file>