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w w:val="95"/>
          <w:sz w:val="44"/>
          <w:szCs w:val="44"/>
          <w:lang w:val="en-US" w:eastAsia="zh-CN"/>
        </w:rPr>
        <w:t>2023年</w:t>
      </w:r>
      <w:r>
        <w:rPr>
          <w:rFonts w:hint="eastAsia" w:ascii="黑体" w:hAnsi="宋体" w:eastAsia="黑体" w:cs="黑体"/>
          <w:b/>
          <w:color w:val="auto"/>
          <w:w w:val="95"/>
          <w:kern w:val="0"/>
          <w:sz w:val="44"/>
          <w:szCs w:val="44"/>
          <w:u w:val="single"/>
          <w:shd w:val="clear"/>
          <w:lang w:val="en-US" w:eastAsia="zh-CN" w:bidi="ar"/>
        </w:rPr>
        <w:t>新田县宏发圩中心小学</w:t>
      </w:r>
      <w:r>
        <w:rPr>
          <w:rFonts w:hint="eastAsia" w:ascii="黑体" w:hAnsi="黑体" w:eastAsia="黑体" w:cs="黑体"/>
          <w:b/>
          <w:bCs/>
          <w:color w:val="auto"/>
          <w:w w:val="95"/>
          <w:sz w:val="44"/>
          <w:szCs w:val="44"/>
          <w:lang w:val="en-US" w:eastAsia="zh-CN"/>
        </w:rPr>
        <w:t>单位部门预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（1）宣传贯彻执行党和国家的教育方针、教育法律法规，贯彻执行上级的各项规章制度。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（2）在政府和上级教育主管部门的领导下，争取资金改善办学条件，为师生的学习和工作提供优美和谐的环境。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（3）按照教师的职数、编制和管理权限，负责对本校教师进行管理，制定切实可行的学校规章制度，以提高教育教学质量为目的，对教职工的工作开展客观、公正的评价和考核。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（4）开齐课程，开足课时，认真实施小学教育教学管理，全面推进素质教育，全面提高教育教学质量。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新田县宏发圩中心小学。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新田县宏发圩中心小学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一般公共预算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经费拨款；支出包括教育支出，也包括社会保障和就业支出、卫生健康支出等经费。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包括一般公共预算等财政拨款收入，以及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其他收入</w:t>
      </w:r>
      <w:r>
        <w:rPr>
          <w:rFonts w:eastAsia="仿宋_GB2312"/>
          <w:color w:val="auto"/>
          <w:sz w:val="32"/>
          <w:szCs w:val="32"/>
        </w:rPr>
        <w:t>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340.06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291.07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48.99万元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53.99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在职在岗教师较上年有所增加，相应提高预算收入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340.06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274.16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35.01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12.99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17.91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53.99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在职在岗教师较上年有所增加，相应增加工资福利支出、商品和服务支出等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340.06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%；教育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274.16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80.62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35.01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10.30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12.99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3.82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17.91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5.26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272.09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67.97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18.98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2023年学生营养膳食改善专项计划；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20.99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2023年学校日常教学开支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本部门无政府性基金安排的支出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20.99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48.80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我校厉行节约，在保障学校日常教学开支的前提下减少不必要的开支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0.80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3.一般性支出情况：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万元，拟召开内部控制工作小组、党员活动日等会议，人数约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人次，主要包含传达内部控制专题、主题党日活动等内容；培训费预算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万元，拟开展内控专题、国培、开展教职工技能提升等培训等培训，人数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人次，主要内容为对内控、教研教学进行专题培训；未计划举办节庆、晚会、论坛、赛事活动。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5.国有资产占用使用及新增资产配置情况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340.06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272.09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67.97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6027BC"/>
    <w:rsid w:val="0EFE2AC3"/>
    <w:rsid w:val="101D5507"/>
    <w:rsid w:val="12F87997"/>
    <w:rsid w:val="18166F66"/>
    <w:rsid w:val="184423B4"/>
    <w:rsid w:val="1A4713E9"/>
    <w:rsid w:val="1F122A8F"/>
    <w:rsid w:val="22606ACD"/>
    <w:rsid w:val="284A5A24"/>
    <w:rsid w:val="29310182"/>
    <w:rsid w:val="29895D75"/>
    <w:rsid w:val="2A1C6CCC"/>
    <w:rsid w:val="30285F7E"/>
    <w:rsid w:val="41366754"/>
    <w:rsid w:val="4167540A"/>
    <w:rsid w:val="41E33C60"/>
    <w:rsid w:val="42226A8B"/>
    <w:rsid w:val="44665BC1"/>
    <w:rsid w:val="4AB76D80"/>
    <w:rsid w:val="4D4B535F"/>
    <w:rsid w:val="52326F0E"/>
    <w:rsid w:val="543D0DF6"/>
    <w:rsid w:val="55386724"/>
    <w:rsid w:val="60DA7950"/>
    <w:rsid w:val="62262323"/>
    <w:rsid w:val="647D0321"/>
    <w:rsid w:val="703C4095"/>
    <w:rsid w:val="79183053"/>
    <w:rsid w:val="7BBA645B"/>
    <w:rsid w:val="7F6D1171"/>
    <w:rsid w:val="7F7E1F36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2931</Words>
  <Characters>3218</Characters>
  <Lines>0</Lines>
  <Paragraphs>0</Paragraphs>
  <TotalTime>1</TotalTime>
  <ScaleCrop>false</ScaleCrop>
  <LinksUpToDate>false</LinksUpToDate>
  <CharactersWithSpaces>3334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2023-07-18T07:47:26Z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8D2D390A16B748E2A44D8D9DD32FC8B6_12</vt:lpwstr>
  </property>
</Properties>
</file>