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新田县金陵中学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本单位主要职能是实施初中教育教学工作，促进基础教育发展，开展初中学历教育。</w:t>
      </w:r>
    </w:p>
    <w:p>
      <w:pPr>
        <w:widowControl/>
        <w:numPr>
          <w:ilvl w:val="0"/>
          <w:numId w:val="1"/>
        </w:numPr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金陵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中学单位内设机构包括：校长室、总务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处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政教处、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教导处、财务室。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金陵中学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其他必要支出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291.82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247.54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44.28万元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b w:val="0"/>
          <w:bCs/>
          <w:color w:val="auto"/>
          <w:sz w:val="32"/>
          <w:szCs w:val="32"/>
        </w:rPr>
        <w:t>收入较去年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减少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204.56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项目经费收入（上年度项目经费收入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189.80万元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）和人员经费收入减少，财政拨款收入减少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291.82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229.11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33.73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12.18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16.80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 w:val="0"/>
          <w:bCs/>
          <w:color w:val="auto"/>
          <w:sz w:val="32"/>
          <w:szCs w:val="32"/>
        </w:rPr>
        <w:t>支出较去年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减少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204.56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 w:val="0"/>
          <w:bCs/>
          <w:color w:val="auto"/>
          <w:sz w:val="32"/>
          <w:szCs w:val="32"/>
        </w:rPr>
        <w:t>万元，主要是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项目经费支出（上年度项目经费支出</w:t>
      </w:r>
      <w:r>
        <w:rPr>
          <w:rFonts w:hint="eastAsia" w:eastAsia="仿宋_GB2312"/>
          <w:b w:val="0"/>
          <w:bCs/>
          <w:color w:val="auto"/>
          <w:sz w:val="32"/>
          <w:szCs w:val="32"/>
          <w:lang w:val="en-US" w:eastAsia="zh-CN"/>
        </w:rPr>
        <w:t>189.80万元</w:t>
      </w:r>
      <w:r>
        <w:rPr>
          <w:rFonts w:hint="eastAsia" w:eastAsia="仿宋_GB2312"/>
          <w:b w:val="0"/>
          <w:bCs/>
          <w:color w:val="auto"/>
          <w:sz w:val="32"/>
          <w:szCs w:val="32"/>
          <w:lang w:eastAsia="zh-CN"/>
        </w:rPr>
        <w:t>）和人员经费支出减少，财政拨款支出减少</w:t>
      </w:r>
      <w:r>
        <w:rPr>
          <w:rFonts w:eastAsia="仿宋_GB2312"/>
          <w:b w:val="0"/>
          <w:bCs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291.82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教育支出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229.11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78.51 </w:t>
      </w:r>
      <w:r>
        <w:rPr>
          <w:rFonts w:eastAsia="仿宋_GB2312"/>
          <w:color w:val="auto"/>
          <w:sz w:val="32"/>
          <w:szCs w:val="32"/>
        </w:rPr>
        <w:t>%。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33.73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11.56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12.18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4.17 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16.80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5.76 </w:t>
      </w:r>
      <w:r>
        <w:rPr>
          <w:rFonts w:eastAsia="仿宋_GB2312"/>
          <w:color w:val="auto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247.54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44.28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17.05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学校日常运行等方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学生营养餐经费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15.40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2023年学生营养膳食改善支出；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11.83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，主要用于农村基层教师人才津贴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17.05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11.85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41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原因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学生人数进一步减少，生均运行经费收入减少，同时例行节约，规范支出，进一步降低支出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万元，无会议费安排的支出；培训费预算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万元，无培训费安排的支出；未计划举办节庆、晚会、论坛、赛事活动。事活动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291.82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247.54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44.28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DCC398"/>
    <w:multiLevelType w:val="singleLevel"/>
    <w:tmpl w:val="A2DCC39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1AB604E"/>
    <w:rsid w:val="026B348A"/>
    <w:rsid w:val="075313C3"/>
    <w:rsid w:val="07FB77A7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7C951BE"/>
    <w:rsid w:val="184423B4"/>
    <w:rsid w:val="1A4713E9"/>
    <w:rsid w:val="1F122A8F"/>
    <w:rsid w:val="22606ACD"/>
    <w:rsid w:val="2631759C"/>
    <w:rsid w:val="284A5A24"/>
    <w:rsid w:val="28BA0D51"/>
    <w:rsid w:val="29310182"/>
    <w:rsid w:val="2A1C6CCC"/>
    <w:rsid w:val="30285F7E"/>
    <w:rsid w:val="35527827"/>
    <w:rsid w:val="41366754"/>
    <w:rsid w:val="4167540A"/>
    <w:rsid w:val="43EC48F6"/>
    <w:rsid w:val="44433DD2"/>
    <w:rsid w:val="44665BC1"/>
    <w:rsid w:val="46345A9D"/>
    <w:rsid w:val="4AB76D80"/>
    <w:rsid w:val="522F0B7A"/>
    <w:rsid w:val="52326F0E"/>
    <w:rsid w:val="543D0DF6"/>
    <w:rsid w:val="55386724"/>
    <w:rsid w:val="565811B8"/>
    <w:rsid w:val="60DA7950"/>
    <w:rsid w:val="62262323"/>
    <w:rsid w:val="63CC416C"/>
    <w:rsid w:val="647D0321"/>
    <w:rsid w:val="66377FC4"/>
    <w:rsid w:val="6B6F7339"/>
    <w:rsid w:val="703C4095"/>
    <w:rsid w:val="79183053"/>
    <w:rsid w:val="7ADB671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2901</Words>
  <Characters>3171</Characters>
  <Lines>0</Lines>
  <Paragraphs>0</Paragraphs>
  <TotalTime>0</TotalTime>
  <ScaleCrop>false</ScaleCrop>
  <LinksUpToDate>false</LinksUpToDate>
  <CharactersWithSpaces>3348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2023-07-18T08:54:01Z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8F4CCC72557D46F8A49F4B844982E632_12</vt:lpwstr>
  </property>
</Properties>
</file>