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（说明：模板文件里的公开内容请不要删除，需要说明的事项如本部门无，则说明无，不要删除公开要素。批复时间和名词解释所有部门都一致，请不要更改和删除。定稿后请将本括号内的说明整体删除。）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肥源林场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default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 xml:space="preserve">    24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（1）贯彻执行党和国家关于林业工作的方针、政策、法律法规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编制辖区内的森林发展规划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 xml:space="preserve">并组织实施。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）依据《中华人民共和国森林法》、《中华人民共和国森林实施条例》等相关法律法规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以国有森林资源保核心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依法保护好国有林木、林地。配合森林公安机关依法查处偷砍盗伐、破坏动植物资源、毁林开垦、乱占林地等森林资源案件。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）负责辖区森林防火和病虫害防治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 xml:space="preserve">确保国有森林资源不受损失。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）在上级主管部门的指导帮助下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 xml:space="preserve">做好管护区域内森林资源培育、天然林保护、野生动植物资源保护、林业 防治工作。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）依据国家、省和市相关的管理规定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做好国家重点公益林和省级重点公益林管理工作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 xml:space="preserve">充分发挥公益林的生 </w:t>
      </w:r>
    </w:p>
    <w:p>
      <w:pPr>
        <w:widowControl/>
        <w:spacing w:line="600" w:lineRule="exact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）完成县委、县政府及上级业务主管部门交办的其它工作。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内设机构设置</w:t>
      </w:r>
      <w:r>
        <w:rPr>
          <w:rFonts w:hint="eastAsia" w:ascii="宋体" w:hAnsi="宋体" w:cs="宋体"/>
          <w:sz w:val="28"/>
          <w:szCs w:val="28"/>
        </w:rPr>
        <w:t xml:space="preserve">。根据编委核定，我局内设股室 </w:t>
      </w:r>
      <w:r>
        <w:rPr>
          <w:rFonts w:ascii="宋体" w:hAnsi="宋体" w:cs="宋体"/>
          <w:sz w:val="28"/>
          <w:szCs w:val="28"/>
        </w:rPr>
        <w:t xml:space="preserve">3 </w:t>
      </w:r>
      <w:r>
        <w:rPr>
          <w:rFonts w:hint="eastAsia" w:ascii="宋体" w:hAnsi="宋体" w:cs="宋体"/>
          <w:sz w:val="28"/>
          <w:szCs w:val="28"/>
        </w:rPr>
        <w:t>个，没有所属事业单位。内设股室分别是综合室、资源保护室（安全生产室）、林政营林室。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548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</w:rPr>
        <w:t>决算单位构成。新田县肥源国有林场单位202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年部门决算汇总公开单位构成包括：新田县肥源国有林场。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.........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374.42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374.42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去年收入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354.78万元。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19.64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上争的项目资金和新招聘了三名职工，导致预算拨款增加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374.42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374.42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万元，¨¨¨。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19.64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上争的项目资金支出增加和新招聘了三名职工人员经费支出增加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374.42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374.42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%；……。具体安排情况如下：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356.42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森林管护与防火专项资金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森林防火森林宣传等方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%；文化旅游体育与传媒支出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eastAsia="仿宋_GB2312"/>
          <w:b/>
          <w:color w:val="auto"/>
          <w:sz w:val="32"/>
          <w:szCs w:val="32"/>
        </w:rPr>
        <w:t>（注：如无政府性基金预算安排的支出，应反映“本部门无政府性基金安排的支出”）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年本部门机关本级、……等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万元，比上年预算减少（增加或持平）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万元，下降（上升）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本部门机关本级、……等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万元，拟召开0等会议，人数约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人次，主要包含传达......等内容；培训费预算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11.1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万元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374.42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365.42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GIxM2E1N2FhYTlmMzMxYjhlZmNkOWQxNDZhNTQifQ=="/>
  </w:docVars>
  <w:rsids>
    <w:rsidRoot w:val="00000000"/>
    <w:rsid w:val="00400BE3"/>
    <w:rsid w:val="026B348A"/>
    <w:rsid w:val="075313C3"/>
    <w:rsid w:val="0A564AAB"/>
    <w:rsid w:val="0AEC3CD0"/>
    <w:rsid w:val="0AFC2357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58970429"/>
    <w:rsid w:val="60DA7950"/>
    <w:rsid w:val="62262323"/>
    <w:rsid w:val="647D0321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3153</Words>
  <Characters>3393</Characters>
  <Lines>0</Lines>
  <Paragraphs>0</Paragraphs>
  <TotalTime>30</TotalTime>
  <ScaleCrop>false</ScaleCrop>
  <LinksUpToDate>false</LinksUpToDate>
  <CharactersWithSpaces>3422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2023-07-21T09:31:20Z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0119760850E74E3CBA1194F6EB32EA7B_13</vt:lpwstr>
  </property>
</Properties>
</file>