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新田县财政局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</w:rPr>
        <w:t>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新田县财政局为县人民政府组成部门，主要职责是：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组织贯彻执行财税方针政策，拟订和执行全县财政制度、改革方案，指导全县财政工作；分析预测宏观经济形势；提出运用财税政策实施宏观调控和综合平衡社会财力的建议；贯彻执行有关分配政策，完善鼓励公益事业发展的财税意见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2、起草财政、财务、会计管理规范性文件并监督实施。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承担全县各项财政收支管理的责任；负责编制年度县本级预决算草案并组织执行；编制全县财政收支预算，汇总全县财政总决算；受县人民政府委托，向县人民代表大会报告县本级、全县预算及其执行情况，向县人大常委会报告决算；组织制订全县经费开支标准、定额，负责审核批复部门（单位）的年度预决算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负责政府非税收入管理，负责政府性基金管理，按规定管理行政事业性收费；管理财政票据；贯彻执行彩票监督管理政策和有关办法，管理彩票市场，会同有关部门监督和管理彩票公益金，管理其他彩票资金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5、贯彻执行国库管理制度、国库集中支付制度，指导和监督县国库业务，按规定开展国库现金管理工作；负责制定政府采购制度并监督管理。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6、贯彻执行税收法律、行政法规和税收调整政策，反馈政策执行情况，提出调整建议；参与县管理权限内有关税收政策及税收政策调整方案的调查研究，提出对策建议。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7、负责制定全县行政事业单位国有资产管理规章制度，会同有关部门管理行政事业单位国有资产，制定需要全县统一规定的开支标准和支出办法，负责财政预算内行政、事业单位和社会团体的非贸易外汇管理。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负责办理和监督县财政经济发展支出、全县政府性投资项目的财政拨款，参与拟订县建设投资的有关规定，组织实施基本建设财务制度，负责有关政策性补贴和专项储备资金财政管理工作；负责农业综合开发资金管理及监督工作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9、会同有关部门管理全县财政社会保障和就业及医疗卫生支出，组织实施社会保障资金（基金）的财务管理制度，编制县社会保障预决算草案。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10、贯彻执行政府内外债务管理的政策、制度和办法，防范财政风险；负责统一管理县政府外债，制定基本管理制度；按规定管理外国政府和国际金融组织贷（赠）款。承担财税领域交流与合作的具体工作。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11、负责管理全县的会计工作，监督和规范会计行为，组织实施国家统一的会计制度，在全县组织实施会计行政法规规章，指导和监督注册会计师和会计师事务所的业务，指导和管理社会审计。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12、监督检查财税法规、政策的执行情况，反映财政收支管理中的重大问题，提出加强财政管理的意见和建议。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13、承办县人民政府交办的其他事项。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Cs/>
          <w:kern w:val="0"/>
          <w:sz w:val="28"/>
          <w:szCs w:val="28"/>
          <w:lang w:eastAsia="zh-CN"/>
        </w:rPr>
        <w:t>新田县财政局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单位内设机构包括：</w:t>
      </w:r>
      <w:r>
        <w:rPr>
          <w:rFonts w:hint="eastAsia" w:ascii="仿宋_GB2312" w:hAnsi="仿宋_GB2312" w:eastAsia="仿宋_GB2312" w:cs="仿宋_GB2312"/>
          <w:sz w:val="30"/>
          <w:szCs w:val="30"/>
        </w:rPr>
        <w:t>办公室、综合规划股、财政监督股、税政法规股、预算股、预算绩效管理股、国库股、国有资产管理股、行政政法股、教科文股、经济建设股、农业农村股、社会保障股、企业股、对外经济贸易股、金融股、会计管理股、政府债务管理股、政工股、乡镇财政管理股20个股室；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所属事业单位分别是</w:t>
      </w:r>
      <w:r>
        <w:rPr>
          <w:rFonts w:hint="eastAsia" w:ascii="仿宋_GB2312" w:hAnsi="仿宋_GB2312" w:eastAsia="仿宋_GB2312" w:cs="仿宋_GB2312"/>
          <w:sz w:val="30"/>
          <w:szCs w:val="30"/>
        </w:rPr>
        <w:t>国库支付中心、工资统发中心、投资评审中心、政府采购管理办公室、扶贫资金管理办公室、农村综合改革办等6个股级事业单位。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本部门预算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单位新田县财政局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为了完成行政任务和事业发展目标管理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hint="default" w:eastAsia="仿宋_GB2312"/>
          <w:b/>
          <w:color w:val="auto"/>
          <w:sz w:val="32"/>
          <w:szCs w:val="32"/>
          <w:lang w:val="en-US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2234.27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2204.27</w:t>
      </w:r>
      <w:r>
        <w:rPr>
          <w:rFonts w:eastAsia="仿宋_GB2312"/>
          <w:color w:val="auto"/>
          <w:sz w:val="32"/>
          <w:szCs w:val="32"/>
        </w:rPr>
        <w:t>万元，一般公共预算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补助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30万元，</w:t>
      </w:r>
      <w:r>
        <w:rPr>
          <w:rFonts w:eastAsia="仿宋_GB2312"/>
          <w:color w:val="auto"/>
          <w:sz w:val="32"/>
          <w:szCs w:val="32"/>
        </w:rPr>
        <w:t>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107.74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人员经费及项目增加。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2234.27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1962.12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147.83万元，卫生健康支出52.25万元，住房保障支出72.06万元。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107.74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人员经费及项目增加。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2204.27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1962.12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89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147.83万元，占6.7%；卫生健康支出52.25万元，占2%；住房保障支出72.06万元，占3.3%。</w:t>
      </w:r>
      <w:r>
        <w:rPr>
          <w:rFonts w:eastAsia="仿宋_GB2312"/>
          <w:color w:val="auto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1150.47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1083.8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信息化建设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122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财政专线网络信息建设等方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一般行政管理事务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308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服务全县财政事业行政管理等方面；财政管理事务支出30万元，主要用于财政管理事务支出，财政所业务等，财政委托业务支出613万元，主要用于财政委托评审业务，财政国库业务10.4万元，主要用于财政国库集中支付业务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1150.47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11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人员增加、业务增加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0.4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万元，拟召开会计业务培训、一体化、核算会、预算、决算等会议，人数约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400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人次，主要包含传达上级精神，提升业务水平等内容；培训费预算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4万元，拟开展支农政策等培训，人数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400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人次，主要内容为对上级相关政策进行专题培训；未计划举办节庆、晚会、论坛、赛事活动。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1110.8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482.8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628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2234.27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1150.47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1083.8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cxNGUyZGNiYmQ1ZmRjMWYzYjZiYmJkYTA1ZWEifQ=="/>
  </w:docVars>
  <w:rsids>
    <w:rsidRoot w:val="00000000"/>
    <w:rsid w:val="00400BE3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B76D80"/>
    <w:rsid w:val="52326F0E"/>
    <w:rsid w:val="543D0DF6"/>
    <w:rsid w:val="55386724"/>
    <w:rsid w:val="60D62FEB"/>
    <w:rsid w:val="60DA7950"/>
    <w:rsid w:val="62262323"/>
    <w:rsid w:val="647D0321"/>
    <w:rsid w:val="703C4095"/>
    <w:rsid w:val="775F5EB5"/>
    <w:rsid w:val="79183053"/>
    <w:rsid w:val="7BBA645B"/>
    <w:rsid w:val="7C84479C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4027</Words>
  <Characters>4314</Characters>
  <Lines>0</Lines>
  <Paragraphs>0</Paragraphs>
  <TotalTime>30</TotalTime>
  <ScaleCrop>false</ScaleCrop>
  <LinksUpToDate>false</LinksUpToDate>
  <CharactersWithSpaces>4413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WPS_1668157542</cp:lastModifiedBy>
  <cp:lastPrinted>2019-09-03T01:21:00Z</cp:lastPrinted>
  <dcterms:modified xsi:type="dcterms:W3CDTF">2023-07-17T07:57:54Z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919ACBB13C4248168BD09CF8160048D4_12</vt:lpwstr>
  </property>
</Properties>
</file>