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none"/>
          <w:lang w:val="en-US" w:eastAsia="zh-CN"/>
        </w:rPr>
        <w:t>司法局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numPr>
          <w:ilvl w:val="0"/>
          <w:numId w:val="1"/>
        </w:numPr>
        <w:tabs>
          <w:tab w:val="left" w:pos="840"/>
          <w:tab w:val="clear" w:pos="0"/>
        </w:tabs>
        <w:spacing w:line="560" w:lineRule="exact"/>
        <w:ind w:left="-10" w:leftChars="0" w:firstLine="640" w:firstLineChars="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承担全面依法治县重大问题的政策研究，协调有关方面提出全面依法治县中长期规划建议，负责有关重大决策部署督察工作。</w:t>
      </w:r>
    </w:p>
    <w:p>
      <w:pPr>
        <w:numPr>
          <w:ilvl w:val="0"/>
          <w:numId w:val="1"/>
        </w:numPr>
        <w:tabs>
          <w:tab w:val="left" w:pos="420"/>
          <w:tab w:val="clear" w:pos="0"/>
        </w:tabs>
        <w:spacing w:line="560" w:lineRule="exact"/>
        <w:ind w:left="-10" w:leftChars="0" w:firstLine="640" w:firstLineChars="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承担上级立法调研协调工作。配合开展立法规划和年度立法工作计划的调研工作，协调有关方面提出立法规划和年度立法工作计划的建议。</w:t>
      </w:r>
    </w:p>
    <w:p>
      <w:pPr>
        <w:numPr>
          <w:ilvl w:val="0"/>
          <w:numId w:val="1"/>
        </w:numPr>
        <w:tabs>
          <w:tab w:val="left" w:pos="420"/>
          <w:tab w:val="clear" w:pos="0"/>
        </w:tabs>
        <w:spacing w:line="560" w:lineRule="exact"/>
        <w:ind w:left="-10" w:leftChars="0" w:firstLine="640" w:firstLineChars="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指导全县规范性文件管理有关工作，承担县政府规范性文件送审稿的合法性审查工作，承办县政府及其部门规范性文件的登记工作。负责县政府规范性文件向市政府报送备案工作。受理有关规范性文件是否违法的审查申请。组织开展规范性文件清理工作。承担县政府法律顾问工作，负责对县政府重大行政决策进行合法性审查或论证说明。</w:t>
      </w:r>
    </w:p>
    <w:p>
      <w:pPr>
        <w:tabs>
          <w:tab w:val="left" w:pos="0"/>
        </w:tabs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承担统筹推进法治政府建设的责任。指导、监督县政府各部门、各乡镇政府依法行政工作。负责综合协调行政执法，承担推进行政执法体制改革有关工作，推进严格规范公正文明执法。承办向县政府申请的行政复议案件。指导、监督全县行政复议、行政赔偿和行政应诉工作，负责县政府行政复议和行政应诉案件办理工作。承担县政府行政复议办公室的日常工作。</w:t>
      </w:r>
    </w:p>
    <w:p>
      <w:pPr>
        <w:tabs>
          <w:tab w:val="left" w:pos="0"/>
        </w:tabs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承担统筹规划全县法治社会建设的责任。负责拟订法治宣传教育规划，组织实施普法宣传工作，组织对外法治宣传。推动人民参与和促进法治建设。指导依法治理和法治创建工作。指导人民调解工作和人民陪审员、人民监督员选任管理工作，推进司法所建设。</w:t>
      </w:r>
    </w:p>
    <w:p>
      <w:pPr>
        <w:tabs>
          <w:tab w:val="left" w:pos="0"/>
        </w:tabs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（六）指导、管理社区矫正工作。指导刑满释放人员帮教安置工作。</w:t>
      </w:r>
    </w:p>
    <w:p>
      <w:pPr>
        <w:tabs>
          <w:tab w:val="left" w:pos="0"/>
        </w:tabs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（七）负责拟订公共法律服务体系建设规划并指导实施，统筹和布局城乡、区域法律服务资源。指导、监督律师、法律援助、司法鉴定、公证和基层法律服务管理工作。</w:t>
      </w:r>
    </w:p>
    <w:p>
      <w:pPr>
        <w:tabs>
          <w:tab w:val="left" w:pos="0"/>
        </w:tabs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（八）负责全县法治对外合作工作。（九）负责本系统服装和警车管理工作，指导、监督本系统财务、装备、设施、场所等保障工作。</w:t>
      </w:r>
    </w:p>
    <w:p>
      <w:pPr>
        <w:tabs>
          <w:tab w:val="left" w:pos="0"/>
        </w:tabs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（十）规划、协调、指导法治人才队伍建设相关工作。</w:t>
      </w:r>
    </w:p>
    <w:p>
      <w:pPr>
        <w:tabs>
          <w:tab w:val="left" w:pos="0"/>
        </w:tabs>
        <w:spacing w:line="560" w:lineRule="exact"/>
        <w:ind w:left="420" w:leftChars="200" w:firstLine="320" w:firstLineChars="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(十一）承办县委、县政府交办的其他任务。</w:t>
      </w:r>
    </w:p>
    <w:p>
      <w:pPr>
        <w:pStyle w:val="3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pStyle w:val="3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ascii="仿宋" w:hAnsi="仿宋" w:eastAsia="仿宋" w:cs="仿宋_GB2312"/>
          <w:kern w:val="2"/>
          <w:sz w:val="32"/>
          <w:szCs w:val="32"/>
        </w:rPr>
        <w:t>根据编委核定，我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局</w:t>
      </w:r>
      <w:r>
        <w:rPr>
          <w:rFonts w:ascii="仿宋" w:hAnsi="仿宋" w:eastAsia="仿宋" w:cs="仿宋_GB2312"/>
          <w:kern w:val="2"/>
          <w:sz w:val="32"/>
          <w:szCs w:val="32"/>
        </w:rPr>
        <w:t>内设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股室10</w:t>
      </w:r>
      <w:r>
        <w:rPr>
          <w:rFonts w:ascii="仿宋" w:hAnsi="仿宋" w:eastAsia="仿宋" w:cs="仿宋_GB2312"/>
          <w:kern w:val="2"/>
          <w:sz w:val="32"/>
          <w:szCs w:val="32"/>
        </w:rPr>
        <w:t>个，所属单位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15</w:t>
      </w:r>
      <w:r>
        <w:rPr>
          <w:rFonts w:ascii="仿宋" w:hAnsi="仿宋" w:eastAsia="仿宋" w:cs="仿宋_GB2312"/>
          <w:kern w:val="2"/>
          <w:sz w:val="32"/>
          <w:szCs w:val="32"/>
        </w:rPr>
        <w:t>个。</w:t>
      </w:r>
    </w:p>
    <w:p>
      <w:pPr>
        <w:pStyle w:val="3"/>
        <w:spacing w:before="0" w:beforeAutospacing="0" w:after="0" w:afterAutospacing="0" w:line="600" w:lineRule="exact"/>
        <w:jc w:val="both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ascii="仿宋" w:hAnsi="仿宋" w:eastAsia="仿宋" w:cs="仿宋_GB2312"/>
          <w:kern w:val="2"/>
          <w:sz w:val="32"/>
          <w:szCs w:val="32"/>
        </w:rPr>
        <w:t>内设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股</w:t>
      </w:r>
      <w:r>
        <w:rPr>
          <w:rFonts w:ascii="仿宋" w:hAnsi="仿宋" w:eastAsia="仿宋" w:cs="仿宋_GB2312"/>
          <w:kern w:val="2"/>
          <w:sz w:val="32"/>
          <w:szCs w:val="32"/>
        </w:rPr>
        <w:t>室分别是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机关办公室、法治调研与督察股、社区矫正管理股、行政复议与应诉股、行政执法协调监督股、普法与依法治理股、人民参与和促进法治股、公共法律服务管理股、装备财务保障股、</w:t>
      </w: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政工室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。</w:t>
      </w:r>
      <w:r>
        <w:rPr>
          <w:rFonts w:ascii="仿宋" w:hAnsi="仿宋" w:eastAsia="仿宋" w:cs="仿宋_GB2312"/>
          <w:kern w:val="2"/>
          <w:sz w:val="32"/>
          <w:szCs w:val="32"/>
        </w:rPr>
        <w:t>所属单位分别是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12个乡镇司法所、县法律援助中心、公证处，湖南天常律师事务所。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司法局机关及司法所政法专项编制为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人，事业编制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人，实有人数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人(其中聘请人员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名)，退休人员1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人，实有车辆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台</w:t>
      </w: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司法局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non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1216.59</w:t>
      </w:r>
      <w:r>
        <w:rPr>
          <w:rFonts w:eastAsia="仿宋_GB2312"/>
          <w:color w:val="auto"/>
          <w:sz w:val="32"/>
          <w:szCs w:val="32"/>
          <w:u w:val="non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1136.59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non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none"/>
        </w:rPr>
        <w:t xml:space="preserve"> 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non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non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non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eastAsia="仿宋_GB2312"/>
          <w:color w:val="auto"/>
          <w:sz w:val="32"/>
          <w:szCs w:val="32"/>
          <w:u w:val="non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80万元。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non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none"/>
          <w:lang w:val="en-US" w:eastAsia="zh-CN"/>
        </w:rPr>
        <w:t>163.73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增加协管人员工资及司法救助等经费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non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1216.59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eastAsia="仿宋_GB2312"/>
          <w:color w:val="auto"/>
          <w:sz w:val="32"/>
          <w:szCs w:val="32"/>
          <w:u w:val="none"/>
        </w:rPr>
        <w:t xml:space="preserve">一般公共服务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none"/>
        </w:rPr>
        <w:t xml:space="preserve"> 万元，公共安全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1021.55</w:t>
      </w:r>
      <w:r>
        <w:rPr>
          <w:rFonts w:eastAsia="仿宋_GB2312"/>
          <w:color w:val="auto"/>
          <w:sz w:val="32"/>
          <w:szCs w:val="32"/>
          <w:u w:val="none"/>
        </w:rPr>
        <w:t>万元，教育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none"/>
        </w:rPr>
        <w:t>万元，</w:t>
      </w:r>
      <w:r>
        <w:rPr>
          <w:rFonts w:hint="eastAsia" w:eastAsia="仿宋_GB2312"/>
          <w:color w:val="auto"/>
          <w:sz w:val="32"/>
          <w:szCs w:val="32"/>
          <w:u w:val="none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105.60万元，卫生健康支出37.59，</w:t>
      </w:r>
      <w:r>
        <w:rPr>
          <w:rFonts w:eastAsia="仿宋_GB2312"/>
          <w:color w:val="auto"/>
          <w:sz w:val="32"/>
          <w:szCs w:val="32"/>
          <w:u w:val="none"/>
        </w:rPr>
        <w:t xml:space="preserve">科学技术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none"/>
        </w:rPr>
        <w:t>万元，</w:t>
      </w:r>
      <w:r>
        <w:rPr>
          <w:rFonts w:hint="eastAsia" w:eastAsia="仿宋_GB2312"/>
          <w:color w:val="auto"/>
          <w:sz w:val="32"/>
          <w:szCs w:val="32"/>
          <w:u w:val="none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51.85万元</w:t>
      </w:r>
      <w:r>
        <w:rPr>
          <w:rFonts w:eastAsia="仿宋_GB2312"/>
          <w:color w:val="auto"/>
          <w:sz w:val="32"/>
          <w:szCs w:val="32"/>
          <w:u w:val="none"/>
        </w:rPr>
        <w:t>。</w:t>
      </w:r>
      <w:r>
        <w:rPr>
          <w:rFonts w:eastAsia="仿宋_GB2312"/>
          <w:b/>
          <w:color w:val="auto"/>
          <w:sz w:val="32"/>
          <w:szCs w:val="32"/>
          <w:u w:val="none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u w:val="none"/>
          <w:lang w:val="en-US" w:eastAsia="zh-CN"/>
        </w:rPr>
        <w:t>163.73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增加协管人员工资及司法救助等经费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  <w:u w:val="none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1216.59</w:t>
      </w:r>
      <w:r>
        <w:rPr>
          <w:rFonts w:eastAsia="仿宋_GB2312"/>
          <w:color w:val="auto"/>
          <w:sz w:val="32"/>
          <w:szCs w:val="32"/>
          <w:u w:val="none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none"/>
        </w:rPr>
        <w:t>万元，占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none"/>
        </w:rPr>
        <w:t>%；公共安全支出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1021.55</w:t>
      </w:r>
      <w:r>
        <w:rPr>
          <w:rFonts w:eastAsia="仿宋_GB2312"/>
          <w:color w:val="auto"/>
          <w:sz w:val="32"/>
          <w:szCs w:val="32"/>
          <w:u w:val="none"/>
        </w:rPr>
        <w:t>万元，占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83.97</w:t>
      </w:r>
      <w:r>
        <w:rPr>
          <w:rFonts w:eastAsia="仿宋_GB2312"/>
          <w:color w:val="auto"/>
          <w:sz w:val="32"/>
          <w:szCs w:val="32"/>
          <w:u w:val="none"/>
        </w:rPr>
        <w:t>%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u w:val="none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105.60万元，</w:t>
      </w:r>
      <w:r>
        <w:rPr>
          <w:rFonts w:eastAsia="仿宋_GB2312"/>
          <w:color w:val="auto"/>
          <w:sz w:val="32"/>
          <w:szCs w:val="32"/>
          <w:u w:val="none"/>
        </w:rPr>
        <w:t>占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8.68</w:t>
      </w:r>
      <w:r>
        <w:rPr>
          <w:rFonts w:eastAsia="仿宋_GB2312"/>
          <w:color w:val="auto"/>
          <w:sz w:val="32"/>
          <w:szCs w:val="32"/>
          <w:u w:val="none"/>
        </w:rPr>
        <w:t>%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卫生健康支出37.59，</w:t>
      </w:r>
      <w:r>
        <w:rPr>
          <w:rFonts w:eastAsia="仿宋_GB2312"/>
          <w:color w:val="auto"/>
          <w:sz w:val="32"/>
          <w:szCs w:val="32"/>
          <w:u w:val="none"/>
        </w:rPr>
        <w:t>占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3.68</w:t>
      </w:r>
      <w:r>
        <w:rPr>
          <w:rFonts w:eastAsia="仿宋_GB2312"/>
          <w:color w:val="auto"/>
          <w:sz w:val="32"/>
          <w:szCs w:val="32"/>
          <w:u w:val="none"/>
        </w:rPr>
        <w:t>%，</w:t>
      </w:r>
      <w:r>
        <w:rPr>
          <w:rFonts w:hint="eastAsia" w:eastAsia="仿宋_GB2312"/>
          <w:color w:val="auto"/>
          <w:sz w:val="32"/>
          <w:szCs w:val="32"/>
          <w:u w:val="none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51.85万元，</w:t>
      </w:r>
      <w:r>
        <w:rPr>
          <w:rFonts w:eastAsia="仿宋_GB2312"/>
          <w:color w:val="auto"/>
          <w:sz w:val="32"/>
          <w:szCs w:val="32"/>
          <w:u w:val="none"/>
        </w:rPr>
        <w:t>占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4.26</w:t>
      </w:r>
      <w:r>
        <w:rPr>
          <w:rFonts w:eastAsia="仿宋_GB2312"/>
          <w:color w:val="auto"/>
          <w:sz w:val="32"/>
          <w:szCs w:val="32"/>
          <w:u w:val="none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864.37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352.22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普法工作</w:t>
      </w:r>
      <w:r>
        <w:rPr>
          <w:rFonts w:hint="default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专项支出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13.2</w:t>
      </w:r>
      <w:r>
        <w:rPr>
          <w:rFonts w:hint="default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万元，主要用于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法制宣传工作</w:t>
      </w:r>
      <w:r>
        <w:rPr>
          <w:rFonts w:hint="default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方面；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社区矫正</w:t>
      </w:r>
      <w:r>
        <w:rPr>
          <w:rFonts w:hint="default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专项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支出24</w:t>
      </w:r>
      <w:r>
        <w:rPr>
          <w:rFonts w:hint="default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万元，主要用于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社区矫正工作</w:t>
      </w:r>
      <w:r>
        <w:rPr>
          <w:rFonts w:hint="default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方面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；法制工作专项经费30.2万元，主要用于（原法制办）法制工作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；上级补助办案经费、装备经费80万，主要用于购买司法执法装备购置及商品服务；司法救助资金50万元，主要用于司法救助补助。全面依法治国委员会办公室8万元，用于依法治国办公经费；人民调解员及社区矫正协管员146.22万元，主要用于调解员及协管员工资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</w:t>
      </w:r>
      <w:r>
        <w:rPr>
          <w:rFonts w:eastAsia="仿宋_GB2312"/>
          <w:b w:val="0"/>
          <w:bCs/>
          <w:color w:val="auto"/>
          <w:sz w:val="32"/>
          <w:szCs w:val="32"/>
        </w:rPr>
        <w:t>无政府性基金安排的支出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年本部门机关本级行政事业单位的机关运行经费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 xml:space="preserve">119.1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3.2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商品和服务支出减少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4.1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2.1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2.1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年“三公”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万元，拟召开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年初工作布置会，年终工作总结暨表彰大会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等会议，人数约</w:t>
      </w:r>
      <w:r>
        <w:rPr>
          <w:rFonts w:hint="eastAsia" w:ascii="仿宋_GB2312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200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安排工作，表彰先进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等内容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；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培训费预算</w:t>
      </w:r>
      <w:r>
        <w:rPr>
          <w:rFonts w:hint="eastAsia" w:ascii="仿宋_GB2312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万元，拟开展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法律知识培训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等培训，人数</w:t>
      </w:r>
      <w:r>
        <w:rPr>
          <w:rFonts w:hint="eastAsia" w:ascii="仿宋_GB2312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1000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人次，主要内容为对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《民法典》等法律知识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进行专题培训；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  <w:u w:val="none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eastAsia="仿宋_GB2312"/>
          <w:color w:val="auto"/>
          <w:sz w:val="32"/>
          <w:szCs w:val="32"/>
          <w:u w:val="none"/>
        </w:rPr>
        <w:t>万元；工程类采购预算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none"/>
        </w:rPr>
        <w:t>万元；服务类采购预算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none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  <w:u w:val="none"/>
        </w:rPr>
        <w:t>截至202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u w:val="none"/>
        </w:rPr>
        <w:t>年</w:t>
      </w:r>
      <w:bookmarkStart w:id="0" w:name="_GoBack"/>
      <w:bookmarkEnd w:id="0"/>
      <w:r>
        <w:rPr>
          <w:rFonts w:eastAsia="仿宋_GB2312"/>
          <w:color w:val="auto"/>
          <w:sz w:val="32"/>
          <w:szCs w:val="32"/>
          <w:u w:val="none"/>
        </w:rPr>
        <w:t>12月底，本部门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辆；单位价值50万元以上通用设备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辆；新增配备单位价值50万元以上通用设备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none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1216.59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864.37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352.22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4FAE4"/>
    <w:multiLevelType w:val="singleLevel"/>
    <w:tmpl w:val="B024FAE4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-10" w:firstLine="0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jcxNGUyZGNiYmQ1ZmRjMWYzYjZiYmJkYTA1ZWEifQ=="/>
  </w:docVars>
  <w:rsids>
    <w:rsidRoot w:val="00000000"/>
    <w:rsid w:val="00400BE3"/>
    <w:rsid w:val="026B348A"/>
    <w:rsid w:val="04BE3062"/>
    <w:rsid w:val="06E15F8D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042105F"/>
    <w:rsid w:val="12F87997"/>
    <w:rsid w:val="184423B4"/>
    <w:rsid w:val="1A4713E9"/>
    <w:rsid w:val="1F122A8F"/>
    <w:rsid w:val="22606ACD"/>
    <w:rsid w:val="276B67A9"/>
    <w:rsid w:val="284A5A24"/>
    <w:rsid w:val="29310182"/>
    <w:rsid w:val="2A1C6CCC"/>
    <w:rsid w:val="30285F7E"/>
    <w:rsid w:val="36A419CB"/>
    <w:rsid w:val="3F397A0D"/>
    <w:rsid w:val="41366754"/>
    <w:rsid w:val="4167540A"/>
    <w:rsid w:val="44665BC1"/>
    <w:rsid w:val="4AB76D80"/>
    <w:rsid w:val="52326F0E"/>
    <w:rsid w:val="524F35A4"/>
    <w:rsid w:val="543D0DF6"/>
    <w:rsid w:val="55386724"/>
    <w:rsid w:val="60070169"/>
    <w:rsid w:val="60DA7950"/>
    <w:rsid w:val="62262323"/>
    <w:rsid w:val="647D0321"/>
    <w:rsid w:val="69A7357A"/>
    <w:rsid w:val="703C4095"/>
    <w:rsid w:val="79183053"/>
    <w:rsid w:val="7B650D15"/>
    <w:rsid w:val="7BBA645B"/>
    <w:rsid w:val="7D056F49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3788</Words>
  <Characters>4085</Characters>
  <Lines>0</Lines>
  <Paragraphs>0</Paragraphs>
  <TotalTime>8</TotalTime>
  <ScaleCrop>false</ScaleCrop>
  <LinksUpToDate>false</LinksUpToDate>
  <CharactersWithSpaces>4115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WPS_1668157542</cp:lastModifiedBy>
  <cp:lastPrinted>2019-09-03T01:21:00Z</cp:lastPrinted>
  <dcterms:modified xsi:type="dcterms:W3CDTF">2023-07-21T07:47:04Z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B35CC1C192024211B48D55872E4E2EC3_12</vt:lpwstr>
  </property>
</Properties>
</file>