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  三井学校 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（一）贯彻执行党和国家的教育方针、政策、行政法规，结合全镇实际拟订实施办法和政策措施，并组织实施。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（二）组织编制和实施学校的长期规划、年度计划和学期计划，抓好校本研训。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（三）全面实施素质教育。做好体育、卫生、艺术及国防教育工作。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（四）加强师资队伍建设，不断提高师资队伍素质。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（五）组织领导招生、学生的入学和毕业鉴定工作。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（六）组织做好教职工的培养、考核、奖惩、工资福利、职称评定，以及退休、离休等工作。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（七）组织做好行政后勤工作，坚持为教学服务，不断改善师生的工作、学习、生活条件，保证教学工作的顺利进行。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（八）贯彻执行勤俭办校的方针，建立健全各项规章制度，加强对学校的管理。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（九）指导学校工会工作，推进学校民主管理，依法维护教职工的合法权益。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（十）完成各级交办的其他任务。</w:t>
      </w:r>
    </w:p>
    <w:p>
      <w:pPr>
        <w:widowControl/>
        <w:spacing w:line="600" w:lineRule="exact"/>
        <w:ind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</w:rPr>
        <w:t>新田县三井学校部门设置只有本级。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新田县三井学校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义务教育阶段生均公用经费、义务教育阶段学校营养餐经费、农村基层教师人才津贴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972.83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793.42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收入</w:t>
      </w:r>
      <w:r>
        <w:rPr>
          <w:rFonts w:hint="eastAsia"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179.41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250.51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乡村教师待遇提高及对家庭和个人的补助提高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972.83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777.33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104.96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</w:rPr>
        <w:t>、卫生健康支出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38.65</w:t>
      </w:r>
      <w:r>
        <w:rPr>
          <w:rFonts w:hint="eastAsia" w:eastAsia="仿宋_GB2312"/>
          <w:color w:val="auto"/>
          <w:sz w:val="32"/>
          <w:szCs w:val="32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52.49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250.51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乡村教师待遇提高及对家庭和个人的补助提高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972.83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教育支出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777.33</w:t>
      </w:r>
      <w:r>
        <w:rPr>
          <w:rFonts w:hint="eastAsia"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eastAsia="仿宋_GB2312"/>
          <w:color w:val="auto"/>
          <w:sz w:val="32"/>
          <w:szCs w:val="32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104.96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10.78</w:t>
      </w:r>
      <w:r>
        <w:rPr>
          <w:rFonts w:hint="eastAsia"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38.65</w:t>
      </w:r>
      <w:r>
        <w:rPr>
          <w:rFonts w:hint="eastAsia"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3.97</w:t>
      </w:r>
      <w:r>
        <w:rPr>
          <w:rFonts w:hint="eastAsia" w:eastAsia="仿宋_GB2312"/>
          <w:color w:val="auto"/>
          <w:sz w:val="32"/>
          <w:szCs w:val="32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52.49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5.39</w:t>
      </w:r>
      <w:r>
        <w:rPr>
          <w:rFonts w:hint="eastAsia" w:eastAsia="仿宋_GB2312"/>
          <w:color w:val="auto"/>
          <w:sz w:val="32"/>
          <w:szCs w:val="32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972.83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179.41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农村基层教师人才津贴支出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27.38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农村教师津补贴等方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义务教育阶段生均公用经费支出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75.43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办公正常运转等方面；义务教育阶段学校营养餐经费支出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学生伙食补助等方面。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年本部门无政府性基金安排的支出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75.43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37.57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33.24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节约开支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万元，拟开展教学业务等培训，人数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100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人次，主要内容为对教学业务、德育工作、师德师风、安全管理、“双减”等进行专题培训；未计划举办节庆、晚会、论坛、赛事活动。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13.43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13.43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972.83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793.42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179.41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4334F7B"/>
    <w:rsid w:val="075313C3"/>
    <w:rsid w:val="0A564AAB"/>
    <w:rsid w:val="0AEC3CD0"/>
    <w:rsid w:val="0B3202FF"/>
    <w:rsid w:val="0BB24439"/>
    <w:rsid w:val="0C5F4155"/>
    <w:rsid w:val="0D122A8A"/>
    <w:rsid w:val="0E5A2261"/>
    <w:rsid w:val="0EFE2AC3"/>
    <w:rsid w:val="0F9862FD"/>
    <w:rsid w:val="101D5507"/>
    <w:rsid w:val="12F87997"/>
    <w:rsid w:val="184423B4"/>
    <w:rsid w:val="1A4713E9"/>
    <w:rsid w:val="1AE42314"/>
    <w:rsid w:val="1F122A8F"/>
    <w:rsid w:val="22606ACD"/>
    <w:rsid w:val="284A5A24"/>
    <w:rsid w:val="29310182"/>
    <w:rsid w:val="296D0649"/>
    <w:rsid w:val="2A1C6CCC"/>
    <w:rsid w:val="2A336F7A"/>
    <w:rsid w:val="30285F7E"/>
    <w:rsid w:val="33EE2585"/>
    <w:rsid w:val="41366754"/>
    <w:rsid w:val="4167540A"/>
    <w:rsid w:val="44665BC1"/>
    <w:rsid w:val="4AB76D80"/>
    <w:rsid w:val="51C62AB7"/>
    <w:rsid w:val="52326F0E"/>
    <w:rsid w:val="543D0DF6"/>
    <w:rsid w:val="55386724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3056</Words>
  <Characters>3340</Characters>
  <Lines>0</Lines>
  <Paragraphs>0</Paragraphs>
  <TotalTime>40</TotalTime>
  <ScaleCrop>false</ScaleCrop>
  <LinksUpToDate>false</LinksUpToDate>
  <CharactersWithSpaces>3503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856F6CAF57DA48F1869F504991E22E1D_13</vt:lpwstr>
  </property>
</Properties>
</file>