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2023年新田县发展和改革局部门预算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bCs/>
          <w:color w:val="auto"/>
          <w:kern w:val="0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（1）负责拟订并组织实施全县国民经济和社会发展战略、中长期规划和年度计划，统筹协调相关总体规划、区域规划。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（2）负责研究全县宏观经济运行、总量平衡、经济安全和总体产业安全等重要问题，提出宏观调控措施建议。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（3）研究全县经济体制改革和对外开放重大问题。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(4)拟订全县社会固定资产投资总规模和投资结构的调控目标、意见及措施。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（5）承担全县重要商品总量平衡和宏观调控。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（6）负责贯彻执行国家、省市价格政策，研究拟订全县重大价格改革方案并组织实施。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（7）牵头整合建设统一规范的公共资源交易平台。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bCs/>
          <w:color w:val="auto"/>
          <w:kern w:val="0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根据编委核定，我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局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内设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股室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 xml:space="preserve"> 17 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个，所属事业单位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 xml:space="preserve">  1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个。内设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股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室分别是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bCs/>
          <w:color w:val="auto"/>
          <w:kern w:val="0"/>
          <w:sz w:val="32"/>
          <w:szCs w:val="32"/>
        </w:rPr>
        <w:t>办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公室（政工股）、综合改革规划股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、政策法规股（县公共资源交易管理局办公室）、固定资产投资股、服务业股、社会发展股、农村财经股、工业股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、能源股（节能监察股）、资源节约和环境保护股、县重大项目前期工作股、对口支援办公室、价格调控股（县价格调节基金管理办公室、商品服务价格管理股）、收费管理股、信息中心、易地扶贫搬迁服务管理股、粮食与物资调控股(军粮供应股）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。所属事业单位分别是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重点项目服务中心</w:t>
      </w:r>
      <w:r>
        <w:rPr>
          <w:rFonts w:hint="default" w:eastAsia="仿宋_GB2312"/>
          <w:bCs/>
          <w:color w:val="auto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县发改局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27" w:firstLineChars="196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 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年没有政府性基金预算拨款、国有资本经营预算收入，也没有使用政府性基金预算拨款、国有资本经营预算收入，所以公开的附件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上级财政补助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固定资产投资节能评估专项经费支出、经协工作经费支出、项目包装和上争资金工作经费支出、粮食行政管理专项经费支出、涉案物价格鉴定专项经费支出、以工代赈项目经费支出、重点项目服务中心工作经费支出、易地扶贫搬迁工作支出、人防工作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1995.41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1531.41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146.17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项目经费增加，如全县产业项目指挥部经费全部划拨至发改局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1995.41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1232.91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90.4万元，卫生健康支出31.99万元住房保障支出44.12万元，粮油物资储备支出564万元，巩固脱贫衔接乡村振兴32万元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146.17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项目经费增加，如全县产业项目指挥部经费全部划拨至发改局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1995.41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1232.91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90.4万元，占4.5%；卫生健康支出31.99万元，占1.6%；住房保障支出44.12万元，占2.2%；粮油物资储备支出564万元，占28%；巩固脱贫衔接乡村振兴32万元，占1.6%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765.01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1230.4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。固定资产投资项目节能评估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固定资产投资项目节能评估工作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、经济协作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 2.4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经济协作工作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、项目包装和上争资金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  5.6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项目包装和上争资金工作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、粮食行政管理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支出  14.4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粮食行政管理工作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、涉案物品价格鉴定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 2.4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涉案物品价格鉴定工作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、重点项目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支出 32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重点项目工作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方面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粮食质量安全监测采样监测专项支出2.4万元，只要用于粮食质量安全监测采样监测、产业项目指挥部经费200万元主要用于指挥部日常经费开支，粮油物资储备专项资金564万元，等特定项目经费只用于项目，巩固脱贫衔接乡村振兴32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</w:t>
      </w:r>
      <w:r>
        <w:rPr>
          <w:rFonts w:eastAsia="仿宋_GB2312"/>
          <w:b w:val="0"/>
          <w:bCs/>
          <w:color w:val="auto"/>
          <w:sz w:val="32"/>
          <w:szCs w:val="32"/>
        </w:rPr>
        <w:t>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57.95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我部门新增了业务工作，涉及面广，开展压力较大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14.95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11.8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3.15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3.15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354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</w:t>
      </w:r>
      <w:bookmarkStart w:id="0" w:name="_GoBack"/>
      <w:bookmarkEnd w:id="0"/>
      <w:r>
        <w:rPr>
          <w:rFonts w:eastAsia="仿宋_GB2312"/>
          <w:bCs/>
          <w:color w:val="auto"/>
          <w:kern w:val="0"/>
          <w:sz w:val="32"/>
          <w:szCs w:val="32"/>
        </w:rPr>
        <w:t>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1995.41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765.01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1230.4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3F23CE"/>
    <w:rsid w:val="00400BE3"/>
    <w:rsid w:val="026B348A"/>
    <w:rsid w:val="067F1777"/>
    <w:rsid w:val="069114AA"/>
    <w:rsid w:val="075313C3"/>
    <w:rsid w:val="0A564AAB"/>
    <w:rsid w:val="0AEC3CD0"/>
    <w:rsid w:val="0B3202FF"/>
    <w:rsid w:val="0B701007"/>
    <w:rsid w:val="0C5F4155"/>
    <w:rsid w:val="0D122A8A"/>
    <w:rsid w:val="0E5A2261"/>
    <w:rsid w:val="0EFE2AC3"/>
    <w:rsid w:val="101D5507"/>
    <w:rsid w:val="12D1335A"/>
    <w:rsid w:val="12F87997"/>
    <w:rsid w:val="13196AAF"/>
    <w:rsid w:val="184423B4"/>
    <w:rsid w:val="1A4713E9"/>
    <w:rsid w:val="1BF400B9"/>
    <w:rsid w:val="1E9E3F52"/>
    <w:rsid w:val="1F122A8F"/>
    <w:rsid w:val="22606ACD"/>
    <w:rsid w:val="280D5BDC"/>
    <w:rsid w:val="284A5A24"/>
    <w:rsid w:val="28E13773"/>
    <w:rsid w:val="29310182"/>
    <w:rsid w:val="2A1C6CCC"/>
    <w:rsid w:val="2D0F6B01"/>
    <w:rsid w:val="2E334A71"/>
    <w:rsid w:val="2E8B0409"/>
    <w:rsid w:val="2EFA558F"/>
    <w:rsid w:val="30285F7E"/>
    <w:rsid w:val="359202CF"/>
    <w:rsid w:val="373B59E9"/>
    <w:rsid w:val="377432C5"/>
    <w:rsid w:val="38591578"/>
    <w:rsid w:val="391B4A7F"/>
    <w:rsid w:val="3EE75710"/>
    <w:rsid w:val="41366754"/>
    <w:rsid w:val="4167540A"/>
    <w:rsid w:val="44665BC1"/>
    <w:rsid w:val="4565155C"/>
    <w:rsid w:val="48E1539E"/>
    <w:rsid w:val="495F2766"/>
    <w:rsid w:val="4989333F"/>
    <w:rsid w:val="49A5461D"/>
    <w:rsid w:val="4AB76D80"/>
    <w:rsid w:val="4C3E48B5"/>
    <w:rsid w:val="4D8E361A"/>
    <w:rsid w:val="52326F0E"/>
    <w:rsid w:val="543D0DF6"/>
    <w:rsid w:val="55386724"/>
    <w:rsid w:val="55E24503"/>
    <w:rsid w:val="60DA7950"/>
    <w:rsid w:val="62262323"/>
    <w:rsid w:val="647D0321"/>
    <w:rsid w:val="65D47FC4"/>
    <w:rsid w:val="6BE810E5"/>
    <w:rsid w:val="6C33740F"/>
    <w:rsid w:val="703C4095"/>
    <w:rsid w:val="711315BD"/>
    <w:rsid w:val="724C122A"/>
    <w:rsid w:val="73E32B34"/>
    <w:rsid w:val="74185868"/>
    <w:rsid w:val="764112E9"/>
    <w:rsid w:val="79183053"/>
    <w:rsid w:val="797572B9"/>
    <w:rsid w:val="7B306C4E"/>
    <w:rsid w:val="7BBA645B"/>
    <w:rsid w:val="7DDD71DA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3431</Words>
  <Characters>3726</Characters>
  <Lines>0</Lines>
  <Paragraphs>0</Paragraphs>
  <TotalTime>23</TotalTime>
  <ScaleCrop>false</ScaleCrop>
  <LinksUpToDate>false</LinksUpToDate>
  <CharactersWithSpaces>3886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WPS_1668157542</cp:lastModifiedBy>
  <cp:lastPrinted>2019-09-03T01:21:00Z</cp:lastPrinted>
  <dcterms:modified xsi:type="dcterms:W3CDTF">2023-07-19T01:57:10Z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BD30276344D741F2B4C3E2495BC6A8C5_13</vt:lpwstr>
  </property>
</Properties>
</file>