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新田县疾病预防控制中心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的主要职责是负责全县传染病、慢性非传染性疾病预防控制技术规划的拟定、组织实施与效果评价；相关疾病预测及评估；公共卫生检验检测、卫生学评价及预防性健康检查；实施免疫接种规划；职业卫生、放射卫生技术服务、职业健康监护；突发公共卫生事件的应急处理；疫情信息管理等预防控制工作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中心设</w:t>
      </w:r>
      <w:r>
        <w:rPr>
          <w:rFonts w:hint="eastAsia" w:ascii="仿宋_GB2312" w:hAnsi="仿宋" w:eastAsia="仿宋_GB2312"/>
          <w:sz w:val="32"/>
          <w:szCs w:val="32"/>
        </w:rPr>
        <w:t>办公室、质量管理科、财务科、免疫规划科、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数字化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接种门诊、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疾控科</w:t>
      </w:r>
      <w:r>
        <w:rPr>
          <w:rFonts w:hint="eastAsia" w:ascii="仿宋_GB2312" w:hAnsi="仿宋" w:eastAsia="仿宋_GB2312"/>
          <w:sz w:val="32"/>
          <w:szCs w:val="32"/>
        </w:rPr>
        <w:t>、公卫科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结防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科、</w:t>
      </w:r>
      <w:r>
        <w:rPr>
          <w:rFonts w:hint="eastAsia" w:ascii="仿宋_GB2312" w:hAnsi="仿宋" w:eastAsia="仿宋_GB2312"/>
          <w:sz w:val="32"/>
          <w:szCs w:val="32"/>
        </w:rPr>
        <w:t>艾防科、 检验科、健教科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党建办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12个科室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。我中心编制数为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54人。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新田县疾病预防控制中心部门只有本级，没有其他预算单位，因此本部门预算仅含本级预算。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年部门预算即我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本级预算。我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16、17、18、19、20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重大传染病防控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776.33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701.33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 xml:space="preserve">。收入较去年减少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593.75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上年包括非税管理的非税收入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648万元，本年不含</w:t>
      </w:r>
      <w:r>
        <w:rPr>
          <w:rFonts w:hint="eastAsia" w:eastAsia="仿宋_GB2312"/>
          <w:color w:val="auto"/>
          <w:sz w:val="32"/>
          <w:szCs w:val="32"/>
          <w:lang w:eastAsia="zh-CN"/>
        </w:rPr>
        <w:t>非税管理的非税收入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776.33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80.52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655.11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万元，住房保障支出40.7万元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支出较去年减少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593.75 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</w:t>
      </w:r>
      <w:r>
        <w:rPr>
          <w:rFonts w:eastAsia="仿宋_GB2312"/>
          <w:color w:val="auto"/>
          <w:sz w:val="32"/>
          <w:szCs w:val="32"/>
        </w:rPr>
        <w:t>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上年包括非税管理的非税支出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648万元，本年不含</w:t>
      </w:r>
      <w:r>
        <w:rPr>
          <w:rFonts w:hint="eastAsia" w:eastAsia="仿宋_GB2312"/>
          <w:color w:val="auto"/>
          <w:sz w:val="32"/>
          <w:szCs w:val="32"/>
          <w:lang w:eastAsia="zh-CN"/>
        </w:rPr>
        <w:t>非税管理的非税支出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776.33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80.52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655.11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住房保障支出40.7万元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586.33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190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重大传染病防控中央财政补助资金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计划免疫、艾滋病防控、结核病防控、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>慢性病等非传染性疾病</w:t>
      </w:r>
      <w:r>
        <w:rPr>
          <w:rFonts w:hint="eastAsia" w:ascii="宋体" w:hAnsi="宋体" w:cs="宋体"/>
          <w:color w:val="000000"/>
          <w:spacing w:val="-4"/>
          <w:sz w:val="28"/>
          <w:szCs w:val="28"/>
          <w:lang w:val="en-US" w:eastAsia="zh-CN"/>
        </w:rPr>
        <w:t>、重点传染病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面；入学新生结核病筛查经费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购买检测结核病试剂及问诊费用等方面；疾病预防控制专项经费支出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万元，主要用于保障单位各项疾病预防工作的正常开展；防疫一线人员津贴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万元，用于发放职工的防疫津贴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%。本部门无政府性基金安排的支出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 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195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万元，下降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%，主要是厉行节约，规范管理,进一步压缩经费。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万元，拟召开免疫规划会议、新生结核病筛查会议、慢性病工作会议等会议，人数约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255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人次，主要包含传达传染病监测、疾病防控要求等内容；培训费预算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万元，拟开展计划免疫规划工作培训、疾病控制培训、死因登记工作培训会等培训，人数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260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人次，主要内容为对免疫规划、死因监测、传染病等进行专题培训；未计划举办节庆、晚会、论坛、赛事活动。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4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776.33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586.33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190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cxODBmNTYyMTY0YzM4M2MwNjcxODMzNzY4M2MifQ=="/>
  </w:docVars>
  <w:rsids>
    <w:rsidRoot w:val="00000000"/>
    <w:rsid w:val="00400BE3"/>
    <w:rsid w:val="026B348A"/>
    <w:rsid w:val="05B5320C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15110C7"/>
    <w:rsid w:val="119814C7"/>
    <w:rsid w:val="12CD2B09"/>
    <w:rsid w:val="12F87997"/>
    <w:rsid w:val="157955E3"/>
    <w:rsid w:val="17EE4846"/>
    <w:rsid w:val="184423B4"/>
    <w:rsid w:val="1A3348FA"/>
    <w:rsid w:val="1A4713E9"/>
    <w:rsid w:val="1C4C57FF"/>
    <w:rsid w:val="1C6A1808"/>
    <w:rsid w:val="1F122A8F"/>
    <w:rsid w:val="2111504C"/>
    <w:rsid w:val="21570808"/>
    <w:rsid w:val="22250287"/>
    <w:rsid w:val="225D716D"/>
    <w:rsid w:val="22606ACD"/>
    <w:rsid w:val="24A4137D"/>
    <w:rsid w:val="25A0096A"/>
    <w:rsid w:val="27D91DC1"/>
    <w:rsid w:val="284A5A24"/>
    <w:rsid w:val="29310182"/>
    <w:rsid w:val="29C83407"/>
    <w:rsid w:val="2A1C6CCC"/>
    <w:rsid w:val="2A3A070E"/>
    <w:rsid w:val="30285F7E"/>
    <w:rsid w:val="311842B5"/>
    <w:rsid w:val="33BB3D0E"/>
    <w:rsid w:val="34C07040"/>
    <w:rsid w:val="359009FB"/>
    <w:rsid w:val="390B0AC4"/>
    <w:rsid w:val="398E34A3"/>
    <w:rsid w:val="3B7E693D"/>
    <w:rsid w:val="3E613DDD"/>
    <w:rsid w:val="41366754"/>
    <w:rsid w:val="4167540A"/>
    <w:rsid w:val="42997141"/>
    <w:rsid w:val="44665BC1"/>
    <w:rsid w:val="459722A7"/>
    <w:rsid w:val="4AB76D80"/>
    <w:rsid w:val="4BFD3612"/>
    <w:rsid w:val="4CAC4377"/>
    <w:rsid w:val="4D151ABA"/>
    <w:rsid w:val="4D721732"/>
    <w:rsid w:val="4DA87D28"/>
    <w:rsid w:val="4EA209A6"/>
    <w:rsid w:val="52326F0E"/>
    <w:rsid w:val="543D0DF6"/>
    <w:rsid w:val="55386724"/>
    <w:rsid w:val="55DD61A7"/>
    <w:rsid w:val="589F0489"/>
    <w:rsid w:val="58D66C9D"/>
    <w:rsid w:val="598C1805"/>
    <w:rsid w:val="5DC94D71"/>
    <w:rsid w:val="5F0454EA"/>
    <w:rsid w:val="60DA7950"/>
    <w:rsid w:val="60F62CAE"/>
    <w:rsid w:val="62262323"/>
    <w:rsid w:val="63AB687C"/>
    <w:rsid w:val="641C5C58"/>
    <w:rsid w:val="647D0321"/>
    <w:rsid w:val="6B2805BE"/>
    <w:rsid w:val="703C4095"/>
    <w:rsid w:val="72263C93"/>
    <w:rsid w:val="729055BB"/>
    <w:rsid w:val="72CC5EC7"/>
    <w:rsid w:val="77B82A72"/>
    <w:rsid w:val="7890311B"/>
    <w:rsid w:val="78B33DB1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3200</Words>
  <Characters>3434</Characters>
  <Lines>0</Lines>
  <Paragraphs>0</Paragraphs>
  <TotalTime>4</TotalTime>
  <ScaleCrop>false</ScaleCrop>
  <LinksUpToDate>false</LinksUpToDate>
  <CharactersWithSpaces>3652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2023-07-14T07:43:33Z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650C9439B8F544B185C34356AFBE459B_12</vt:lpwstr>
  </property>
</Properties>
</file>