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eastAsia="方正小标宋_GBK" w:hAnsi="Calibri" w:cs="Calibri"/>
          <w:sz w:val="48"/>
          <w:szCs w:val="48"/>
        </w:rPr>
        <w:t>202</w:t>
      </w:r>
      <w:r>
        <w:rPr>
          <w:rFonts w:ascii="Calibri" w:eastAsia="方正小标宋_GBK" w:hAnsi="Calibri" w:cs="Calibri" w:hint="eastAsia"/>
          <w:sz w:val="48"/>
          <w:szCs w:val="48"/>
        </w:rPr>
        <w:t>1</w:t>
      </w:r>
      <w:r>
        <w:rPr>
          <w:rFonts w:ascii="方正小标宋_GBK" w:eastAsia="方正小标宋_GBK" w:hAnsi="方正小标宋_GBK" w:cs="方正小标宋_GBK"/>
          <w:sz w:val="48"/>
          <w:szCs w:val="48"/>
        </w:rPr>
        <w:t>年度</w:t>
      </w:r>
      <w:r>
        <w:rPr>
          <w:rFonts w:ascii="Calibri" w:eastAsia="方正小标宋_GBK" w:hAnsi="Calibri" w:cs="Calibri"/>
          <w:sz w:val="48"/>
          <w:szCs w:val="48"/>
        </w:rPr>
        <w:t>新田县妇女联合会</w:t>
      </w:r>
      <w:r>
        <w:rPr>
          <w:rFonts w:ascii="方正小标宋_GBK" w:eastAsia="方正小标宋_GBK" w:hAnsi="方正小标宋_GBK" w:cs="方正小标宋_GBK"/>
          <w:sz w:val="48"/>
          <w:szCs w:val="48"/>
        </w:rPr>
        <w:t>部门（单位）整体支出</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方正小标宋_GBK" w:eastAsia="方正小标宋_GBK" w:hAnsi="方正小标宋_GBK" w:cs="方正小标宋_GBK"/>
          <w:sz w:val="48"/>
          <w:szCs w:val="48"/>
        </w:rPr>
        <w:t>绩效自评报告</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ind w:firstLine="880"/>
        <w:jc w:val="center"/>
        <w:rPr>
          <w:rFonts w:ascii="Calibri" w:hAnsi="Calibri" w:cs="Calibri"/>
          <w:sz w:val="21"/>
          <w:szCs w:val="21"/>
        </w:rPr>
      </w:pPr>
      <w:r>
        <w:rPr>
          <w:rFonts w:ascii="Calibri" w:hAnsi="Calibri" w:cs="Calibri"/>
          <w:sz w:val="44"/>
          <w:szCs w:val="44"/>
        </w:rPr>
        <w:t> </w:t>
      </w:r>
    </w:p>
    <w:p w:rsidR="00FA5011" w:rsidRDefault="00FA5011" w:rsidP="00FA5011">
      <w:pPr>
        <w:pStyle w:val="a3"/>
        <w:widowControl/>
        <w:spacing w:before="0" w:beforeAutospacing="0" w:after="0" w:afterAutospacing="0"/>
        <w:ind w:firstLine="880"/>
        <w:jc w:val="both"/>
        <w:rPr>
          <w:rFonts w:ascii="Calibri" w:hAnsi="Calibri" w:cs="Calibri"/>
          <w:sz w:val="21"/>
          <w:szCs w:val="21"/>
        </w:rPr>
      </w:pPr>
    </w:p>
    <w:p w:rsidR="00FA5011" w:rsidRDefault="00FA5011" w:rsidP="00FA5011">
      <w:pPr>
        <w:pStyle w:val="a3"/>
        <w:widowControl/>
        <w:spacing w:before="0" w:beforeAutospacing="0" w:after="0" w:afterAutospacing="0"/>
        <w:ind w:firstLine="880"/>
        <w:jc w:val="center"/>
        <w:rPr>
          <w:rFonts w:ascii="Calibri" w:hAnsi="Calibri" w:cs="Calibri"/>
          <w:sz w:val="21"/>
          <w:szCs w:val="21"/>
        </w:rPr>
      </w:pPr>
      <w:r>
        <w:rPr>
          <w:rFonts w:ascii="Calibri" w:hAnsi="Calibri" w:cs="Calibri"/>
          <w:sz w:val="44"/>
          <w:szCs w:val="44"/>
        </w:rPr>
        <w:t> </w:t>
      </w:r>
    </w:p>
    <w:p w:rsidR="00FA5011" w:rsidRDefault="00FA5011" w:rsidP="00FA5011">
      <w:pPr>
        <w:pStyle w:val="a3"/>
        <w:widowControl/>
        <w:spacing w:before="0" w:beforeAutospacing="0" w:after="0" w:afterAutospacing="0"/>
        <w:ind w:firstLine="720"/>
        <w:jc w:val="center"/>
        <w:rPr>
          <w:rFonts w:ascii="Calibri" w:eastAsia="黑体" w:hAnsi="Calibri" w:cs="Calibri"/>
          <w:sz w:val="21"/>
          <w:szCs w:val="21"/>
        </w:rPr>
      </w:pPr>
      <w:r>
        <w:rPr>
          <w:rFonts w:ascii="黑体" w:eastAsia="黑体" w:hAnsi="宋体" w:cs="黑体" w:hint="eastAsia"/>
          <w:sz w:val="36"/>
          <w:szCs w:val="36"/>
        </w:rPr>
        <w:t>单位名称（盖章）：新田县妇女联合会</w:t>
      </w:r>
    </w:p>
    <w:p w:rsidR="00FA5011" w:rsidRDefault="00FA5011" w:rsidP="00FA5011">
      <w:pPr>
        <w:pStyle w:val="a3"/>
        <w:widowControl/>
        <w:spacing w:before="0" w:beforeAutospacing="0" w:after="0" w:afterAutospacing="0"/>
        <w:jc w:val="both"/>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jc w:val="both"/>
        <w:rPr>
          <w:rFonts w:ascii="Calibri" w:hAnsi="Calibri" w:cs="Calibri"/>
          <w:sz w:val="21"/>
          <w:szCs w:val="21"/>
        </w:rPr>
      </w:pP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仿宋" w:eastAsia="仿宋" w:hAnsi="仿宋" w:cs="仿宋" w:hint="eastAsia"/>
          <w:sz w:val="32"/>
          <w:szCs w:val="32"/>
        </w:rPr>
        <w:t>（此页为封面）</w:t>
      </w:r>
    </w:p>
    <w:p w:rsidR="00FA5011" w:rsidRDefault="00FA5011" w:rsidP="00FA5011">
      <w:pPr>
        <w:pStyle w:val="a3"/>
        <w:widowControl/>
        <w:spacing w:before="0" w:beforeAutospacing="0" w:after="0" w:afterAutospacing="0"/>
        <w:jc w:val="center"/>
        <w:rPr>
          <w:rFonts w:ascii="Calibri" w:hAnsi="Calibri" w:cs="Calibri"/>
          <w:sz w:val="21"/>
          <w:szCs w:val="21"/>
        </w:rPr>
      </w:pPr>
      <w:r>
        <w:rPr>
          <w:rFonts w:ascii="Calibri" w:hAnsi="Calibri" w:cs="Calibri"/>
          <w:sz w:val="32"/>
          <w:szCs w:val="32"/>
        </w:rPr>
        <w:t> </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sz w:val="21"/>
          <w:szCs w:val="21"/>
        </w:rPr>
      </w:pPr>
      <w:r>
        <w:rPr>
          <w:rFonts w:ascii="Calibri" w:hAnsi="Calibri" w:cs="Calibri"/>
          <w:sz w:val="32"/>
          <w:szCs w:val="32"/>
        </w:rPr>
        <w:br w:type="page"/>
      </w:r>
      <w:r>
        <w:rPr>
          <w:rFonts w:ascii="仿宋" w:eastAsia="仿宋" w:hAnsi="仿宋" w:cs="仿宋" w:hint="eastAsia"/>
          <w:sz w:val="32"/>
          <w:szCs w:val="32"/>
        </w:rPr>
        <w:lastRenderedPageBreak/>
        <w:t>一、基本情况</w:t>
      </w:r>
    </w:p>
    <w:p w:rsidR="00FA5011" w:rsidRDefault="00FA5011" w:rsidP="00FA5011">
      <w:pPr>
        <w:pStyle w:val="a3"/>
        <w:widowControl/>
        <w:spacing w:before="0" w:beforeAutospacing="0" w:after="0" w:afterAutospacing="0" w:line="600" w:lineRule="atLeast"/>
        <w:ind w:firstLine="643"/>
        <w:jc w:val="both"/>
        <w:rPr>
          <w:rFonts w:ascii="仿宋" w:eastAsia="仿宋" w:hAnsi="仿宋" w:cs="仿宋"/>
          <w:b/>
          <w:sz w:val="32"/>
          <w:szCs w:val="32"/>
        </w:rPr>
      </w:pPr>
      <w:r>
        <w:rPr>
          <w:rFonts w:ascii="仿宋" w:eastAsia="仿宋" w:hAnsi="仿宋" w:cs="仿宋" w:hint="eastAsia"/>
          <w:b/>
          <w:sz w:val="32"/>
          <w:szCs w:val="32"/>
        </w:rPr>
        <w:t>（一）部门（单位）基本情况</w:t>
      </w:r>
    </w:p>
    <w:p w:rsidR="00FA5011" w:rsidRDefault="00FA5011" w:rsidP="00FA5011">
      <w:pPr>
        <w:spacing w:line="600" w:lineRule="atLeast"/>
        <w:ind w:firstLine="627"/>
        <w:rPr>
          <w:rFonts w:ascii="仿宋_GB2312" w:eastAsia="仿宋_GB2312" w:hAnsi="Times New Roman" w:cs="仿宋_GB2312"/>
          <w:sz w:val="32"/>
          <w:szCs w:val="32"/>
          <w:shd w:val="clear" w:color="auto" w:fill="F6F6F6"/>
        </w:rPr>
      </w:pPr>
      <w:r>
        <w:rPr>
          <w:rFonts w:eastAsia="仿宋_GB2312"/>
          <w:sz w:val="32"/>
          <w:szCs w:val="32"/>
          <w:shd w:val="clear" w:color="auto" w:fill="F6F6F6"/>
        </w:rPr>
        <w:t>1</w:t>
      </w:r>
      <w:r>
        <w:rPr>
          <w:rFonts w:ascii="仿宋_GB2312" w:eastAsia="仿宋_GB2312" w:cs="仿宋_GB2312" w:hint="eastAsia"/>
          <w:sz w:val="32"/>
          <w:szCs w:val="32"/>
          <w:shd w:val="clear" w:color="auto" w:fill="F6F6F6"/>
        </w:rPr>
        <w:t>、职能职责</w:t>
      </w:r>
    </w:p>
    <w:p w:rsidR="00FA5011" w:rsidRDefault="00FA5011" w:rsidP="00FA5011">
      <w:pPr>
        <w:pStyle w:val="a3"/>
        <w:widowControl/>
        <w:spacing w:before="0" w:beforeAutospacing="0" w:after="0" w:afterAutospacing="0" w:line="500" w:lineRule="atLeast"/>
        <w:ind w:firstLineChars="200" w:firstLine="640"/>
        <w:rPr>
          <w:rFonts w:ascii="仿宋" w:eastAsia="仿宋" w:hAnsi="仿宋" w:cs="仿宋"/>
          <w:sz w:val="32"/>
          <w:szCs w:val="32"/>
        </w:rPr>
      </w:pPr>
      <w:r>
        <w:rPr>
          <w:rFonts w:ascii="仿宋" w:eastAsia="仿宋" w:hAnsi="仿宋" w:cs="仿宋" w:hint="eastAsia"/>
          <w:sz w:val="32"/>
          <w:szCs w:val="32"/>
        </w:rPr>
        <w:t>（1）指导全县各级妇联依据《中华全国妇女联合会章程》和妇女代表大会的决定、决议，开展妇女儿童工作，联系团体会员，并给予业务指导。</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（2）指导和推动全县农村妇女“双学双比”活动、城镇妇女“巾帼建功”活动和“五好文明家庭”活动的创建。</w:t>
      </w:r>
    </w:p>
    <w:p w:rsidR="00FA5011" w:rsidRDefault="00FA5011" w:rsidP="00FA5011">
      <w:pPr>
        <w:pStyle w:val="a3"/>
        <w:widowControl/>
        <w:spacing w:before="0" w:beforeAutospacing="0" w:after="0" w:afterAutospacing="0" w:line="500" w:lineRule="atLeast"/>
        <w:ind w:firstLineChars="200" w:firstLine="640"/>
        <w:rPr>
          <w:rFonts w:ascii="仿宋" w:eastAsia="仿宋" w:hAnsi="仿宋" w:cs="仿宋"/>
          <w:sz w:val="32"/>
          <w:szCs w:val="32"/>
        </w:rPr>
      </w:pPr>
      <w:r>
        <w:rPr>
          <w:rFonts w:ascii="仿宋" w:eastAsia="仿宋" w:hAnsi="仿宋" w:cs="仿宋" w:hint="eastAsia"/>
          <w:sz w:val="32"/>
          <w:szCs w:val="32"/>
        </w:rPr>
        <w:t>（3）教育、引导广大妇女自尊、自信、自立、自强；宣传妇女典型，实施女性素质工程，促进妇女人才成长，全面提高妇女素质。</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4）维护妇女儿童合法权益，调查研究妇女、儿童问题，为县委、县政府决策提供依据，提出建议；动员妇女参与国家和社会事务的民主管理、民主监督，促进妇女参政议政；贯彻实施国务院颁发的《中国妇女发展纲要》、《中国儿童发展纲要》和省政府颁发的《湖南省妇女发展规划》、《湖南省儿童发展规划》以及市政府颁发的《永州市妇女发展规划》、《永州市儿童发展规划》，协助县政府制定《新田县妇女发展规划》、《新田县儿童发展规划》，并组织实施。</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（5）加强城乡基层妇女组织建设，扩大组织网络，拓宽工作领域。</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（6）负责与社会各界各族妇女的联络，与民主党派、工商联和团体会员之间的联系，开展有关的联谊活动。</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（7）承办县委、县政府交办的其他事项。</w:t>
      </w:r>
    </w:p>
    <w:p w:rsidR="00FA5011" w:rsidRDefault="00FA5011" w:rsidP="00FA5011">
      <w:pPr>
        <w:spacing w:line="600" w:lineRule="atLeast"/>
        <w:ind w:firstLine="627"/>
        <w:rPr>
          <w:sz w:val="32"/>
          <w:szCs w:val="32"/>
        </w:rPr>
      </w:pPr>
      <w:r>
        <w:rPr>
          <w:rFonts w:eastAsia="仿宋_GB2312"/>
          <w:sz w:val="32"/>
          <w:szCs w:val="32"/>
          <w:shd w:val="clear" w:color="auto" w:fill="F6F6F6"/>
        </w:rPr>
        <w:t>2</w:t>
      </w:r>
      <w:r>
        <w:rPr>
          <w:rFonts w:ascii="仿宋_GB2312" w:eastAsia="仿宋_GB2312" w:cs="仿宋_GB2312" w:hint="eastAsia"/>
          <w:sz w:val="32"/>
          <w:szCs w:val="32"/>
          <w:shd w:val="clear" w:color="auto" w:fill="F6F6F6"/>
        </w:rPr>
        <w:t>、机构设置及部门预算单位构成</w:t>
      </w:r>
    </w:p>
    <w:p w:rsidR="00FA5011" w:rsidRDefault="00FA5011" w:rsidP="00FA5011">
      <w:pPr>
        <w:pStyle w:val="a3"/>
        <w:widowControl/>
        <w:spacing w:line="600" w:lineRule="atLeast"/>
        <w:ind w:firstLine="640"/>
        <w:jc w:val="both"/>
        <w:rPr>
          <w:rFonts w:ascii="宋体" w:hAnsi="宋体" w:cs="宋体"/>
        </w:rPr>
      </w:pPr>
      <w:r>
        <w:rPr>
          <w:rFonts w:ascii="仿宋" w:eastAsia="仿宋" w:hAnsi="仿宋" w:cs="仿宋" w:hint="eastAsia"/>
          <w:sz w:val="32"/>
          <w:szCs w:val="32"/>
          <w:shd w:val="clear" w:color="auto" w:fill="F6F6F6"/>
        </w:rPr>
        <w:lastRenderedPageBreak/>
        <w:t>根据编委核定，我局内设股室</w:t>
      </w:r>
      <w:r>
        <w:rPr>
          <w:rFonts w:ascii="仿宋" w:eastAsia="仿宋" w:hAnsi="仿宋" w:cs="仿宋" w:hint="eastAsia"/>
          <w:sz w:val="32"/>
          <w:szCs w:val="32"/>
          <w:u w:val="single"/>
          <w:shd w:val="clear" w:color="auto" w:fill="F6F6F6"/>
        </w:rPr>
        <w:t xml:space="preserve">1 </w:t>
      </w:r>
      <w:r>
        <w:rPr>
          <w:rFonts w:ascii="仿宋" w:eastAsia="仿宋" w:hAnsi="仿宋" w:cs="仿宋" w:hint="eastAsia"/>
          <w:sz w:val="32"/>
          <w:szCs w:val="32"/>
          <w:shd w:val="clear" w:color="auto" w:fill="F6F6F6"/>
        </w:rPr>
        <w:t>个，所属事业单位</w:t>
      </w:r>
      <w:r>
        <w:rPr>
          <w:rFonts w:ascii="仿宋" w:eastAsia="仿宋" w:hAnsi="仿宋" w:cs="仿宋" w:hint="eastAsia"/>
          <w:sz w:val="32"/>
          <w:szCs w:val="32"/>
          <w:u w:val="single"/>
          <w:shd w:val="clear" w:color="auto" w:fill="F6F6F6"/>
        </w:rPr>
        <w:t xml:space="preserve"> 1 </w:t>
      </w:r>
      <w:r>
        <w:rPr>
          <w:rFonts w:ascii="仿宋" w:eastAsia="仿宋" w:hAnsi="仿宋" w:cs="仿宋" w:hint="eastAsia"/>
          <w:sz w:val="32"/>
          <w:szCs w:val="32"/>
          <w:shd w:val="clear" w:color="auto" w:fill="F6F6F6"/>
        </w:rPr>
        <w:t>个。</w:t>
      </w:r>
    </w:p>
    <w:p w:rsidR="00FA5011" w:rsidRDefault="00FA5011" w:rsidP="00FA5011">
      <w:pPr>
        <w:pStyle w:val="a3"/>
        <w:widowControl/>
        <w:spacing w:line="600" w:lineRule="atLeast"/>
        <w:ind w:firstLine="640"/>
        <w:jc w:val="both"/>
        <w:rPr>
          <w:rFonts w:ascii="宋体" w:hAnsi="宋体" w:cs="宋体"/>
        </w:rPr>
      </w:pPr>
      <w:r>
        <w:rPr>
          <w:rFonts w:ascii="仿宋" w:eastAsia="仿宋" w:hAnsi="仿宋" w:cs="仿宋" w:hint="eastAsia"/>
          <w:sz w:val="32"/>
          <w:szCs w:val="32"/>
          <w:shd w:val="clear" w:color="auto" w:fill="F6F6F6"/>
        </w:rPr>
        <w:t>内设股室分别是办公室。</w:t>
      </w:r>
    </w:p>
    <w:p w:rsidR="00FA5011" w:rsidRDefault="00FA5011" w:rsidP="00FA5011">
      <w:pPr>
        <w:spacing w:line="600" w:lineRule="atLeast"/>
        <w:ind w:firstLine="627"/>
        <w:rPr>
          <w:rFonts w:ascii="Times New Roman" w:hAnsi="Times New Roman" w:cs="Times New Roman"/>
          <w:sz w:val="32"/>
          <w:szCs w:val="32"/>
        </w:rPr>
      </w:pPr>
      <w:r>
        <w:rPr>
          <w:rFonts w:ascii="仿宋" w:eastAsia="仿宋" w:hAnsi="仿宋" w:cs="仿宋" w:hint="eastAsia"/>
          <w:sz w:val="32"/>
          <w:szCs w:val="32"/>
          <w:shd w:val="clear" w:color="auto" w:fill="F6F6F6"/>
        </w:rPr>
        <w:t>所属事业单位分别是妇儿工委办公室。</w:t>
      </w:r>
    </w:p>
    <w:p w:rsidR="00FA5011" w:rsidRDefault="00FA5011" w:rsidP="00FA5011">
      <w:pPr>
        <w:pStyle w:val="a3"/>
        <w:widowControl/>
        <w:spacing w:before="0" w:beforeAutospacing="0" w:after="0" w:afterAutospacing="0" w:line="600" w:lineRule="atLeast"/>
        <w:ind w:firstLine="643"/>
        <w:jc w:val="both"/>
        <w:rPr>
          <w:rFonts w:ascii="仿宋" w:eastAsia="仿宋" w:hAnsi="仿宋" w:cs="仿宋"/>
          <w:b/>
          <w:sz w:val="32"/>
          <w:szCs w:val="32"/>
        </w:rPr>
      </w:pPr>
    </w:p>
    <w:p w:rsidR="00FA5011" w:rsidRDefault="00FA5011" w:rsidP="00FA5011">
      <w:pPr>
        <w:pStyle w:val="a3"/>
        <w:widowControl/>
        <w:spacing w:before="0" w:beforeAutospacing="0" w:after="0" w:afterAutospacing="0" w:line="600" w:lineRule="atLeast"/>
        <w:ind w:firstLine="643"/>
        <w:jc w:val="both"/>
        <w:rPr>
          <w:rFonts w:ascii="仿宋" w:eastAsia="仿宋" w:hAnsi="仿宋" w:cs="仿宋"/>
          <w:sz w:val="21"/>
          <w:szCs w:val="21"/>
        </w:rPr>
      </w:pPr>
      <w:r>
        <w:rPr>
          <w:rFonts w:ascii="仿宋" w:eastAsia="仿宋" w:hAnsi="仿宋" w:cs="仿宋" w:hint="eastAsia"/>
          <w:b/>
          <w:sz w:val="32"/>
          <w:szCs w:val="32"/>
        </w:rPr>
        <w:t>（二）部门（单位）年度整体支出绩效目标，省级专项资金绩效目标、其他项目支出（除省级专项资金以外）绩效目标</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sz w:val="21"/>
          <w:szCs w:val="21"/>
        </w:rPr>
      </w:pPr>
      <w:r>
        <w:rPr>
          <w:rFonts w:ascii="仿宋" w:eastAsia="仿宋" w:hAnsi="仿宋" w:cs="仿宋" w:hint="eastAsia"/>
          <w:sz w:val="32"/>
          <w:szCs w:val="32"/>
        </w:rPr>
        <w:t>二、一般公共预算支出情况</w:t>
      </w:r>
    </w:p>
    <w:p w:rsidR="00FA5011" w:rsidRDefault="00FA5011" w:rsidP="00FA5011">
      <w:pPr>
        <w:pStyle w:val="a3"/>
        <w:widowControl/>
        <w:spacing w:before="0" w:beforeAutospacing="0" w:after="0" w:afterAutospacing="0" w:line="600" w:lineRule="atLeast"/>
        <w:ind w:firstLine="643"/>
        <w:jc w:val="both"/>
        <w:rPr>
          <w:rFonts w:ascii="仿宋" w:eastAsia="仿宋" w:hAnsi="仿宋" w:cs="仿宋"/>
          <w:b/>
          <w:sz w:val="32"/>
          <w:szCs w:val="32"/>
        </w:rPr>
      </w:pPr>
      <w:r>
        <w:rPr>
          <w:rFonts w:ascii="仿宋" w:eastAsia="仿宋" w:hAnsi="仿宋" w:cs="仿宋" w:hint="eastAsia"/>
          <w:b/>
          <w:sz w:val="32"/>
          <w:szCs w:val="32"/>
        </w:rPr>
        <w:t>（一）基本支出情况</w:t>
      </w:r>
    </w:p>
    <w:p w:rsidR="00FA5011" w:rsidRDefault="00FA5011" w:rsidP="00FA5011">
      <w:pPr>
        <w:spacing w:line="600" w:lineRule="atLeast"/>
        <w:ind w:firstLine="660"/>
        <w:rPr>
          <w:rFonts w:ascii="Times New Roman" w:eastAsia="宋体" w:hAnsi="Times New Roman" w:cs="Times New Roman"/>
          <w:sz w:val="21"/>
          <w:szCs w:val="24"/>
        </w:rPr>
      </w:pPr>
      <w:r>
        <w:rPr>
          <w:rFonts w:eastAsia="仿宋_GB2312"/>
          <w:sz w:val="32"/>
          <w:szCs w:val="32"/>
          <w:shd w:val="clear" w:color="auto" w:fill="F6F6F6"/>
        </w:rPr>
        <w:t>2021</w:t>
      </w:r>
      <w:r>
        <w:rPr>
          <w:rFonts w:ascii="仿宋_GB2312" w:eastAsia="仿宋_GB2312" w:cs="仿宋_GB2312" w:hint="eastAsia"/>
          <w:sz w:val="32"/>
          <w:szCs w:val="32"/>
          <w:shd w:val="clear" w:color="auto" w:fill="F6F6F6"/>
        </w:rPr>
        <w:t>年一般公共预算拨款收入</w:t>
      </w:r>
      <w:r w:rsidR="00163894">
        <w:rPr>
          <w:rFonts w:ascii="仿宋_GB2312" w:eastAsia="仿宋_GB2312" w:cs="仿宋_GB2312" w:hint="eastAsia"/>
          <w:sz w:val="32"/>
          <w:szCs w:val="32"/>
          <w:u w:val="single"/>
          <w:shd w:val="clear" w:color="auto" w:fill="F6F6F6"/>
        </w:rPr>
        <w:t>92.38</w:t>
      </w:r>
      <w:r>
        <w:rPr>
          <w:rFonts w:ascii="仿宋_GB2312" w:eastAsia="仿宋_GB2312" w:cs="仿宋_GB2312" w:hint="eastAsia"/>
          <w:sz w:val="32"/>
          <w:szCs w:val="32"/>
          <w:shd w:val="clear" w:color="auto" w:fill="F6F6F6"/>
        </w:rPr>
        <w:t>万元，具体安排情况如下：</w:t>
      </w:r>
    </w:p>
    <w:p w:rsidR="00FA5011" w:rsidRDefault="00FA5011" w:rsidP="00FA5011">
      <w:pPr>
        <w:spacing w:line="600" w:lineRule="atLeast"/>
        <w:ind w:firstLine="660"/>
      </w:pPr>
      <w:r>
        <w:rPr>
          <w:rFonts w:ascii="仿宋_GB2312" w:eastAsia="仿宋_GB2312" w:cs="仿宋_GB2312" w:hint="eastAsia"/>
          <w:sz w:val="32"/>
          <w:szCs w:val="32"/>
          <w:shd w:val="clear" w:color="auto" w:fill="F6F6F6"/>
        </w:rPr>
        <w:t>（一）基本支出：</w:t>
      </w:r>
      <w:r>
        <w:rPr>
          <w:rFonts w:eastAsia="仿宋_GB2312"/>
          <w:sz w:val="32"/>
          <w:szCs w:val="32"/>
          <w:shd w:val="clear" w:color="auto" w:fill="F6F6F6"/>
        </w:rPr>
        <w:t>2021</w:t>
      </w:r>
      <w:r>
        <w:rPr>
          <w:rFonts w:ascii="仿宋_GB2312" w:eastAsia="仿宋_GB2312" w:cs="仿宋_GB2312" w:hint="eastAsia"/>
          <w:sz w:val="32"/>
          <w:szCs w:val="32"/>
          <w:shd w:val="clear" w:color="auto" w:fill="F6F6F6"/>
        </w:rPr>
        <w:t>年</w:t>
      </w:r>
      <w:r>
        <w:rPr>
          <w:rFonts w:ascii="仿宋_GB2312" w:eastAsia="仿宋_GB2312" w:hAnsi="Arial" w:cs="仿宋_GB2312" w:hint="eastAsia"/>
          <w:sz w:val="32"/>
          <w:szCs w:val="32"/>
          <w:shd w:val="clear" w:color="auto" w:fill="F6F6F6"/>
        </w:rPr>
        <w:t>基本支出</w:t>
      </w:r>
      <w:r>
        <w:rPr>
          <w:rFonts w:ascii="仿宋_GB2312" w:eastAsia="仿宋_GB2312" w:cs="仿宋_GB2312" w:hint="eastAsia"/>
          <w:sz w:val="32"/>
          <w:szCs w:val="32"/>
          <w:shd w:val="clear" w:color="auto" w:fill="F6F6F6"/>
        </w:rPr>
        <w:t>年初预算数为</w:t>
      </w:r>
      <w:r w:rsidR="00163894">
        <w:rPr>
          <w:rFonts w:asciiTheme="minorEastAsia" w:eastAsiaTheme="minorEastAsia" w:hAnsiTheme="minorEastAsia" w:cstheme="minorEastAsia" w:hint="eastAsia"/>
          <w:sz w:val="28"/>
          <w:szCs w:val="28"/>
        </w:rPr>
        <w:t>77.38</w:t>
      </w:r>
      <w:r>
        <w:rPr>
          <w:rFonts w:ascii="仿宋_GB2312" w:eastAsia="仿宋_GB2312" w:cs="仿宋_GB2312" w:hint="eastAsia"/>
          <w:sz w:val="32"/>
          <w:szCs w:val="32"/>
          <w:shd w:val="clear" w:color="auto" w:fill="F6F6F6"/>
        </w:rPr>
        <w:t>万元，是指为保障单位机构正常运转、完成日常工作任务而发生的各项支出，包括用于基本工资、津贴补贴等人员经费以及办公费、印刷费、水电费、办公设备购置等日常公用经费。</w:t>
      </w:r>
    </w:p>
    <w:p w:rsidR="00FA5011" w:rsidRDefault="00FA5011" w:rsidP="00FA5011">
      <w:pPr>
        <w:spacing w:line="600" w:lineRule="atLeast"/>
        <w:ind w:firstLine="660"/>
      </w:pPr>
      <w:r>
        <w:rPr>
          <w:rFonts w:ascii="仿宋_GB2312" w:eastAsia="仿宋_GB2312" w:cs="仿宋_GB2312" w:hint="eastAsia"/>
          <w:sz w:val="32"/>
          <w:szCs w:val="32"/>
          <w:shd w:val="clear" w:color="auto" w:fill="F6F6F6"/>
        </w:rPr>
        <w:t>（二）项目支出：</w:t>
      </w:r>
      <w:r>
        <w:rPr>
          <w:rFonts w:eastAsia="仿宋_GB2312"/>
          <w:sz w:val="32"/>
          <w:szCs w:val="32"/>
          <w:shd w:val="clear" w:color="auto" w:fill="F6F6F6"/>
        </w:rPr>
        <w:t>2021</w:t>
      </w:r>
      <w:r>
        <w:rPr>
          <w:rFonts w:ascii="仿宋_GB2312" w:eastAsia="仿宋_GB2312" w:cs="仿宋_GB2312" w:hint="eastAsia"/>
          <w:sz w:val="32"/>
          <w:szCs w:val="32"/>
          <w:shd w:val="clear" w:color="auto" w:fill="F6F6F6"/>
        </w:rPr>
        <w:t>年</w:t>
      </w:r>
      <w:r>
        <w:rPr>
          <w:rFonts w:ascii="仿宋_GB2312" w:eastAsia="仿宋_GB2312" w:hAnsi="Arial" w:cs="仿宋_GB2312" w:hint="eastAsia"/>
          <w:sz w:val="32"/>
          <w:szCs w:val="32"/>
          <w:shd w:val="clear" w:color="auto" w:fill="F6F6F6"/>
        </w:rPr>
        <w:t>项目支出</w:t>
      </w:r>
      <w:r>
        <w:rPr>
          <w:rFonts w:ascii="仿宋_GB2312" w:eastAsia="仿宋_GB2312" w:cs="仿宋_GB2312" w:hint="eastAsia"/>
          <w:sz w:val="32"/>
          <w:szCs w:val="32"/>
          <w:shd w:val="clear" w:color="auto" w:fill="F6F6F6"/>
        </w:rPr>
        <w:t>年初预算数为</w:t>
      </w:r>
      <w:r w:rsidR="00163894">
        <w:rPr>
          <w:rFonts w:asciiTheme="minorEastAsia" w:eastAsiaTheme="minorEastAsia" w:hAnsiTheme="minorEastAsia" w:cstheme="minorEastAsia" w:hint="eastAsia"/>
          <w:sz w:val="28"/>
          <w:szCs w:val="28"/>
        </w:rPr>
        <w:t>15</w:t>
      </w:r>
      <w:r>
        <w:rPr>
          <w:rFonts w:ascii="仿宋_GB2312" w:eastAsia="仿宋_GB2312" w:cs="仿宋_GB2312" w:hint="eastAsia"/>
          <w:sz w:val="32"/>
          <w:szCs w:val="32"/>
          <w:shd w:val="clear" w:color="auto" w:fill="F6F6F6"/>
        </w:rPr>
        <w:t>万元，是指单位为完成特定行政工作任务或事业发展目标而发生的支出，</w:t>
      </w:r>
      <w:r>
        <w:rPr>
          <w:rFonts w:ascii="仿宋_GB2312" w:eastAsia="仿宋_GB2312" w:hAnsi="Arial" w:cs="仿宋_GB2312" w:hint="eastAsia"/>
          <w:sz w:val="32"/>
          <w:szCs w:val="32"/>
          <w:shd w:val="clear" w:color="auto" w:fill="F6F6F6"/>
        </w:rPr>
        <w:t>包括有关业务工作专项和运行维护专项。其中：</w:t>
      </w:r>
      <w:r>
        <w:rPr>
          <w:rFonts w:ascii="仿宋_GB2312" w:eastAsia="仿宋_GB2312" w:hAnsi="Arial" w:cs="仿宋_GB2312" w:hint="eastAsia"/>
          <w:sz w:val="32"/>
          <w:szCs w:val="32"/>
          <w:u w:val="single"/>
          <w:shd w:val="clear" w:color="auto" w:fill="F6F6F6"/>
        </w:rPr>
        <w:t xml:space="preserve">  妇女事业发展</w:t>
      </w:r>
      <w:r>
        <w:rPr>
          <w:rFonts w:ascii="仿宋_GB2312" w:eastAsia="仿宋_GB2312" w:hAnsi="Arial" w:cs="仿宋_GB2312" w:hint="eastAsia"/>
          <w:sz w:val="32"/>
          <w:szCs w:val="32"/>
          <w:shd w:val="clear" w:color="auto" w:fill="F6F6F6"/>
        </w:rPr>
        <w:t>专项支出</w:t>
      </w:r>
      <w:r>
        <w:rPr>
          <w:rFonts w:ascii="仿宋_GB2312" w:eastAsia="仿宋_GB2312" w:hAnsi="Arial" w:cs="仿宋_GB2312" w:hint="eastAsia"/>
          <w:sz w:val="32"/>
          <w:szCs w:val="32"/>
          <w:u w:val="single"/>
          <w:shd w:val="clear" w:color="auto" w:fill="F6F6F6"/>
        </w:rPr>
        <w:t>1</w:t>
      </w:r>
      <w:r w:rsidR="00163894">
        <w:rPr>
          <w:rFonts w:ascii="仿宋_GB2312" w:eastAsia="仿宋_GB2312" w:hAnsi="Arial" w:cs="仿宋_GB2312" w:hint="eastAsia"/>
          <w:sz w:val="32"/>
          <w:szCs w:val="32"/>
          <w:u w:val="single"/>
          <w:shd w:val="clear" w:color="auto" w:fill="F6F6F6"/>
        </w:rPr>
        <w:t>0</w:t>
      </w:r>
      <w:r>
        <w:rPr>
          <w:rFonts w:ascii="仿宋_GB2312" w:eastAsia="仿宋_GB2312" w:hAnsi="Arial" w:cs="仿宋_GB2312" w:hint="eastAsia"/>
          <w:sz w:val="32"/>
          <w:szCs w:val="32"/>
          <w:shd w:val="clear" w:color="auto" w:fill="F6F6F6"/>
        </w:rPr>
        <w:t>万元，主要用于</w:t>
      </w:r>
      <w:r>
        <w:rPr>
          <w:rFonts w:ascii="仿宋_GB2312" w:eastAsia="仿宋_GB2312" w:hAnsi="Arial" w:cs="仿宋_GB2312" w:hint="eastAsia"/>
          <w:sz w:val="32"/>
          <w:szCs w:val="32"/>
          <w:u w:val="single"/>
          <w:shd w:val="clear" w:color="auto" w:fill="F6F6F6"/>
        </w:rPr>
        <w:t>妇女事业</w:t>
      </w:r>
      <w:r>
        <w:rPr>
          <w:rFonts w:ascii="仿宋_GB2312" w:eastAsia="仿宋_GB2312" w:hAnsi="Arial" w:cs="仿宋_GB2312" w:hint="eastAsia"/>
          <w:sz w:val="32"/>
          <w:szCs w:val="32"/>
          <w:u w:val="single"/>
          <w:shd w:val="clear" w:color="auto" w:fill="F6F6F6"/>
        </w:rPr>
        <w:lastRenderedPageBreak/>
        <w:t>发展</w:t>
      </w:r>
      <w:r>
        <w:rPr>
          <w:rFonts w:ascii="仿宋_GB2312" w:eastAsia="仿宋_GB2312" w:hAnsi="Arial" w:cs="仿宋_GB2312" w:hint="eastAsia"/>
          <w:sz w:val="32"/>
          <w:szCs w:val="32"/>
          <w:shd w:val="clear" w:color="auto" w:fill="F6F6F6"/>
        </w:rPr>
        <w:t>方面；</w:t>
      </w:r>
      <w:r>
        <w:rPr>
          <w:rFonts w:ascii="仿宋_GB2312" w:eastAsia="仿宋_GB2312" w:hAnsi="Arial" w:cs="仿宋_GB2312" w:hint="eastAsia"/>
          <w:sz w:val="32"/>
          <w:szCs w:val="32"/>
          <w:u w:val="single"/>
          <w:shd w:val="clear" w:color="auto" w:fill="F6F6F6"/>
        </w:rPr>
        <w:t>婚调委</w:t>
      </w:r>
      <w:r>
        <w:rPr>
          <w:rFonts w:ascii="仿宋_GB2312" w:eastAsia="仿宋_GB2312" w:hAnsi="Arial" w:cs="仿宋_GB2312" w:hint="eastAsia"/>
          <w:sz w:val="32"/>
          <w:szCs w:val="32"/>
          <w:shd w:val="clear" w:color="auto" w:fill="F6F6F6"/>
        </w:rPr>
        <w:t>专项支出</w:t>
      </w:r>
      <w:r w:rsidR="00163894">
        <w:rPr>
          <w:rFonts w:ascii="仿宋_GB2312" w:eastAsia="仿宋_GB2312" w:hAnsi="Arial" w:cs="仿宋_GB2312" w:hint="eastAsia"/>
          <w:sz w:val="32"/>
          <w:szCs w:val="32"/>
          <w:u w:val="single"/>
          <w:shd w:val="clear" w:color="auto" w:fill="F6F6F6"/>
        </w:rPr>
        <w:t>2</w:t>
      </w:r>
      <w:r>
        <w:rPr>
          <w:rFonts w:ascii="仿宋_GB2312" w:eastAsia="仿宋_GB2312" w:hAnsi="Arial" w:cs="仿宋_GB2312" w:hint="eastAsia"/>
          <w:sz w:val="32"/>
          <w:szCs w:val="32"/>
          <w:shd w:val="clear" w:color="auto" w:fill="F6F6F6"/>
        </w:rPr>
        <w:t>万元，主要用于</w:t>
      </w:r>
      <w:r>
        <w:rPr>
          <w:rFonts w:ascii="仿宋_GB2312" w:eastAsia="仿宋_GB2312" w:hAnsi="Arial" w:cs="仿宋_GB2312" w:hint="eastAsia"/>
          <w:sz w:val="32"/>
          <w:szCs w:val="32"/>
          <w:u w:val="single"/>
          <w:shd w:val="clear" w:color="auto" w:fill="F6F6F6"/>
        </w:rPr>
        <w:t>专职调解员工工资及保险</w:t>
      </w:r>
      <w:r>
        <w:rPr>
          <w:rFonts w:ascii="仿宋_GB2312" w:eastAsia="仿宋_GB2312" w:hAnsi="Arial" w:cs="仿宋_GB2312" w:hint="eastAsia"/>
          <w:sz w:val="32"/>
          <w:szCs w:val="32"/>
          <w:shd w:val="clear" w:color="auto" w:fill="F6F6F6"/>
        </w:rPr>
        <w:t>方面；</w:t>
      </w:r>
      <w:r>
        <w:rPr>
          <w:rFonts w:ascii="仿宋_GB2312" w:eastAsia="仿宋_GB2312" w:hAnsi="Arial" w:cs="仿宋_GB2312" w:hint="eastAsia"/>
          <w:sz w:val="32"/>
          <w:szCs w:val="32"/>
          <w:u w:val="single"/>
          <w:shd w:val="clear" w:color="auto" w:fill="F6F6F6"/>
        </w:rPr>
        <w:t>儿童之家</w:t>
      </w:r>
      <w:r>
        <w:rPr>
          <w:rFonts w:ascii="仿宋_GB2312" w:eastAsia="仿宋_GB2312" w:hAnsi="Arial" w:cs="仿宋_GB2312" w:hint="eastAsia"/>
          <w:sz w:val="32"/>
          <w:szCs w:val="32"/>
          <w:shd w:val="clear" w:color="auto" w:fill="F6F6F6"/>
        </w:rPr>
        <w:t>专项支出</w:t>
      </w:r>
      <w:r w:rsidR="00163894">
        <w:rPr>
          <w:rFonts w:ascii="仿宋_GB2312" w:eastAsia="仿宋_GB2312" w:hAnsi="Arial" w:cs="仿宋_GB2312" w:hint="eastAsia"/>
          <w:sz w:val="32"/>
          <w:szCs w:val="32"/>
          <w:u w:val="single"/>
          <w:shd w:val="clear" w:color="auto" w:fill="F6F6F6"/>
        </w:rPr>
        <w:t>3</w:t>
      </w:r>
      <w:r>
        <w:rPr>
          <w:rFonts w:ascii="仿宋_GB2312" w:eastAsia="仿宋_GB2312" w:hAnsi="Arial" w:cs="仿宋_GB2312" w:hint="eastAsia"/>
          <w:sz w:val="32"/>
          <w:szCs w:val="32"/>
          <w:shd w:val="clear" w:color="auto" w:fill="F6F6F6"/>
        </w:rPr>
        <w:t>万，主要用于</w:t>
      </w:r>
      <w:r>
        <w:rPr>
          <w:rFonts w:ascii="仿宋_GB2312" w:eastAsia="仿宋_GB2312" w:hAnsi="Arial" w:cs="仿宋_GB2312" w:hint="eastAsia"/>
          <w:sz w:val="32"/>
          <w:szCs w:val="32"/>
          <w:u w:val="single"/>
          <w:shd w:val="clear" w:color="auto" w:fill="F6F6F6"/>
        </w:rPr>
        <w:t>儿童之家运行维护</w:t>
      </w:r>
      <w:r>
        <w:rPr>
          <w:rFonts w:ascii="仿宋_GB2312" w:eastAsia="仿宋_GB2312" w:hAnsi="Arial" w:cs="仿宋_GB2312" w:hint="eastAsia"/>
          <w:sz w:val="32"/>
          <w:szCs w:val="32"/>
          <w:shd w:val="clear" w:color="auto" w:fill="F6F6F6"/>
        </w:rPr>
        <w:t>。</w:t>
      </w:r>
    </w:p>
    <w:p w:rsidR="00FA5011" w:rsidRDefault="00FA5011" w:rsidP="00FA5011">
      <w:pPr>
        <w:pStyle w:val="a3"/>
        <w:widowControl/>
        <w:spacing w:before="0" w:beforeAutospacing="0" w:after="0" w:afterAutospacing="0" w:line="600" w:lineRule="atLeast"/>
        <w:ind w:firstLine="643"/>
        <w:jc w:val="both"/>
        <w:rPr>
          <w:rFonts w:ascii="仿宋" w:eastAsia="仿宋" w:hAnsi="仿宋" w:cs="仿宋"/>
          <w:b/>
          <w:sz w:val="32"/>
          <w:szCs w:val="32"/>
        </w:rPr>
      </w:pPr>
    </w:p>
    <w:p w:rsidR="00FA5011" w:rsidRDefault="00FA5011" w:rsidP="00FA5011">
      <w:pPr>
        <w:pStyle w:val="a3"/>
        <w:widowControl/>
        <w:spacing w:before="0" w:beforeAutospacing="0" w:after="0" w:afterAutospacing="0" w:line="600" w:lineRule="atLeast"/>
        <w:ind w:firstLine="643"/>
        <w:jc w:val="both"/>
        <w:rPr>
          <w:rFonts w:ascii="仿宋" w:eastAsia="仿宋" w:hAnsi="仿宋" w:cs="仿宋"/>
          <w:sz w:val="21"/>
          <w:szCs w:val="21"/>
        </w:rPr>
      </w:pPr>
      <w:r>
        <w:rPr>
          <w:rFonts w:ascii="仿宋" w:eastAsia="仿宋" w:hAnsi="仿宋" w:cs="仿宋" w:hint="eastAsia"/>
          <w:b/>
          <w:sz w:val="32"/>
          <w:szCs w:val="32"/>
        </w:rPr>
        <w:t>（二）项目支出情况</w:t>
      </w:r>
    </w:p>
    <w:p w:rsidR="00FA5011" w:rsidRDefault="00FA5011" w:rsidP="00FA5011">
      <w:pPr>
        <w:pStyle w:val="a3"/>
        <w:widowControl/>
        <w:spacing w:before="0" w:beforeAutospacing="0" w:after="0" w:afterAutospacing="0" w:line="600" w:lineRule="atLeast"/>
        <w:ind w:firstLine="640"/>
        <w:jc w:val="both"/>
        <w:rPr>
          <w:rFonts w:ascii="Calibri" w:hAnsi="Calibri" w:cs="Calibri"/>
          <w:sz w:val="21"/>
          <w:szCs w:val="21"/>
        </w:rPr>
      </w:pPr>
      <w:r>
        <w:rPr>
          <w:rFonts w:ascii="仿宋" w:eastAsia="仿宋" w:hAnsi="仿宋" w:cs="仿宋" w:hint="eastAsia"/>
          <w:sz w:val="32"/>
          <w:szCs w:val="32"/>
        </w:rPr>
        <w:t>两方面：一是</w:t>
      </w:r>
      <w:r>
        <w:rPr>
          <w:rFonts w:ascii="Calibri" w:hAnsi="Calibri" w:cs="Calibri" w:hint="eastAsia"/>
          <w:sz w:val="32"/>
          <w:szCs w:val="32"/>
        </w:rPr>
        <w:t>2021</w:t>
      </w:r>
      <w:r>
        <w:rPr>
          <w:rFonts w:ascii="仿宋" w:eastAsia="仿宋" w:hAnsi="仿宋" w:cs="仿宋" w:hint="eastAsia"/>
          <w:sz w:val="32"/>
          <w:szCs w:val="32"/>
        </w:rPr>
        <w:t>年度县级专项资金分配安排和使用管理情况，有</w:t>
      </w:r>
      <w:r>
        <w:rPr>
          <w:rFonts w:ascii="Calibri" w:hAnsi="Calibri" w:cs="Calibri"/>
          <w:sz w:val="32"/>
          <w:szCs w:val="32"/>
        </w:rPr>
        <w:t>2</w:t>
      </w:r>
      <w:r>
        <w:rPr>
          <w:rFonts w:ascii="仿宋" w:eastAsia="仿宋" w:hAnsi="仿宋" w:cs="仿宋" w:hint="eastAsia"/>
          <w:sz w:val="32"/>
          <w:szCs w:val="32"/>
        </w:rPr>
        <w:t>个及以上县级专项资金的要分别总结基本情况。二是除县级专项资金以外的其他项目支出情况。</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b/>
          <w:bCs/>
          <w:sz w:val="21"/>
          <w:szCs w:val="21"/>
        </w:rPr>
      </w:pPr>
      <w:r>
        <w:rPr>
          <w:rFonts w:ascii="仿宋" w:eastAsia="仿宋" w:hAnsi="仿宋" w:cs="仿宋" w:hint="eastAsia"/>
          <w:b/>
          <w:bCs/>
          <w:sz w:val="32"/>
          <w:szCs w:val="32"/>
        </w:rPr>
        <w:t>三、政府性基金预算支出情况</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b/>
          <w:bCs/>
          <w:sz w:val="21"/>
          <w:szCs w:val="21"/>
        </w:rPr>
      </w:pPr>
      <w:r>
        <w:rPr>
          <w:rFonts w:ascii="仿宋" w:eastAsia="仿宋" w:hAnsi="仿宋" w:cs="仿宋" w:hint="eastAsia"/>
          <w:b/>
          <w:bCs/>
          <w:sz w:val="32"/>
          <w:szCs w:val="32"/>
        </w:rPr>
        <w:t>四、国有资本经营预算支出情况</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b/>
          <w:bCs/>
          <w:sz w:val="21"/>
          <w:szCs w:val="21"/>
        </w:rPr>
      </w:pPr>
      <w:r>
        <w:rPr>
          <w:rFonts w:ascii="仿宋" w:eastAsia="仿宋" w:hAnsi="仿宋" w:cs="仿宋" w:hint="eastAsia"/>
          <w:b/>
          <w:bCs/>
          <w:sz w:val="32"/>
          <w:szCs w:val="32"/>
        </w:rPr>
        <w:t>五、社会保险基金预算支出情况</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b/>
          <w:bCs/>
          <w:sz w:val="21"/>
          <w:szCs w:val="21"/>
        </w:rPr>
      </w:pPr>
      <w:r>
        <w:rPr>
          <w:rFonts w:ascii="仿宋" w:eastAsia="仿宋" w:hAnsi="仿宋" w:cs="仿宋" w:hint="eastAsia"/>
          <w:b/>
          <w:bCs/>
          <w:sz w:val="32"/>
          <w:szCs w:val="32"/>
        </w:rPr>
        <w:t>六、部门整体支出绩效情况</w:t>
      </w:r>
    </w:p>
    <w:p w:rsidR="00FA5011" w:rsidRDefault="00FA5011" w:rsidP="00FA5011">
      <w:pPr>
        <w:spacing w:line="500" w:lineRule="exact"/>
        <w:ind w:firstLineChars="200" w:firstLine="643"/>
        <w:rPr>
          <w:rFonts w:ascii="楷体" w:eastAsia="楷体" w:hAnsi="楷体" w:cs="楷体"/>
          <w:b/>
          <w:sz w:val="32"/>
          <w:szCs w:val="32"/>
        </w:rPr>
      </w:pPr>
      <w:r>
        <w:rPr>
          <w:rFonts w:ascii="楷体" w:eastAsia="楷体" w:hAnsi="楷体" w:cs="楷体" w:hint="eastAsia"/>
          <w:b/>
          <w:sz w:val="32"/>
          <w:szCs w:val="32"/>
        </w:rPr>
        <w:t>（一）加强学习，强化政治责任</w:t>
      </w:r>
    </w:p>
    <w:p w:rsidR="00FA5011" w:rsidRDefault="00FA5011" w:rsidP="00FA5011">
      <w:pPr>
        <w:spacing w:line="570" w:lineRule="exact"/>
        <w:ind w:firstLineChars="200" w:firstLine="650"/>
        <w:rPr>
          <w:rFonts w:ascii="仿宋_GB2312" w:eastAsia="仿宋_GB2312" w:hAnsi="Times New Roman" w:cs="仿宋_GB2312"/>
          <w:bCs/>
          <w:spacing w:val="5"/>
          <w:sz w:val="32"/>
          <w:szCs w:val="32"/>
        </w:rPr>
      </w:pPr>
      <w:r>
        <w:rPr>
          <w:rFonts w:ascii="仿宋_GB2312" w:eastAsia="仿宋_GB2312" w:cs="仿宋_GB2312" w:hint="eastAsia"/>
          <w:bCs/>
          <w:spacing w:val="5"/>
          <w:sz w:val="32"/>
          <w:szCs w:val="32"/>
        </w:rPr>
        <w:t>始终坚持把加强政治学习作为首要任务，利用党组会议、理论中心组学习、例会等，认真组织学习习近平总书记系列重要讲话精神，把全体党员干部思想和行动统一到党中央决策部署和习近平总书记系列重要讲话精神上来。</w:t>
      </w:r>
    </w:p>
    <w:p w:rsidR="00FA5011" w:rsidRDefault="00FA5011" w:rsidP="00FA5011">
      <w:pPr>
        <w:spacing w:line="570" w:lineRule="exact"/>
        <w:rPr>
          <w:rFonts w:ascii="楷体" w:eastAsia="楷体" w:hAnsi="楷体" w:cs="楷体"/>
          <w:b/>
          <w:sz w:val="32"/>
          <w:szCs w:val="32"/>
        </w:rPr>
      </w:pPr>
      <w:r>
        <w:rPr>
          <w:rFonts w:ascii="黑体" w:eastAsia="黑体" w:hint="eastAsia"/>
          <w:spacing w:val="5"/>
          <w:sz w:val="32"/>
          <w:szCs w:val="32"/>
        </w:rPr>
        <w:t xml:space="preserve">    </w:t>
      </w:r>
      <w:r>
        <w:rPr>
          <w:rFonts w:ascii="楷体" w:eastAsia="楷体" w:hAnsi="楷体" w:cs="楷体" w:hint="eastAsia"/>
          <w:b/>
          <w:sz w:val="32"/>
          <w:szCs w:val="32"/>
        </w:rPr>
        <w:t>（二）认真履职，服务改革发展</w:t>
      </w:r>
    </w:p>
    <w:p w:rsidR="00FA5011" w:rsidRDefault="00FA5011" w:rsidP="00FA5011">
      <w:pPr>
        <w:spacing w:line="570" w:lineRule="exact"/>
        <w:ind w:firstLine="670"/>
        <w:rPr>
          <w:rFonts w:ascii="仿宋_GB2312" w:eastAsia="仿宋" w:hAnsi="Times New Roman" w:cs="Times New Roman"/>
          <w:spacing w:val="5"/>
          <w:sz w:val="32"/>
          <w:szCs w:val="32"/>
        </w:rPr>
      </w:pPr>
      <w:r>
        <w:rPr>
          <w:rFonts w:ascii="楷体_GB2312" w:eastAsia="楷体_GB2312" w:cs="楷体_GB2312" w:hint="eastAsia"/>
          <w:spacing w:val="5"/>
          <w:sz w:val="32"/>
          <w:szCs w:val="32"/>
        </w:rPr>
        <w:t>1、</w:t>
      </w:r>
      <w:r>
        <w:rPr>
          <w:rFonts w:ascii="仿宋" w:eastAsia="仿宋" w:hAnsi="仿宋" w:cs="仿宋" w:hint="eastAsia"/>
          <w:sz w:val="32"/>
          <w:szCs w:val="32"/>
        </w:rPr>
        <w:t>开展妇女儿童工作，联系团体会员，并给予业务指导；</w:t>
      </w:r>
    </w:p>
    <w:p w:rsidR="00FA5011" w:rsidRDefault="00FA5011" w:rsidP="00FA5011">
      <w:pPr>
        <w:spacing w:line="570" w:lineRule="exact"/>
        <w:ind w:firstLine="682"/>
        <w:rPr>
          <w:rFonts w:ascii="仿宋" w:eastAsia="仿宋" w:hAnsi="仿宋" w:cs="仿宋"/>
          <w:sz w:val="32"/>
          <w:szCs w:val="32"/>
        </w:rPr>
      </w:pPr>
      <w:r>
        <w:rPr>
          <w:rFonts w:ascii="楷体_GB2312" w:eastAsia="楷体_GB2312" w:cs="楷体_GB2312" w:hint="eastAsia"/>
          <w:bCs/>
          <w:spacing w:val="5"/>
          <w:sz w:val="32"/>
          <w:szCs w:val="32"/>
        </w:rPr>
        <w:t>2、</w:t>
      </w:r>
      <w:r>
        <w:rPr>
          <w:rFonts w:ascii="仿宋" w:eastAsia="仿宋" w:hAnsi="仿宋" w:cs="仿宋" w:hint="eastAsia"/>
          <w:sz w:val="32"/>
          <w:szCs w:val="32"/>
        </w:rPr>
        <w:t>维护妇女儿童合法权益；</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lastRenderedPageBreak/>
        <w:t>3、加强城乡基层妇女组织建设，扩大组织网络，拓宽工作领域。</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4、负责与社会各界各族妇女的联络，与民主党派、工商联和团体会员之间的联系，开展有关的联谊活动。</w:t>
      </w:r>
    </w:p>
    <w:p w:rsidR="00FA5011" w:rsidRDefault="00FA5011" w:rsidP="00FA5011">
      <w:pPr>
        <w:pStyle w:val="a3"/>
        <w:widowControl/>
        <w:spacing w:before="0" w:beforeAutospacing="0" w:after="0" w:afterAutospacing="0" w:line="500" w:lineRule="atLeast"/>
        <w:ind w:firstLineChars="200" w:firstLine="640"/>
        <w:rPr>
          <w:sz w:val="21"/>
          <w:szCs w:val="21"/>
        </w:rPr>
      </w:pPr>
      <w:r>
        <w:rPr>
          <w:rFonts w:ascii="仿宋" w:eastAsia="仿宋" w:hAnsi="仿宋" w:cs="仿宋" w:hint="eastAsia"/>
          <w:sz w:val="32"/>
          <w:szCs w:val="32"/>
        </w:rPr>
        <w:t>5、承办县委、县政府交办的其他事项。</w:t>
      </w:r>
    </w:p>
    <w:p w:rsidR="00FA5011" w:rsidRDefault="00FA5011" w:rsidP="00FA5011">
      <w:pPr>
        <w:spacing w:line="570" w:lineRule="exact"/>
        <w:ind w:firstLine="682"/>
        <w:rPr>
          <w:rFonts w:ascii="仿宋" w:eastAsia="仿宋" w:hAnsi="仿宋" w:cs="仿宋"/>
          <w:sz w:val="32"/>
          <w:szCs w:val="32"/>
        </w:rPr>
      </w:pPr>
    </w:p>
    <w:p w:rsidR="00FA5011" w:rsidRDefault="00FA5011" w:rsidP="00FA5011">
      <w:pPr>
        <w:spacing w:line="500" w:lineRule="exact"/>
        <w:rPr>
          <w:rFonts w:ascii="楷体" w:eastAsia="楷体" w:hAnsi="楷体" w:cs="楷体"/>
          <w:b/>
          <w:sz w:val="32"/>
          <w:szCs w:val="32"/>
        </w:rPr>
      </w:pPr>
      <w:r>
        <w:rPr>
          <w:rFonts w:ascii="楷体" w:eastAsia="楷体" w:hAnsi="楷体" w:cs="楷体" w:hint="eastAsia"/>
          <w:b/>
          <w:sz w:val="32"/>
          <w:szCs w:val="32"/>
        </w:rPr>
        <w:t xml:space="preserve">   （三）改进作风，加强自身建设</w:t>
      </w:r>
    </w:p>
    <w:p w:rsidR="00FA5011" w:rsidRDefault="00FA5011" w:rsidP="00FA5011">
      <w:pPr>
        <w:spacing w:line="540" w:lineRule="exact"/>
        <w:ind w:firstLineChars="200" w:firstLine="658"/>
        <w:rPr>
          <w:rFonts w:ascii="楷体_GB2312" w:eastAsia="楷体_GB2312" w:hAnsi="楷体_GB2312" w:cs="楷体_GB2312"/>
          <w:spacing w:val="9"/>
          <w:sz w:val="32"/>
          <w:szCs w:val="32"/>
        </w:rPr>
      </w:pPr>
      <w:r>
        <w:rPr>
          <w:rFonts w:ascii="楷体_GB2312" w:eastAsia="楷体_GB2312" w:hAnsi="楷体_GB2312" w:cs="楷体_GB2312" w:hint="eastAsia"/>
          <w:spacing w:val="9"/>
          <w:sz w:val="32"/>
          <w:szCs w:val="32"/>
        </w:rPr>
        <w:t>1、不断深化完善各项规章制度。</w:t>
      </w:r>
    </w:p>
    <w:p w:rsidR="00FA5011" w:rsidRDefault="00FA5011" w:rsidP="00FA5011">
      <w:pPr>
        <w:spacing w:line="570" w:lineRule="exact"/>
        <w:ind w:firstLineChars="200" w:firstLine="658"/>
        <w:rPr>
          <w:rFonts w:ascii="楷体_GB2312" w:eastAsia="楷体_GB2312" w:hAnsi="楷体_GB2312" w:cs="楷体_GB2312"/>
          <w:spacing w:val="9"/>
          <w:sz w:val="32"/>
          <w:szCs w:val="32"/>
        </w:rPr>
      </w:pPr>
      <w:r>
        <w:rPr>
          <w:rFonts w:ascii="楷体_GB2312" w:eastAsia="楷体_GB2312" w:hAnsi="楷体_GB2312" w:cs="楷体_GB2312" w:hint="eastAsia"/>
          <w:spacing w:val="9"/>
          <w:sz w:val="32"/>
          <w:szCs w:val="32"/>
        </w:rPr>
        <w:t>2、机关服务水平有效提升。</w:t>
      </w:r>
    </w:p>
    <w:p w:rsidR="00FA5011" w:rsidRDefault="00FA5011" w:rsidP="00FA5011">
      <w:pPr>
        <w:spacing w:line="560" w:lineRule="exact"/>
        <w:ind w:firstLineChars="200" w:firstLine="650"/>
        <w:rPr>
          <w:rFonts w:ascii="仿宋_GB2312" w:eastAsia="仿宋_GB2312" w:hAnsi="仿宋_GB2312" w:cs="仿宋_GB2312"/>
          <w:bCs/>
          <w:sz w:val="32"/>
          <w:szCs w:val="32"/>
        </w:rPr>
      </w:pPr>
      <w:r>
        <w:rPr>
          <w:rFonts w:ascii="楷体_GB2312" w:eastAsia="楷体_GB2312" w:cs="楷体_GB2312" w:hint="eastAsia"/>
          <w:spacing w:val="5"/>
          <w:sz w:val="32"/>
          <w:szCs w:val="32"/>
        </w:rPr>
        <w:t>3、党建工作责任得到落实。</w:t>
      </w:r>
    </w:p>
    <w:p w:rsidR="00FA5011" w:rsidRDefault="00FA5011" w:rsidP="00FA5011">
      <w:pPr>
        <w:autoSpaceDN w:val="0"/>
        <w:spacing w:line="560" w:lineRule="exact"/>
        <w:ind w:firstLineChars="200" w:firstLine="650"/>
        <w:rPr>
          <w:rFonts w:ascii="仿宋_GB2312" w:eastAsia="仿宋_GB2312" w:hAnsi="仿宋_GB2312" w:cs="仿宋_GB2312"/>
          <w:sz w:val="32"/>
          <w:szCs w:val="32"/>
        </w:rPr>
      </w:pPr>
      <w:r>
        <w:rPr>
          <w:rFonts w:ascii="楷体_GB2312" w:eastAsia="楷体_GB2312" w:cs="楷体_GB2312" w:hint="eastAsia"/>
          <w:bCs/>
          <w:spacing w:val="5"/>
          <w:sz w:val="32"/>
          <w:szCs w:val="32"/>
        </w:rPr>
        <w:t>4、党风廉政建设得到加强。</w:t>
      </w:r>
      <w:r>
        <w:rPr>
          <w:rFonts w:ascii="仿宋_GB2312" w:eastAsia="仿宋_GB2312" w:hAnsi="仿宋_GB2312" w:cs="仿宋_GB2312" w:hint="eastAsia"/>
          <w:spacing w:val="5"/>
          <w:sz w:val="32"/>
          <w:szCs w:val="32"/>
        </w:rPr>
        <w:t>一是</w:t>
      </w:r>
      <w:r>
        <w:rPr>
          <w:rFonts w:ascii="仿宋_GB2312" w:eastAsia="仿宋_GB2312" w:hAnsi="仿宋_GB2312" w:cs="仿宋_GB2312" w:hint="eastAsia"/>
          <w:sz w:val="32"/>
          <w:szCs w:val="32"/>
        </w:rPr>
        <w:t>落实“一岗双责”； 二是狠抓学习教育；三是强化制度执行。</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b/>
          <w:bCs/>
          <w:sz w:val="21"/>
          <w:szCs w:val="21"/>
        </w:rPr>
      </w:pPr>
      <w:r>
        <w:rPr>
          <w:rFonts w:ascii="仿宋" w:eastAsia="仿宋" w:hAnsi="仿宋" w:cs="仿宋" w:hint="eastAsia"/>
          <w:b/>
          <w:bCs/>
          <w:sz w:val="32"/>
          <w:szCs w:val="32"/>
        </w:rPr>
        <w:t>七、存在的问题及原因分析</w:t>
      </w:r>
    </w:p>
    <w:p w:rsidR="00FA5011" w:rsidRDefault="00FA5011" w:rsidP="00FA5011">
      <w:pPr>
        <w:spacing w:line="500" w:lineRule="exact"/>
        <w:ind w:firstLine="640"/>
        <w:rPr>
          <w:rFonts w:ascii="仿宋_GB2312" w:eastAsia="仿宋_GB2312" w:hAnsi="Times New Roman" w:cs="仿宋_GB2312"/>
          <w:bCs/>
          <w:spacing w:val="5"/>
          <w:sz w:val="32"/>
          <w:szCs w:val="32"/>
        </w:rPr>
      </w:pPr>
      <w:r>
        <w:rPr>
          <w:rFonts w:ascii="仿宋_GB2312" w:eastAsia="仿宋_GB2312" w:hAnsi="仿宋_GB2312" w:cs="仿宋_GB2312" w:hint="eastAsia"/>
          <w:sz w:val="32"/>
          <w:szCs w:val="32"/>
        </w:rPr>
        <w:t>2021年，</w:t>
      </w:r>
      <w:r>
        <w:rPr>
          <w:rFonts w:ascii="仿宋_GB2312" w:eastAsia="仿宋_GB2312" w:hAnsi="仿宋_GB2312" w:cs="仿宋_GB2312" w:hint="eastAsia"/>
          <w:bCs/>
          <w:spacing w:val="5"/>
          <w:sz w:val="32"/>
          <w:szCs w:val="32"/>
        </w:rPr>
        <w:t>我单位认真组织学习习近平总书记系列重要讲话</w:t>
      </w:r>
      <w:r>
        <w:rPr>
          <w:rFonts w:ascii="仿宋_GB2312" w:eastAsia="仿宋_GB2312" w:cs="仿宋_GB2312" w:hint="eastAsia"/>
          <w:bCs/>
          <w:spacing w:val="5"/>
          <w:sz w:val="32"/>
          <w:szCs w:val="32"/>
        </w:rPr>
        <w:t>精神，紧紧围绕全县中心工作,为全面建成小康新田作出了新的贡献。</w:t>
      </w:r>
    </w:p>
    <w:p w:rsidR="00FA5011" w:rsidRDefault="00FA5011" w:rsidP="00FA5011">
      <w:pPr>
        <w:pStyle w:val="a3"/>
        <w:widowControl/>
        <w:spacing w:before="0" w:beforeAutospacing="0" w:after="0" w:afterAutospacing="0" w:line="600" w:lineRule="atLeast"/>
        <w:ind w:firstLine="640"/>
        <w:jc w:val="both"/>
        <w:rPr>
          <w:rFonts w:ascii="仿宋_GB2312" w:eastAsia="仿宋_GB2312" w:cs="仿宋_GB2312"/>
          <w:bCs/>
          <w:spacing w:val="5"/>
          <w:sz w:val="32"/>
          <w:szCs w:val="32"/>
        </w:rPr>
      </w:pPr>
      <w:r>
        <w:rPr>
          <w:rFonts w:ascii="仿宋_GB2312" w:eastAsia="仿宋_GB2312" w:cs="仿宋_GB2312" w:hint="eastAsia"/>
          <w:bCs/>
          <w:spacing w:val="5"/>
          <w:sz w:val="32"/>
          <w:szCs w:val="32"/>
        </w:rPr>
        <w:t>资金管理使用规范，成效显著。</w:t>
      </w:r>
    </w:p>
    <w:p w:rsidR="00FA5011" w:rsidRDefault="00FA5011" w:rsidP="00FA5011">
      <w:pPr>
        <w:pStyle w:val="a3"/>
        <w:widowControl/>
        <w:spacing w:before="0" w:beforeAutospacing="0" w:after="0" w:afterAutospacing="0" w:line="600" w:lineRule="atLeast"/>
        <w:ind w:firstLine="640"/>
        <w:jc w:val="both"/>
        <w:rPr>
          <w:rFonts w:ascii="仿宋" w:eastAsia="仿宋" w:hAnsi="仿宋" w:cs="仿宋"/>
          <w:b/>
          <w:bCs/>
          <w:sz w:val="21"/>
          <w:szCs w:val="21"/>
        </w:rPr>
      </w:pPr>
      <w:r>
        <w:rPr>
          <w:rFonts w:ascii="仿宋" w:eastAsia="仿宋" w:hAnsi="仿宋" w:cs="仿宋" w:hint="eastAsia"/>
          <w:b/>
          <w:bCs/>
          <w:sz w:val="32"/>
          <w:szCs w:val="32"/>
        </w:rPr>
        <w:t>八、下一步改进措施</w:t>
      </w:r>
    </w:p>
    <w:p w:rsidR="00FA5011" w:rsidRDefault="00FA5011" w:rsidP="00FA5011">
      <w:pPr>
        <w:pStyle w:val="a3"/>
        <w:widowControl/>
        <w:spacing w:before="0" w:beforeAutospacing="0" w:after="0" w:afterAutospacing="0"/>
        <w:ind w:firstLineChars="300" w:firstLine="960"/>
        <w:jc w:val="both"/>
        <w:rPr>
          <w:rFonts w:ascii="Calibri" w:hAnsi="Calibri" w:cs="Calibri"/>
          <w:sz w:val="21"/>
          <w:szCs w:val="21"/>
        </w:rPr>
      </w:pPr>
      <w:r>
        <w:rPr>
          <w:rFonts w:eastAsia="仿宋_GB2312" w:hint="eastAsia"/>
          <w:sz w:val="32"/>
          <w:szCs w:val="32"/>
        </w:rPr>
        <w:t>加大对民主监督工作的指导力度，加强政协向基层延伸，加强委员工作室阵地建设。</w:t>
      </w:r>
      <w:r>
        <w:rPr>
          <w:rFonts w:ascii="Calibri" w:hAnsi="Calibri" w:cs="Calibri"/>
          <w:sz w:val="21"/>
          <w:szCs w:val="21"/>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63894"/>
    <w:rsid w:val="00323B43"/>
    <w:rsid w:val="003D37D8"/>
    <w:rsid w:val="00426133"/>
    <w:rsid w:val="004358AB"/>
    <w:rsid w:val="00652E06"/>
    <w:rsid w:val="00667ED4"/>
    <w:rsid w:val="008B7726"/>
    <w:rsid w:val="00971306"/>
    <w:rsid w:val="00D31D50"/>
    <w:rsid w:val="00F367A8"/>
    <w:rsid w:val="00FA50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FA5011"/>
    <w:pPr>
      <w:widowControl w:val="0"/>
      <w:adjustRightInd/>
      <w:snapToGrid/>
      <w:spacing w:before="100" w:beforeAutospacing="1" w:after="100" w:afterAutospacing="1"/>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380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dcterms:created xsi:type="dcterms:W3CDTF">2022-10-31T07:38:00Z</dcterms:created>
  <dcterms:modified xsi:type="dcterms:W3CDTF">2022-10-31T07:49:00Z</dcterms:modified>
</cp:coreProperties>
</file>