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sz w:val="48"/>
          <w:szCs w:val="48"/>
        </w:rPr>
      </w:pPr>
    </w:p>
    <w:p>
      <w:pPr>
        <w:pStyle w:val="5"/>
        <w:jc w:val="center"/>
        <w:rPr>
          <w:sz w:val="48"/>
          <w:szCs w:val="48"/>
        </w:rPr>
      </w:pPr>
      <w:r>
        <w:rPr>
          <w:rFonts w:hint="eastAsia"/>
          <w:sz w:val="48"/>
          <w:szCs w:val="48"/>
        </w:rPr>
        <w:t>新田县妇联单位2021年度部门决算公开</w:t>
      </w:r>
    </w:p>
    <w:p>
      <w:pPr>
        <w:pStyle w:val="5"/>
        <w:spacing w:line="540" w:lineRule="exact"/>
        <w:jc w:val="center"/>
        <w:rPr>
          <w:sz w:val="56"/>
          <w:szCs w:val="56"/>
        </w:rPr>
      </w:pPr>
    </w:p>
    <w:p>
      <w:pPr>
        <w:pStyle w:val="5"/>
        <w:spacing w:line="520" w:lineRule="exact"/>
        <w:jc w:val="center"/>
        <w:rPr>
          <w:sz w:val="44"/>
          <w:szCs w:val="44"/>
        </w:rPr>
      </w:pPr>
      <w:r>
        <w:rPr>
          <w:rFonts w:hint="eastAsia"/>
          <w:sz w:val="44"/>
          <w:szCs w:val="44"/>
        </w:rPr>
        <w:t>目  录</w:t>
      </w:r>
    </w:p>
    <w:p>
      <w:pPr>
        <w:pStyle w:val="5"/>
        <w:spacing w:line="520" w:lineRule="exact"/>
        <w:rPr>
          <w:rFonts w:ascii="仿宋_GB2312" w:hAnsi="仿宋_GB2312" w:cs="仿宋_GB2312"/>
          <w:b/>
          <w:sz w:val="28"/>
          <w:szCs w:val="28"/>
        </w:rPr>
      </w:pPr>
      <w:r>
        <w:rPr>
          <w:rFonts w:hint="eastAsia"/>
          <w:b/>
          <w:sz w:val="28"/>
          <w:szCs w:val="28"/>
        </w:rPr>
        <w:t>第一部分妇联单位概况</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5"/>
        <w:spacing w:line="520" w:lineRule="exact"/>
        <w:rPr>
          <w:rFonts w:ascii="仿宋_GB2312" w:hAnsi="仿宋_GB2312" w:cs="仿宋_GB2312"/>
          <w:b/>
          <w:sz w:val="28"/>
          <w:szCs w:val="28"/>
        </w:rPr>
      </w:pPr>
      <w:r>
        <w:rPr>
          <w:rFonts w:hint="eastAsia" w:hAnsi="仿宋_GB2312"/>
          <w:b/>
          <w:sz w:val="28"/>
          <w:szCs w:val="28"/>
        </w:rPr>
        <w:t>第二部分2021年度部门决算表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5"/>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5"/>
        <w:spacing w:line="520" w:lineRule="exact"/>
        <w:ind w:firstLine="840" w:firstLineChars="300"/>
        <w:rPr>
          <w:rFonts w:ascii="宋体" w:hAnsi="宋体" w:eastAsia="宋体" w:cs="宋体"/>
          <w:color w:val="333333"/>
          <w:sz w:val="28"/>
          <w:szCs w:val="28"/>
          <w:shd w:val="clear" w:color="auto" w:fill="FFFFFF"/>
        </w:rPr>
      </w:pPr>
      <w:r>
        <w:rPr>
          <w:rFonts w:hint="eastAsia" w:ascii="微软雅黑" w:hAnsi="微软雅黑" w:eastAsia="微软雅黑" w:cs="微软雅黑"/>
          <w:color w:val="333333"/>
          <w:sz w:val="28"/>
          <w:szCs w:val="28"/>
          <w:shd w:val="clear" w:color="auto" w:fill="FFFFFF"/>
        </w:rPr>
        <w:t>九、</w:t>
      </w:r>
      <w:r>
        <w:rPr>
          <w:rFonts w:hint="eastAsia" w:ascii="宋体" w:hAnsi="宋体" w:eastAsia="宋体" w:cs="宋体"/>
          <w:color w:val="333333"/>
          <w:sz w:val="28"/>
          <w:szCs w:val="28"/>
          <w:shd w:val="clear" w:color="auto" w:fill="FFFFFF"/>
        </w:rPr>
        <w:t>国有资本经营预算财政拨款支出决算表</w:t>
      </w:r>
    </w:p>
    <w:p>
      <w:pPr>
        <w:pStyle w:val="5"/>
        <w:spacing w:line="520" w:lineRule="exact"/>
        <w:rPr>
          <w:rFonts w:ascii="仿宋_GB2312" w:hAnsi="仿宋_GB2312" w:cs="仿宋_GB2312"/>
          <w:b/>
          <w:sz w:val="28"/>
          <w:szCs w:val="28"/>
        </w:rPr>
      </w:pPr>
      <w:r>
        <w:rPr>
          <w:rFonts w:hint="eastAsia" w:hAnsi="仿宋_GB2312"/>
          <w:b/>
          <w:sz w:val="28"/>
          <w:szCs w:val="28"/>
        </w:rPr>
        <w:t>第三部分2021年度部门决算情况说明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一、收入支出决算总体情况说明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二、收入决算情况说明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三、支出决算情况说明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四、财政拨款收入支出决算总体情况说明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五、一般公共预算财政拨款支出决算情况说明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六、一般公共预算财政拨款基本支出决算情况说明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七、一般公共预算财政拨款“三公”经费支出决算情况说明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八、政府性基金预算收入支出决算情况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九、国有资本经营预算财政拨款支出决算情况</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十、机关运行经费支出说明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十一、一般性支出情况说明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十二、政府采购支出说明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十三、国有资产占用情况说明</w:t>
      </w:r>
    </w:p>
    <w:p>
      <w:pPr>
        <w:pStyle w:val="2"/>
        <w:widowControl/>
        <w:shd w:val="clear" w:color="auto" w:fill="FFFFFF"/>
        <w:spacing w:beforeAutospacing="0" w:afterAutospacing="0"/>
        <w:ind w:firstLine="560" w:firstLineChars="200"/>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shd w:val="clear" w:color="auto"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rPr>
          <w:rFonts w:ascii="黑体" w:hAnsi="黑体" w:eastAsia="黑体" w:cs="黑体"/>
          <w:sz w:val="32"/>
          <w:szCs w:val="32"/>
        </w:rPr>
      </w:pPr>
      <w:r>
        <w:rPr>
          <w:rFonts w:hint="eastAsia" w:ascii="黑体" w:hAnsi="黑体" w:eastAsia="黑体" w:cs="黑体"/>
          <w:sz w:val="32"/>
          <w:szCs w:val="32"/>
        </w:rPr>
        <w:t>第一部分  新田县妇女联合会单位概况</w:t>
      </w:r>
    </w:p>
    <w:p>
      <w:pPr>
        <w:pStyle w:val="6"/>
        <w:numPr>
          <w:ilvl w:val="0"/>
          <w:numId w:val="1"/>
        </w:numPr>
        <w:ind w:firstLineChars="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部门职责</w:t>
      </w:r>
    </w:p>
    <w:p>
      <w:pPr>
        <w:pStyle w:val="2"/>
        <w:widowControl/>
        <w:shd w:val="clear" w:color="auto" w:fill="FFFFFF"/>
        <w:spacing w:beforeAutospacing="0" w:afterAutospacing="0" w:line="500" w:lineRule="atLeast"/>
        <w:ind w:firstLine="640"/>
        <w:rPr>
          <w:rFonts w:ascii="微软雅黑" w:hAnsi="微软雅黑" w:eastAsia="微软雅黑" w:cs="微软雅黑"/>
          <w:color w:val="666666"/>
          <w:sz w:val="19"/>
          <w:szCs w:val="19"/>
        </w:rPr>
      </w:pPr>
      <w:r>
        <w:rPr>
          <w:rFonts w:ascii="仿宋" w:hAnsi="仿宋" w:eastAsia="仿宋" w:cs="仿宋"/>
          <w:color w:val="666666"/>
          <w:sz w:val="32"/>
          <w:szCs w:val="32"/>
          <w:shd w:val="clear" w:color="auto" w:fill="FFFFFF"/>
        </w:rPr>
        <w:t>（</w:t>
      </w:r>
      <w:r>
        <w:rPr>
          <w:rFonts w:hint="eastAsia" w:ascii="仿宋" w:hAnsi="仿宋" w:eastAsia="仿宋" w:cs="仿宋"/>
          <w:color w:val="666666"/>
          <w:sz w:val="32"/>
          <w:szCs w:val="32"/>
          <w:shd w:val="clear" w:color="auto" w:fill="FFFFFF"/>
        </w:rPr>
        <w:t>1）指导全县各级妇联依据《中华全国妇女联合会章程》和妇女代表大会的决定、决议，开展妇女儿童工作，联系团体会员，并给予业务指导。</w:t>
      </w:r>
    </w:p>
    <w:p>
      <w:pPr>
        <w:pStyle w:val="2"/>
        <w:widowControl/>
        <w:shd w:val="clear" w:color="auto" w:fill="FFFFFF"/>
        <w:spacing w:beforeAutospacing="0" w:afterAutospacing="0" w:line="500" w:lineRule="atLeast"/>
        <w:ind w:firstLine="640"/>
        <w:rPr>
          <w:rFonts w:ascii="微软雅黑" w:hAnsi="微软雅黑" w:eastAsia="微软雅黑" w:cs="微软雅黑"/>
          <w:color w:val="666666"/>
          <w:sz w:val="19"/>
          <w:szCs w:val="19"/>
        </w:rPr>
      </w:pPr>
      <w:r>
        <w:rPr>
          <w:rFonts w:hint="eastAsia" w:ascii="仿宋" w:hAnsi="仿宋" w:eastAsia="仿宋" w:cs="仿宋"/>
          <w:color w:val="666666"/>
          <w:sz w:val="32"/>
          <w:szCs w:val="32"/>
          <w:shd w:val="clear" w:color="auto" w:fill="FFFFFF"/>
        </w:rPr>
        <w:t>（2）指导和推动全县农村妇女“双学双比”活动、城镇妇女“巾帼建功”活动和“五好文明家庭”活动的创建。</w:t>
      </w:r>
    </w:p>
    <w:p>
      <w:pPr>
        <w:pStyle w:val="2"/>
        <w:widowControl/>
        <w:shd w:val="clear" w:color="auto" w:fill="FFFFFF"/>
        <w:spacing w:beforeAutospacing="0" w:afterAutospacing="0" w:line="500" w:lineRule="atLeast"/>
        <w:ind w:firstLine="640"/>
        <w:rPr>
          <w:rFonts w:ascii="微软雅黑" w:hAnsi="微软雅黑" w:eastAsia="微软雅黑" w:cs="微软雅黑"/>
          <w:color w:val="666666"/>
          <w:sz w:val="19"/>
          <w:szCs w:val="19"/>
        </w:rPr>
      </w:pPr>
      <w:r>
        <w:rPr>
          <w:rFonts w:hint="eastAsia" w:ascii="仿宋" w:hAnsi="仿宋" w:eastAsia="仿宋" w:cs="仿宋"/>
          <w:color w:val="666666"/>
          <w:sz w:val="32"/>
          <w:szCs w:val="32"/>
          <w:shd w:val="clear" w:color="auto" w:fill="FFFFFF"/>
        </w:rPr>
        <w:t>（3）教育、引导广大妇女自尊、自信、自立、自强；宣传妇女典型，实施女性素质工程，促进妇女人才成长，全面提高妇女素质。</w:t>
      </w:r>
    </w:p>
    <w:p>
      <w:pPr>
        <w:pStyle w:val="2"/>
        <w:widowControl/>
        <w:shd w:val="clear" w:color="auto" w:fill="FFFFFF"/>
        <w:spacing w:beforeAutospacing="0" w:afterAutospacing="0" w:line="500" w:lineRule="atLeast"/>
        <w:ind w:firstLine="640"/>
        <w:rPr>
          <w:rFonts w:ascii="微软雅黑" w:hAnsi="微软雅黑" w:eastAsia="微软雅黑" w:cs="微软雅黑"/>
          <w:color w:val="666666"/>
          <w:sz w:val="19"/>
          <w:szCs w:val="19"/>
        </w:rPr>
      </w:pPr>
      <w:r>
        <w:rPr>
          <w:rFonts w:hint="eastAsia" w:ascii="仿宋" w:hAnsi="仿宋" w:eastAsia="仿宋" w:cs="仿宋"/>
          <w:color w:val="666666"/>
          <w:sz w:val="32"/>
          <w:szCs w:val="32"/>
          <w:shd w:val="clear" w:color="auto" w:fill="FFFFFF"/>
        </w:rPr>
        <w:t>（4）维护妇女儿童合法权益，调查研究妇女、儿童问题，为县委、县政府决策提供依据，提出建议；动员妇女参与国家和社会事务的民主管理、民主监督，促进妇女参政议政；贯彻实施国务院颁发的《中国妇女发展纲要》、《中国儿童发展纲要》和省政府颁发的《湖南省妇女发展规划》、《湖南省儿童发展规划》以及市政府颁发的《永州市妇女发展规划》、《永州市儿童发展规划》，协助县政府制定《新田县妇女发展规划》、《新田县儿童发展规划》，并组织实施。</w:t>
      </w:r>
    </w:p>
    <w:p>
      <w:pPr>
        <w:pStyle w:val="2"/>
        <w:widowControl/>
        <w:shd w:val="clear" w:color="auto" w:fill="FFFFFF"/>
        <w:spacing w:beforeAutospacing="0" w:afterAutospacing="0" w:line="500" w:lineRule="atLeast"/>
        <w:ind w:firstLine="640"/>
        <w:rPr>
          <w:rFonts w:ascii="微软雅黑" w:hAnsi="微软雅黑" w:eastAsia="微软雅黑" w:cs="微软雅黑"/>
          <w:color w:val="666666"/>
          <w:sz w:val="19"/>
          <w:szCs w:val="19"/>
        </w:rPr>
      </w:pPr>
      <w:r>
        <w:rPr>
          <w:rFonts w:hint="eastAsia" w:ascii="仿宋" w:hAnsi="仿宋" w:eastAsia="仿宋" w:cs="仿宋"/>
          <w:color w:val="666666"/>
          <w:sz w:val="32"/>
          <w:szCs w:val="32"/>
          <w:shd w:val="clear" w:color="auto" w:fill="FFFFFF"/>
        </w:rPr>
        <w:t>（5）加强城乡基层妇女组织建设，扩大组织网络，拓宽工作领域。</w:t>
      </w:r>
    </w:p>
    <w:p>
      <w:pPr>
        <w:pStyle w:val="2"/>
        <w:widowControl/>
        <w:shd w:val="clear" w:color="auto" w:fill="FFFFFF"/>
        <w:spacing w:beforeAutospacing="0" w:afterAutospacing="0" w:line="500" w:lineRule="atLeast"/>
        <w:ind w:firstLine="640"/>
        <w:rPr>
          <w:rFonts w:ascii="微软雅黑" w:hAnsi="微软雅黑" w:eastAsia="微软雅黑" w:cs="微软雅黑"/>
          <w:color w:val="666666"/>
          <w:sz w:val="19"/>
          <w:szCs w:val="19"/>
        </w:rPr>
      </w:pPr>
      <w:r>
        <w:rPr>
          <w:rFonts w:hint="eastAsia" w:ascii="仿宋" w:hAnsi="仿宋" w:eastAsia="仿宋" w:cs="仿宋"/>
          <w:color w:val="666666"/>
          <w:sz w:val="32"/>
          <w:szCs w:val="32"/>
          <w:shd w:val="clear" w:color="auto" w:fill="FFFFFF"/>
        </w:rPr>
        <w:t>（6）负责与社会各界各族妇女的联络，与民主党派、工商联和团体会员之间的联系，开展有关的联谊活动。</w:t>
      </w:r>
    </w:p>
    <w:p>
      <w:pPr>
        <w:pStyle w:val="2"/>
        <w:widowControl/>
        <w:shd w:val="clear" w:color="auto" w:fill="FFFFFF"/>
        <w:spacing w:beforeAutospacing="0" w:afterAutospacing="0" w:line="500" w:lineRule="atLeast"/>
        <w:ind w:firstLine="640"/>
        <w:rPr>
          <w:rFonts w:ascii="微软雅黑" w:hAnsi="微软雅黑" w:eastAsia="微软雅黑" w:cs="微软雅黑"/>
          <w:color w:val="666666"/>
          <w:sz w:val="19"/>
          <w:szCs w:val="19"/>
        </w:rPr>
      </w:pPr>
      <w:r>
        <w:rPr>
          <w:rFonts w:hint="eastAsia" w:ascii="仿宋" w:hAnsi="仿宋" w:eastAsia="仿宋" w:cs="仿宋"/>
          <w:color w:val="666666"/>
          <w:sz w:val="32"/>
          <w:szCs w:val="32"/>
          <w:shd w:val="clear" w:color="auto" w:fill="FFFFFF"/>
        </w:rPr>
        <w:t>（7）承办县委、县政府交办的其他事项。</w:t>
      </w:r>
    </w:p>
    <w:p>
      <w:pPr>
        <w:jc w:val="left"/>
        <w:rPr>
          <w:rFonts w:asciiTheme="minorEastAsia" w:hAnsiTheme="minorEastAsia" w:cstheme="minorEastAsia"/>
          <w:sz w:val="28"/>
          <w:szCs w:val="28"/>
        </w:rPr>
      </w:pPr>
    </w:p>
    <w:p>
      <w:pPr>
        <w:widowControl/>
        <w:spacing w:line="60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二、机构设置及决算单位构成</w:t>
      </w:r>
    </w:p>
    <w:p>
      <w:pPr>
        <w:pStyle w:val="2"/>
        <w:widowControl/>
        <w:shd w:val="clear" w:color="auto" w:fill="FFFFFF"/>
        <w:spacing w:beforeAutospacing="0" w:afterAutospacing="0" w:line="600" w:lineRule="atLeast"/>
        <w:ind w:firstLine="640"/>
        <w:jc w:val="both"/>
        <w:rPr>
          <w:rFonts w:ascii="仿宋" w:hAnsi="仿宋" w:eastAsia="仿宋" w:cs="仿宋"/>
          <w:sz w:val="32"/>
          <w:szCs w:val="32"/>
          <w:shd w:val="clear" w:color="auto" w:fill="F6F6F6"/>
        </w:rPr>
      </w:pPr>
      <w:r>
        <w:rPr>
          <w:rFonts w:hint="eastAsia" w:asciiTheme="minorEastAsia" w:hAnsiTheme="minorEastAsia" w:cstheme="minorEastAsia"/>
          <w:bCs/>
          <w:sz w:val="28"/>
          <w:szCs w:val="28"/>
        </w:rPr>
        <w:t>（一）内设机构设置。</w:t>
      </w:r>
      <w:r>
        <w:rPr>
          <w:rFonts w:hint="eastAsia" w:ascii="仿宋" w:hAnsi="仿宋" w:eastAsia="仿宋" w:cs="仿宋"/>
          <w:sz w:val="32"/>
          <w:szCs w:val="32"/>
          <w:shd w:val="clear" w:color="auto" w:fill="F6F6F6"/>
        </w:rPr>
        <w:t>根据编委核定，我局内设股室</w:t>
      </w:r>
      <w:r>
        <w:rPr>
          <w:rFonts w:hint="eastAsia" w:ascii="仿宋" w:hAnsi="仿宋" w:eastAsia="仿宋" w:cs="仿宋"/>
          <w:sz w:val="32"/>
          <w:szCs w:val="32"/>
          <w:u w:val="single"/>
          <w:shd w:val="clear" w:color="auto" w:fill="F6F6F6"/>
        </w:rPr>
        <w:t>1 </w:t>
      </w:r>
      <w:r>
        <w:rPr>
          <w:rFonts w:hint="eastAsia" w:ascii="仿宋" w:hAnsi="仿宋" w:eastAsia="仿宋" w:cs="仿宋"/>
          <w:sz w:val="32"/>
          <w:szCs w:val="32"/>
          <w:shd w:val="clear" w:color="auto" w:fill="F6F6F6"/>
        </w:rPr>
        <w:t>个，所属事业单位</w:t>
      </w:r>
      <w:r>
        <w:rPr>
          <w:rFonts w:hint="eastAsia" w:ascii="仿宋" w:hAnsi="仿宋" w:eastAsia="仿宋" w:cs="仿宋"/>
          <w:sz w:val="32"/>
          <w:szCs w:val="32"/>
          <w:u w:val="single"/>
          <w:shd w:val="clear" w:color="auto" w:fill="F6F6F6"/>
        </w:rPr>
        <w:t> 1 </w:t>
      </w:r>
      <w:r>
        <w:rPr>
          <w:rFonts w:hint="eastAsia" w:ascii="仿宋" w:hAnsi="仿宋" w:eastAsia="仿宋" w:cs="仿宋"/>
          <w:sz w:val="32"/>
          <w:szCs w:val="32"/>
          <w:shd w:val="clear" w:color="auto" w:fill="F6F6F6"/>
        </w:rPr>
        <w:t>个。</w:t>
      </w:r>
    </w:p>
    <w:p>
      <w:pPr>
        <w:pStyle w:val="2"/>
        <w:widowControl/>
        <w:shd w:val="clear" w:color="auto" w:fill="FFFFFF"/>
        <w:spacing w:beforeAutospacing="0" w:afterAutospacing="0" w:line="600" w:lineRule="atLeast"/>
        <w:ind w:firstLine="640"/>
        <w:jc w:val="both"/>
        <w:rPr>
          <w:rFonts w:ascii="微软雅黑" w:hAnsi="微软雅黑" w:eastAsia="微软雅黑" w:cs="微软雅黑"/>
          <w:sz w:val="19"/>
          <w:szCs w:val="19"/>
        </w:rPr>
      </w:pPr>
      <w:r>
        <w:rPr>
          <w:rFonts w:hint="eastAsia" w:ascii="仿宋" w:hAnsi="仿宋" w:eastAsia="仿宋" w:cs="仿宋"/>
          <w:sz w:val="32"/>
          <w:szCs w:val="32"/>
          <w:shd w:val="clear" w:color="auto" w:fill="F6F6F6"/>
        </w:rPr>
        <w:t>内设股室分别是办公室。所属事业单位分别是妇儿工委办公室。</w:t>
      </w:r>
    </w:p>
    <w:p>
      <w:pPr>
        <w:widowControl/>
        <w:shd w:val="clear" w:color="auto" w:fill="FFFFFF"/>
        <w:spacing w:line="600" w:lineRule="atLeast"/>
        <w:ind w:firstLine="627"/>
        <w:jc w:val="left"/>
        <w:rPr>
          <w:rFonts w:asciiTheme="minorEastAsia" w:hAnsiTheme="minorEastAsia" w:cstheme="minorEastAsia"/>
          <w:bCs/>
          <w:kern w:val="0"/>
          <w:sz w:val="28"/>
          <w:szCs w:val="28"/>
        </w:rPr>
      </w:pPr>
      <w:r>
        <w:rPr>
          <w:rFonts w:hint="eastAsia" w:asciiTheme="minorEastAsia" w:hAnsiTheme="minorEastAsia" w:cstheme="minorEastAsia"/>
          <w:bCs/>
          <w:kern w:val="0"/>
          <w:sz w:val="28"/>
          <w:szCs w:val="28"/>
        </w:rPr>
        <w:t>（二）决算单位构成。妇女联合会单位2021年部门决算汇总公开单位构成包括：妇女联合会本级。</w:t>
      </w:r>
    </w:p>
    <w:p>
      <w:pPr>
        <w:rPr>
          <w:rFonts w:asciiTheme="minorEastAsia" w:hAnsiTheme="minorEastAsia" w:cstheme="minorEastAsia"/>
          <w:bCs/>
          <w:kern w:val="0"/>
          <w:sz w:val="28"/>
          <w:szCs w:val="28"/>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第二部分 部门决算表</w:t>
      </w: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部门：新田县妇联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3"/>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92.38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92.38</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新田县妇联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p>
            <w:pPr>
              <w:jc w:val="left"/>
              <w:rPr>
                <w:rFonts w:ascii="宋体" w:hAnsi="宋体" w:eastAsia="宋体" w:cs="Arial"/>
                <w:color w:val="000000"/>
                <w:sz w:val="22"/>
              </w:rPr>
            </w:pPr>
            <w:r>
              <w:rPr>
                <w:rFonts w:hint="eastAsia" w:cs="Arial"/>
                <w:color w:val="000000"/>
                <w:sz w:val="22"/>
              </w:rPr>
              <w:t>一般公共服务支出</w:t>
            </w:r>
          </w:p>
          <w:p>
            <w:pPr>
              <w:widowControl/>
              <w:jc w:val="lef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20129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群众团体事务</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2012999</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其他群众团体事务支出</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rPr>
        <w:t>新田县妇联</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3"/>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77.38</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1249" w:type="dxa"/>
            <w:shd w:val="clear" w:color="auto" w:fill="auto"/>
            <w:noWrap/>
            <w:vAlign w:val="center"/>
          </w:tcPr>
          <w:p>
            <w:pPr>
              <w:jc w:val="left"/>
              <w:rPr>
                <w:rFonts w:ascii="宋体" w:hAnsi="宋体" w:eastAsia="宋体" w:cs="Arial"/>
                <w:color w:val="000000"/>
                <w:sz w:val="22"/>
              </w:rPr>
            </w:pPr>
            <w:r>
              <w:rPr>
                <w:rFonts w:ascii="Times New Roman" w:hAnsi="Times New Roman" w:eastAsia="仿宋_GB2312" w:cs="Times New Roman"/>
                <w:kern w:val="0"/>
                <w:szCs w:val="21"/>
              </w:rPr>
              <w:t>　</w:t>
            </w:r>
            <w:r>
              <w:rPr>
                <w:rFonts w:hint="eastAsia" w:cs="Arial"/>
                <w:color w:val="000000"/>
                <w:sz w:val="22"/>
              </w:rPr>
              <w:t>一般公共服务支出</w:t>
            </w:r>
          </w:p>
          <w:p>
            <w:pPr>
              <w:widowControl/>
              <w:jc w:val="left"/>
              <w:rPr>
                <w:rFonts w:ascii="Times New Roman" w:hAnsi="Times New Roman" w:eastAsia="仿宋_GB2312" w:cs="Times New Roman"/>
                <w:kern w:val="0"/>
                <w:szCs w:val="21"/>
              </w:rPr>
            </w:pP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77.38</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20129</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群众团体事务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77.38</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2012999</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其他群众团体事务支出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77.38</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XX单位</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3"/>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92.38</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92.38</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新田县妇联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3"/>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color w:val="auto"/>
                <w:kern w:val="0"/>
                <w:szCs w:val="21"/>
              </w:rPr>
            </w:pPr>
            <w:r>
              <w:rPr>
                <w:rFonts w:ascii="Times New Roman" w:hAnsi="Times New Roman" w:eastAsia="仿宋_GB2312" w:cs="Times New Roman"/>
                <w:b/>
                <w:color w:val="auto"/>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color w:val="auto"/>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92.38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77.38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15</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3527"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Arial"/>
                <w:color w:val="000000"/>
                <w:sz w:val="22"/>
              </w:rPr>
            </w:pPr>
            <w:r>
              <w:rPr>
                <w:rFonts w:ascii="Times New Roman" w:hAnsi="Times New Roman" w:eastAsia="仿宋_GB2312" w:cs="Times New Roman"/>
                <w:kern w:val="0"/>
                <w:szCs w:val="21"/>
              </w:rPr>
              <w:t>　　</w:t>
            </w:r>
            <w:r>
              <w:rPr>
                <w:rFonts w:hint="eastAsia" w:cs="Arial"/>
                <w:color w:val="000000"/>
                <w:sz w:val="22"/>
              </w:rPr>
              <w:t>一般公共服务支出</w:t>
            </w:r>
          </w:p>
          <w:p>
            <w:pPr>
              <w:widowControl/>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92.38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77.38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15</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20129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群众团体事务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92.38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77.38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15</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2012999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92.38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77.38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rPr>
              <w:t>15</w:t>
            </w:r>
            <w:r>
              <w:rPr>
                <w:rFonts w:ascii="Times New Roman" w:hAnsi="Times New Roman" w:eastAsia="仿宋_GB2312" w:cs="Times New Roman"/>
                <w:color w:val="auto"/>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新田县妇联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41.39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24.59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10.66</w:t>
            </w:r>
          </w:p>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8.05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7.77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1.99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8.02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3.07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2.53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5.60</w:t>
            </w:r>
          </w:p>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1.88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1.39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2.38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0.47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11.40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0.54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0.12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0.93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0.54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6.22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0.74</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1.76</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52.79</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24.59</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新田县妇联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22"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0.78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0.78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0.54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0.54</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新田县妇联</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3"/>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color w:val="000000"/>
          <w:kern w:val="0"/>
          <w:szCs w:val="21"/>
        </w:rPr>
        <w:t>新田县妇联</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ascii="宋体" w:hAnsi="宋体" w:eastAsia="宋体" w:cs="宋体"/>
          <w:b/>
          <w:bCs/>
          <w:color w:val="333333"/>
          <w:sz w:val="36"/>
          <w:szCs w:val="36"/>
          <w:shd w:val="clear" w:color="auto" w:fill="FFFFFF"/>
        </w:rPr>
      </w:pPr>
      <w:r>
        <w:rPr>
          <w:rFonts w:hint="eastAsia" w:ascii="宋体" w:hAnsi="宋体" w:eastAsia="宋体" w:cs="宋体"/>
          <w:b/>
          <w:bCs/>
          <w:color w:val="333333"/>
          <w:sz w:val="36"/>
          <w:szCs w:val="36"/>
          <w:shd w:val="clear" w:color="auto" w:fill="FFFFFF"/>
        </w:rPr>
        <w:t>国有资本经营预算财政拨款支出决算表</w:t>
      </w:r>
    </w:p>
    <w:tbl>
      <w:tblPr>
        <w:tblStyle w:val="3"/>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部门：新田县妇联</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tbl>
      <w:tblPr>
        <w:tblStyle w:val="3"/>
        <w:tblW w:w="8715" w:type="dxa"/>
        <w:tblInd w:w="0" w:type="dxa"/>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rPr>
            </w:pPr>
          </w:p>
        </w:tc>
      </w:tr>
    </w:tbl>
    <w:p>
      <w:r>
        <w:rPr>
          <w:rFonts w:hint="eastAsia"/>
        </w:rPr>
        <w:t xml:space="preserve">     </w:t>
      </w:r>
    </w:p>
    <w:p>
      <w:pPr>
        <w:widowControl/>
        <w:jc w:val="left"/>
        <w:rPr>
          <w:rFonts w:ascii="仿宋" w:hAnsi="仿宋" w:eastAsia="仿宋" w:cs="仿宋"/>
          <w:kern w:val="0"/>
          <w:szCs w:val="21"/>
        </w:rPr>
      </w:pPr>
      <w:r>
        <w:rPr>
          <w:rFonts w:hint="eastAsia"/>
        </w:rPr>
        <w:tab/>
      </w:r>
      <w:r>
        <w:rPr>
          <w:rFonts w:hint="eastAsia" w:ascii="仿宋" w:hAnsi="仿宋" w:eastAsia="仿宋" w:cs="仿宋"/>
          <w:kern w:val="0"/>
          <w:szCs w:val="21"/>
        </w:rPr>
        <w:t>(</w:t>
      </w:r>
      <w:r>
        <w:rPr>
          <w:rFonts w:hint="eastAsia" w:ascii="Times New Roman" w:hAnsi="Times New Roman" w:eastAsia="仿宋_GB2312" w:cs="Times New Roman"/>
          <w:color w:val="000000"/>
          <w:kern w:val="0"/>
          <w:szCs w:val="21"/>
        </w:rPr>
        <w:t>新田县妇联</w:t>
      </w:r>
      <w:r>
        <w:rPr>
          <w:rFonts w:hint="eastAsia" w:ascii="仿宋" w:hAnsi="仿宋" w:eastAsia="仿宋" w:cs="仿宋"/>
          <w:kern w:val="0"/>
          <w:szCs w:val="21"/>
        </w:rPr>
        <w:t>无</w:t>
      </w:r>
      <w:r>
        <w:rPr>
          <w:rFonts w:hint="eastAsia" w:ascii="仿宋" w:hAnsi="仿宋" w:eastAsia="仿宋" w:cs="仿宋"/>
          <w:color w:val="000000"/>
          <w:kern w:val="0"/>
          <w:szCs w:val="21"/>
        </w:rPr>
        <w:t>国有资本经营预算财政拨款支出</w:t>
      </w:r>
      <w:r>
        <w:rPr>
          <w:rFonts w:hint="eastAsia" w:ascii="仿宋" w:hAnsi="仿宋" w:eastAsia="仿宋" w:cs="仿宋"/>
          <w:kern w:val="0"/>
          <w:szCs w:val="21"/>
        </w:rPr>
        <w:t>，故本表无数据)。</w:t>
      </w:r>
    </w:p>
    <w:p>
      <w:pPr>
        <w:tabs>
          <w:tab w:val="left" w:pos="1460"/>
        </w:tabs>
        <w:jc w:val="left"/>
        <w:rPr>
          <w:szCs w:val="21"/>
        </w:rPr>
        <w:sectPr>
          <w:pgSz w:w="16838" w:h="11906" w:orient="landscape"/>
          <w:pgMar w:top="720" w:right="720" w:bottom="720" w:left="720" w:header="851" w:footer="992" w:gutter="0"/>
          <w:cols w:space="425" w:num="1"/>
          <w:docGrid w:type="lines" w:linePitch="312" w:charSpace="0"/>
        </w:sectPr>
      </w:pPr>
    </w:p>
    <w:p>
      <w:pPr>
        <w:pStyle w:val="5"/>
        <w:rPr>
          <w:sz w:val="32"/>
          <w:szCs w:val="32"/>
        </w:rPr>
      </w:pPr>
      <w:r>
        <w:rPr>
          <w:rFonts w:hint="eastAsia"/>
          <w:sz w:val="32"/>
          <w:szCs w:val="32"/>
        </w:rPr>
        <w:t>第三部分 2021年度部门决算情况说明</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2021 年度收、支总计92.38万元。</w:t>
      </w:r>
      <w:r>
        <w:rPr>
          <w:rFonts w:hint="eastAsia" w:asciiTheme="minorEastAsia" w:hAnsiTheme="minorEastAsia" w:eastAsiaTheme="minorEastAsia" w:cstheme="minorEastAsia"/>
          <w:sz w:val="28"/>
          <w:szCs w:val="28"/>
        </w:rPr>
        <w:t>与2020年相比，减少136.18万元，减少60%，主要是因为项目支出减少。</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本年收入合计92.38万元，其中：财政拨款收入92.38万元，占100%；上级补助收入0万元，占0%；事业收入0万元，占0%；经营收入0万元，占0%；附属单位上缴收入0万元，占0%；其他收入0万元，占0%。</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本年支出合计92.38万元，其中：基本支出77.38万元，占84%；项目支出15万元，占16%；上缴上级支出0万元，占0%；经营支出0万元，占0%；对附属单位补助支出0万元，占0%。</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5"/>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2021年度财政拨款收、支总计92.38万元，与2020年相比，减少136.18万元,减少60%，主要是因为项目支出减少。</w:t>
      </w:r>
    </w:p>
    <w:p>
      <w:pPr>
        <w:pStyle w:val="5"/>
        <w:ind w:firstLine="56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5"/>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2021年度财政拨款支出92.38万元，占本年支出合计的100%，与2020年相比，财政拨款支出减少136.18万元，减少60%，主要是因为项目支出减少。</w:t>
      </w:r>
    </w:p>
    <w:p>
      <w:pPr>
        <w:pStyle w:val="5"/>
        <w:ind w:firstLine="420" w:firstLineChars="1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2021年度财政拨款支出92.38万元，主要用于以下方面：一般公共服务（类）支出92.38万元，占100%；</w:t>
      </w:r>
    </w:p>
    <w:p>
      <w:pPr>
        <w:pStyle w:val="5"/>
        <w:ind w:firstLine="700" w:firstLineChars="2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2021年度财政拨款支出年初预算数为92.38万元，支出决算数为92.38万元，完成年初预算的100%，其中：</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1、一般公共服务（类）群众团体事务（款）其他群众团体事务支出（项）。</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年初预算为92.38万元，支出决算为92.38万元，完成年初预算的100%，决算数等于年初预算数。</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5"/>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2021年度财政拨款基本支出92.38万元，其中：人员经费52.79万元，占基本支出的57%,主要包括基本工资、津贴补贴、奖金、养老保险、医疗保险、伙食补助费等；公用经费24.59万元，占基本支出的43%，主要包括办公费、印刷费、邮电费、差旅费、工会经费等。</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“三公”经费财政拨款支出预算为0.78万元，支出决算为0.54万元，完成预算的69%，其中：</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接待费支出预算为0.78万元，支出决算为0.54万元，完成预算的69%，决算数大于（小于）年初预算数的主要原因是三公经费中公务接待费减少，与上年相比减少0.24万元，减少30%,减少的主要原因是三公经费中公务接待费减少。</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公务用车购置费支出预算为0万元，支出决算为0万元，因预算数为0，无法计算预算完成百分比。决算数与预算数一致，与上年相比持平，原因是上年及本年均无公务用车购置费支出</w:t>
      </w:r>
      <w:bookmarkStart w:id="2" w:name="_GoBack"/>
      <w:bookmarkEnd w:id="2"/>
      <w:r>
        <w:rPr>
          <w:rFonts w:hint="eastAsia" w:asciiTheme="minorEastAsia" w:hAnsiTheme="minorEastAsia" w:eastAsiaTheme="minorEastAsia" w:cstheme="minorEastAsia"/>
          <w:sz w:val="28"/>
          <w:szCs w:val="28"/>
        </w:rPr>
        <w:t>。</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5"/>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2021年度“三公”经费财政拨款支出决算中，公务接待费支出决算0.54万元，占100%,因公出国（境）费支出决算0万元，占0%,公务用车购置费及运行维护费支出决算0万元，占0%。其中：</w:t>
      </w:r>
    </w:p>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1、因公出国（境）费支出决算为0万元，全年安排因公出国（境）团组0个，累计0人次。</w:t>
      </w:r>
    </w:p>
    <w:p>
      <w:pPr>
        <w:pStyle w:val="5"/>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2、公务接待费支出决算为0.54万元，全年共接待来访团组10个、来宾140人次，主要是</w:t>
      </w:r>
      <w:r>
        <w:rPr>
          <w:rFonts w:hint="eastAsia" w:ascii="宋体" w:hAnsi="宋体" w:eastAsia="宋体" w:cs="宋体"/>
          <w:sz w:val="28"/>
          <w:szCs w:val="28"/>
          <w:shd w:val="clear" w:color="auto" w:fill="FFFFFF"/>
        </w:rPr>
        <w:t>培训等发生的接待支出</w:t>
      </w:r>
      <w:r>
        <w:rPr>
          <w:rFonts w:hint="eastAsia" w:asciiTheme="minorEastAsia" w:hAnsiTheme="minorEastAsia" w:eastAsiaTheme="minorEastAsia" w:cstheme="minorEastAsia"/>
          <w:sz w:val="28"/>
          <w:szCs w:val="28"/>
        </w:rPr>
        <w:t>。</w:t>
      </w:r>
    </w:p>
    <w:p>
      <w:pPr>
        <w:ind w:firstLine="700" w:firstLineChars="250"/>
        <w:rPr>
          <w:rFonts w:asciiTheme="minorEastAsia" w:hAnsiTheme="minorEastAsia" w:cstheme="minorEastAsia"/>
          <w:color w:val="000000"/>
          <w:kern w:val="0"/>
          <w:sz w:val="28"/>
          <w:szCs w:val="28"/>
        </w:rPr>
      </w:pPr>
      <w:r>
        <w:rPr>
          <w:rFonts w:hint="eastAsia" w:asciiTheme="minorEastAsia" w:hAnsiTheme="minorEastAsia" w:cstheme="minorEastAsia"/>
          <w:sz w:val="28"/>
          <w:szCs w:val="28"/>
        </w:rPr>
        <w:t>3、公务用车购置费及运行维护费支出决算为0万元，其中：公务用车购置费0万元</w:t>
      </w:r>
      <w:r>
        <w:rPr>
          <w:rFonts w:hint="eastAsia" w:asciiTheme="minorEastAsia" w:hAnsiTheme="minorEastAsia" w:cstheme="minorEastAsia"/>
          <w:sz w:val="28"/>
          <w:szCs w:val="28"/>
          <w:lang w:eastAsia="zh-CN"/>
        </w:rPr>
        <w:t>，本单位及下属事业单位更新公务用车</w:t>
      </w:r>
      <w:r>
        <w:rPr>
          <w:rFonts w:hint="eastAsia" w:asciiTheme="minorEastAsia" w:hAnsiTheme="minorEastAsia" w:cstheme="minorEastAsia"/>
          <w:sz w:val="28"/>
          <w:szCs w:val="28"/>
          <w:lang w:val="en-US" w:eastAsia="zh-CN"/>
        </w:rPr>
        <w:t>0辆。</w:t>
      </w:r>
      <w:r>
        <w:rPr>
          <w:rFonts w:hint="eastAsia" w:asciiTheme="minorEastAsia" w:hAnsiTheme="minorEastAsia" w:cstheme="minorEastAsia"/>
          <w:sz w:val="28"/>
          <w:szCs w:val="28"/>
        </w:rPr>
        <w:t>公务用车运行维护费0万元</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截止2021年12月31日，我单位开支财政拨款的公务用车保有量为0辆</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5"/>
        <w:rPr>
          <w:rFonts w:asciiTheme="minorEastAsia" w:hAnsiTheme="minorEastAsia" w:eastAsiaTheme="minorEastAsia" w:cstheme="minorEastAsia"/>
          <w:i/>
          <w:color w:val="auto"/>
          <w:sz w:val="28"/>
          <w:szCs w:val="28"/>
        </w:rPr>
      </w:pPr>
      <w:r>
        <w:rPr>
          <w:rFonts w:hint="eastAsia" w:asciiTheme="minorEastAsia" w:hAnsiTheme="minorEastAsia" w:eastAsiaTheme="minorEastAsia" w:cstheme="minorEastAsia"/>
          <w:sz w:val="28"/>
          <w:szCs w:val="28"/>
        </w:rPr>
        <w:t xml:space="preserve">     2021年度政府性基金预算财政拨款收入0万元；年初结转和结余0万元；支出0万元，其中基本支出0万元，项目支出0万元；年末结转和结余0万元。</w:t>
      </w:r>
      <w:r>
        <w:rPr>
          <w:rFonts w:hint="eastAsia" w:asciiTheme="minorEastAsia" w:hAnsiTheme="minorEastAsia" w:eastAsiaTheme="minorEastAsia" w:cstheme="minorEastAsia"/>
          <w:i/>
          <w:color w:val="auto"/>
          <w:sz w:val="28"/>
          <w:szCs w:val="28"/>
        </w:rPr>
        <w:t>(本单位无政府性基金收支）</w:t>
      </w:r>
    </w:p>
    <w:p>
      <w:pPr>
        <w:pStyle w:val="5"/>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color w:val="333333"/>
          <w:sz w:val="28"/>
          <w:szCs w:val="28"/>
          <w:shd w:val="clear" w:color="auto" w:fill="FFFFFF"/>
        </w:rPr>
        <w:t>国有资本经营预算财政拨款支出决算情况</w:t>
      </w:r>
    </w:p>
    <w:p>
      <w:pPr>
        <w:pStyle w:val="5"/>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 xml:space="preserve">  2021年度</w:t>
      </w:r>
      <w:r>
        <w:rPr>
          <w:rFonts w:hint="eastAsia" w:ascii="宋体" w:hAnsi="宋体" w:eastAsia="宋体" w:cs="宋体"/>
          <w:color w:val="333333"/>
          <w:sz w:val="28"/>
          <w:szCs w:val="28"/>
          <w:shd w:val="clear" w:color="auto" w:fill="FFFFFF"/>
        </w:rPr>
        <w:t>国有资本经营预算财政拨款</w:t>
      </w:r>
      <w:r>
        <w:rPr>
          <w:rFonts w:hint="eastAsia" w:asciiTheme="minorEastAsia" w:hAnsiTheme="minorEastAsia" w:eastAsiaTheme="minorEastAsia" w:cstheme="minorEastAsia"/>
          <w:sz w:val="28"/>
          <w:szCs w:val="28"/>
        </w:rPr>
        <w:t>支出0万元，其中基本支出0万元，项目支出0万元；</w:t>
      </w:r>
      <w:r>
        <w:rPr>
          <w:rFonts w:hint="eastAsia" w:asciiTheme="minorEastAsia" w:hAnsiTheme="minorEastAsia" w:eastAsiaTheme="minorEastAsia" w:cstheme="minorEastAsia"/>
          <w:i/>
          <w:color w:val="auto"/>
          <w:sz w:val="28"/>
          <w:szCs w:val="28"/>
        </w:rPr>
        <w:t>（本单位无</w:t>
      </w:r>
      <w:r>
        <w:rPr>
          <w:rFonts w:hint="eastAsia" w:ascii="宋体" w:hAnsi="宋体" w:eastAsia="宋体" w:cs="宋体"/>
          <w:color w:val="auto"/>
          <w:sz w:val="28"/>
          <w:szCs w:val="28"/>
          <w:shd w:val="clear" w:color="auto" w:fill="FFFFFF"/>
        </w:rPr>
        <w:t>国有资本经营预算财政拨款支出</w:t>
      </w:r>
      <w:r>
        <w:rPr>
          <w:rFonts w:hint="eastAsia" w:asciiTheme="minorEastAsia" w:hAnsiTheme="minorEastAsia" w:eastAsiaTheme="minorEastAsia" w:cstheme="minorEastAsia"/>
          <w:i/>
          <w:color w:val="auto"/>
          <w:sz w:val="28"/>
          <w:szCs w:val="28"/>
        </w:rPr>
        <w:t>）</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w:t>
      </w:r>
      <w:r>
        <w:rPr>
          <w:rFonts w:hint="eastAsia" w:asciiTheme="minorEastAsia" w:hAnsiTheme="minorEastAsia" w:cstheme="minorEastAsia"/>
          <w:b/>
          <w:color w:val="000000"/>
          <w:kern w:val="0"/>
          <w:sz w:val="28"/>
          <w:szCs w:val="28"/>
        </w:rPr>
        <w:t>机关运行经费支出情况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本部门2021 年度机关运行经费支出92.38万</w:t>
      </w:r>
      <w:r>
        <w:rPr>
          <w:rFonts w:hint="eastAsia" w:asciiTheme="minorEastAsia" w:hAnsiTheme="minorEastAsia" w:cstheme="minorEastAsia"/>
          <w:kern w:val="0"/>
          <w:sz w:val="28"/>
          <w:szCs w:val="28"/>
        </w:rPr>
        <w:t>元</w:t>
      </w:r>
      <w:r>
        <w:rPr>
          <w:rFonts w:hint="eastAsia" w:asciiTheme="minorEastAsia" w:hAnsiTheme="minorEastAsia" w:cstheme="minorEastAsia"/>
          <w:i/>
          <w:kern w:val="0"/>
          <w:sz w:val="28"/>
          <w:szCs w:val="28"/>
        </w:rPr>
        <w:t>。</w:t>
      </w:r>
      <w:r>
        <w:rPr>
          <w:rFonts w:hint="eastAsia" w:asciiTheme="minorEastAsia" w:hAnsiTheme="minorEastAsia" w:cstheme="minorEastAsia"/>
          <w:color w:val="000000"/>
          <w:kern w:val="0"/>
          <w:sz w:val="28"/>
          <w:szCs w:val="28"/>
        </w:rPr>
        <w:t>比年初预算数增加（减少）0万元，增长（降低）0%。与年初数持平。</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sz w:val="28"/>
          <w:szCs w:val="28"/>
        </w:rPr>
        <w:t>十一、</w:t>
      </w:r>
      <w:r>
        <w:rPr>
          <w:rFonts w:hint="eastAsia" w:asciiTheme="minorEastAsia" w:hAnsiTheme="minorEastAsia" w:cstheme="minorEastAsia"/>
          <w:b/>
          <w:color w:val="000000"/>
          <w:kern w:val="0"/>
          <w:sz w:val="28"/>
          <w:szCs w:val="28"/>
        </w:rPr>
        <w:t>一般性支出情况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本部门无会议费、培训费开支。（2021年本部门开支会议费0万元，用于召开……会议，人数0人，内容为……；开支培训费0万元，用于开展……培训，人数0人，内容为……；举办……等节庆、晚会、论坛、赛事活动，开支</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cstheme="minorEastAsia"/>
          <w:color w:val="000000"/>
          <w:kern w:val="0"/>
          <w:sz w:val="28"/>
          <w:szCs w:val="28"/>
        </w:rPr>
        <w:t>万元，主要是……。注：三类会议、培训活动，节庆、晚会、论坛、赛事等活动，请分项列明活动计划及经费预算情况）</w:t>
      </w:r>
    </w:p>
    <w:p>
      <w:pPr>
        <w:ind w:firstLine="560" w:firstLineChars="20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十二、政府采购支出情况</w:t>
      </w:r>
    </w:p>
    <w:p>
      <w:pPr>
        <w:ind w:firstLine="560" w:firstLineChars="200"/>
        <w:rPr>
          <w:rFonts w:asciiTheme="minorEastAsia" w:hAnsiTheme="minorEastAsia" w:cstheme="minorEastAsia"/>
          <w:i/>
          <w:color w:val="FF0000"/>
          <w:kern w:val="0"/>
          <w:sz w:val="28"/>
          <w:szCs w:val="28"/>
        </w:rPr>
      </w:pPr>
      <w:r>
        <w:rPr>
          <w:rFonts w:hint="eastAsia" w:asciiTheme="minorEastAsia" w:hAnsiTheme="minorEastAsia" w:cstheme="minorEastAsia"/>
          <w:color w:val="000000"/>
          <w:kern w:val="0"/>
          <w:sz w:val="28"/>
          <w:szCs w:val="28"/>
        </w:rPr>
        <w:t>本部门2021年度无政府采购。 本部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ind w:firstLine="420" w:firstLineChars="150"/>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十三、国有资产占用情况</w:t>
      </w:r>
    </w:p>
    <w:p>
      <w:pPr>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截至2021年12月31日，本单位共有车辆0辆，其中，领导干部用车0辆、机要通信用车0辆、应急保障用车0辆、执法执勤用车0辆、特种专业技术用车0辆、其他用车0辆，其他用车主要是……；单位价值50万元以上通用设备0台（套）；单位价值100万元以上专用设备0台（套）。</w:t>
      </w:r>
    </w:p>
    <w:p>
      <w:pPr>
        <w:pStyle w:val="5"/>
        <w:rPr>
          <w:rFonts w:asciiTheme="minorEastAsia" w:hAnsiTheme="minorEastAsia" w:eastAsiaTheme="minorEastAsia" w:cstheme="minorEastAsia"/>
          <w:b/>
          <w:sz w:val="28"/>
          <w:szCs w:val="28"/>
        </w:rPr>
      </w:pPr>
      <w:r>
        <w:rPr>
          <w:rFonts w:hint="eastAsia" w:asciiTheme="minorEastAsia" w:hAnsiTheme="minorEastAsia" w:cstheme="minorEastAsia"/>
          <w:b/>
          <w:sz w:val="28"/>
          <w:szCs w:val="28"/>
        </w:rPr>
        <w:t>十四、</w:t>
      </w:r>
      <w:r>
        <w:rPr>
          <w:rFonts w:hint="eastAsia" w:asciiTheme="minorEastAsia" w:hAnsiTheme="minorEastAsia" w:eastAsiaTheme="minorEastAsia" w:cstheme="minorEastAsia"/>
          <w:b/>
          <w:sz w:val="28"/>
          <w:szCs w:val="28"/>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年度一般公共预算项目支出全面开展绩效自评，其中，一级项目0个，二级项目0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个，共涉及资金</w:t>
      </w:r>
      <w:r>
        <w:rPr>
          <w:rFonts w:hint="eastAsia" w:cs="黑体" w:asciiTheme="minorEastAsia" w:hAnsiTheme="minorEastAsia"/>
          <w:color w:val="000000"/>
          <w:kern w:val="0"/>
          <w:sz w:val="28"/>
          <w:szCs w:val="28"/>
          <w:lang w:val="en-US" w:eastAsia="zh-CN"/>
        </w:rPr>
        <w:t>15</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1</w:t>
      </w:r>
      <w:r>
        <w:rPr>
          <w:rFonts w:hint="eastAsia" w:cs="黑体" w:asciiTheme="minorEastAsia" w:hAnsiTheme="minorEastAsia"/>
          <w:color w:val="000000"/>
          <w:kern w:val="0"/>
          <w:sz w:val="28"/>
          <w:szCs w:val="28"/>
        </w:rPr>
        <w:t>个政府性基金预算项目支出开展绩效自评，共涉及资金</w:t>
      </w:r>
      <w:r>
        <w:rPr>
          <w:rFonts w:hint="eastAsia" w:cs="黑体" w:asciiTheme="minorEastAsia" w:hAnsiTheme="minorEastAsia"/>
          <w:color w:val="000000"/>
          <w:kern w:val="0"/>
          <w:sz w:val="28"/>
          <w:szCs w:val="28"/>
          <w:lang w:val="en-US" w:eastAsia="zh-CN"/>
        </w:rPr>
        <w:t>15</w:t>
      </w:r>
      <w:r>
        <w:rPr>
          <w:rFonts w:hint="eastAsia" w:cs="黑体" w:asciiTheme="minorEastAsia" w:hAnsiTheme="minorEastAsia"/>
          <w:color w:val="000000"/>
          <w:kern w:val="0"/>
          <w:sz w:val="28"/>
          <w:szCs w:val="28"/>
        </w:rPr>
        <w:t>万元，占政府性基金预算项目支出总额的</w:t>
      </w:r>
      <w:r>
        <w:rPr>
          <w:rFonts w:hint="eastAsia" w:cs="黑体" w:asciiTheme="minorEastAsia" w:hAnsiTheme="minorEastAsia"/>
          <w:color w:val="000000"/>
          <w:kern w:val="0"/>
          <w:sz w:val="28"/>
          <w:szCs w:val="28"/>
          <w:lang w:val="en-US" w:eastAsia="zh-CN"/>
        </w:rPr>
        <w:t>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。组织对0个项目开展了部门评价，涉及一般公共预算支出0万元，政府性基金预算支出0万元，国有资本经营预算支出0万元。</w:t>
      </w:r>
    </w:p>
    <w:p>
      <w:pPr>
        <w:numPr>
          <w:ilvl w:val="0"/>
          <w:numId w:val="2"/>
        </w:numPr>
        <w:spacing w:line="600" w:lineRule="atLeast"/>
        <w:ind w:firstLine="660"/>
        <w:rPr>
          <w:rFonts w:hint="eastAsia"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部门决算中项目绩效自评结果（如有）。</w:t>
      </w:r>
    </w:p>
    <w:p>
      <w:pPr>
        <w:numPr>
          <w:ilvl w:val="0"/>
          <w:numId w:val="0"/>
        </w:numPr>
        <w:spacing w:line="600" w:lineRule="atLeast"/>
        <w:ind w:firstLine="840" w:firstLineChars="300"/>
      </w:pPr>
      <w:r>
        <w:rPr>
          <w:rFonts w:hint="eastAsia" w:cs="黑体" w:asciiTheme="minorEastAsia" w:hAnsiTheme="minorEastAsia"/>
          <w:color w:val="000000"/>
          <w:kern w:val="0"/>
          <w:sz w:val="28"/>
          <w:szCs w:val="28"/>
        </w:rPr>
        <w:t>项目绩效自评综述</w:t>
      </w:r>
      <w:r>
        <w:rPr>
          <w:rFonts w:hint="eastAsia" w:cs="黑体" w:asciiTheme="minorEastAsia" w:hAnsiTheme="minorEastAsia"/>
          <w:color w:val="000000"/>
          <w:kern w:val="0"/>
          <w:sz w:val="28"/>
          <w:szCs w:val="28"/>
          <w:lang w:eastAsia="zh-CN"/>
        </w:rPr>
        <w:t>：</w:t>
      </w:r>
      <w:r>
        <w:rPr>
          <w:rFonts w:eastAsia="仿宋_GB2312"/>
          <w:sz w:val="32"/>
          <w:szCs w:val="32"/>
          <w:shd w:val="clear" w:color="auto" w:fill="F6F6F6"/>
        </w:rPr>
        <w:t>2021</w:t>
      </w:r>
      <w:r>
        <w:rPr>
          <w:rFonts w:hint="eastAsia" w:ascii="仿宋_GB2312"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项目支出</w:t>
      </w:r>
      <w:r>
        <w:rPr>
          <w:rFonts w:hint="eastAsia" w:ascii="仿宋_GB2312" w:eastAsia="仿宋_GB2312" w:cs="仿宋_GB2312"/>
          <w:sz w:val="32"/>
          <w:szCs w:val="32"/>
          <w:shd w:val="clear" w:color="auto" w:fill="F6F6F6"/>
        </w:rPr>
        <w:t>年初预算数为</w:t>
      </w:r>
      <w:r>
        <w:rPr>
          <w:rFonts w:hint="eastAsia" w:asciiTheme="minorEastAsia" w:hAnsiTheme="minorEastAsia" w:eastAsiaTheme="minorEastAsia" w:cstheme="minorEastAsia"/>
          <w:sz w:val="28"/>
          <w:szCs w:val="28"/>
        </w:rPr>
        <w:t>15</w:t>
      </w:r>
      <w:r>
        <w:rPr>
          <w:rFonts w:hint="eastAsia" w:ascii="仿宋_GB2312" w:eastAsia="仿宋_GB2312" w:cs="仿宋_GB2312"/>
          <w:sz w:val="32"/>
          <w:szCs w:val="32"/>
          <w:shd w:val="clear" w:color="auto" w:fill="F6F6F6"/>
        </w:rPr>
        <w:t>万元，是指单位为完成特定行政工作任务或事业发展目标而发生的支出，</w:t>
      </w:r>
      <w:r>
        <w:rPr>
          <w:rFonts w:hint="eastAsia" w:ascii="仿宋_GB2312" w:hAnsi="Arial" w:eastAsia="仿宋_GB2312" w:cs="仿宋_GB2312"/>
          <w:sz w:val="32"/>
          <w:szCs w:val="32"/>
          <w:shd w:val="clear" w:color="auto" w:fill="F6F6F6"/>
        </w:rPr>
        <w:t>包括有关业务工作专项和运行维护专项。其中：</w:t>
      </w:r>
      <w:r>
        <w:rPr>
          <w:rFonts w:hint="eastAsia" w:ascii="仿宋_GB2312" w:hAnsi="Arial" w:eastAsia="仿宋_GB2312" w:cs="仿宋_GB2312"/>
          <w:sz w:val="32"/>
          <w:szCs w:val="32"/>
          <w:u w:val="single"/>
          <w:shd w:val="clear" w:color="auto" w:fill="F6F6F6"/>
        </w:rPr>
        <w:t xml:space="preserve">  妇女事业发展</w:t>
      </w:r>
      <w:r>
        <w:rPr>
          <w:rFonts w:hint="eastAsia" w:ascii="仿宋_GB2312" w:hAnsi="Arial" w:eastAsia="仿宋_GB2312" w:cs="仿宋_GB2312"/>
          <w:sz w:val="32"/>
          <w:szCs w:val="32"/>
          <w:shd w:val="clear" w:color="auto" w:fill="F6F6F6"/>
        </w:rPr>
        <w:t>专项支出</w:t>
      </w:r>
      <w:r>
        <w:rPr>
          <w:rFonts w:hint="eastAsia" w:ascii="仿宋_GB2312" w:hAnsi="Arial" w:eastAsia="仿宋_GB2312" w:cs="仿宋_GB2312"/>
          <w:sz w:val="32"/>
          <w:szCs w:val="32"/>
          <w:u w:val="single"/>
          <w:shd w:val="clear" w:color="auto" w:fill="F6F6F6"/>
        </w:rPr>
        <w:t>10</w:t>
      </w:r>
      <w:r>
        <w:rPr>
          <w:rFonts w:hint="eastAsia"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妇女事业发展</w:t>
      </w:r>
      <w:r>
        <w:rPr>
          <w:rFonts w:hint="eastAsia"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u w:val="single"/>
          <w:shd w:val="clear" w:color="auto" w:fill="F6F6F6"/>
        </w:rPr>
        <w:t>婚调委</w:t>
      </w:r>
      <w:r>
        <w:rPr>
          <w:rFonts w:hint="eastAsia" w:ascii="仿宋_GB2312" w:hAnsi="Arial" w:eastAsia="仿宋_GB2312" w:cs="仿宋_GB2312"/>
          <w:sz w:val="32"/>
          <w:szCs w:val="32"/>
          <w:shd w:val="clear" w:color="auto" w:fill="F6F6F6"/>
        </w:rPr>
        <w:t>专项支出</w:t>
      </w:r>
      <w:r>
        <w:rPr>
          <w:rFonts w:hint="eastAsia" w:ascii="仿宋_GB2312" w:hAnsi="Arial" w:eastAsia="仿宋_GB2312" w:cs="仿宋_GB2312"/>
          <w:sz w:val="32"/>
          <w:szCs w:val="32"/>
          <w:u w:val="single"/>
          <w:shd w:val="clear" w:color="auto" w:fill="F6F6F6"/>
        </w:rPr>
        <w:t>2</w:t>
      </w:r>
      <w:r>
        <w:rPr>
          <w:rFonts w:hint="eastAsia" w:ascii="仿宋_GB2312" w:hAnsi="Arial" w:eastAsia="仿宋_GB2312" w:cs="仿宋_GB2312"/>
          <w:sz w:val="32"/>
          <w:szCs w:val="32"/>
          <w:shd w:val="clear" w:color="auto" w:fill="F6F6F6"/>
        </w:rPr>
        <w:t>万元，主要用于</w:t>
      </w:r>
      <w:r>
        <w:rPr>
          <w:rFonts w:hint="eastAsia" w:ascii="仿宋_GB2312" w:hAnsi="Arial" w:eastAsia="仿宋_GB2312" w:cs="仿宋_GB2312"/>
          <w:sz w:val="32"/>
          <w:szCs w:val="32"/>
          <w:u w:val="single"/>
          <w:shd w:val="clear" w:color="auto" w:fill="F6F6F6"/>
        </w:rPr>
        <w:t>专职调解员工工资及保险</w:t>
      </w:r>
      <w:r>
        <w:rPr>
          <w:rFonts w:hint="eastAsia" w:ascii="仿宋_GB2312" w:hAnsi="Arial" w:eastAsia="仿宋_GB2312" w:cs="仿宋_GB2312"/>
          <w:sz w:val="32"/>
          <w:szCs w:val="32"/>
          <w:shd w:val="clear" w:color="auto" w:fill="F6F6F6"/>
        </w:rPr>
        <w:t>方面；</w:t>
      </w:r>
      <w:r>
        <w:rPr>
          <w:rFonts w:hint="eastAsia" w:ascii="仿宋_GB2312" w:hAnsi="Arial" w:eastAsia="仿宋_GB2312" w:cs="仿宋_GB2312"/>
          <w:sz w:val="32"/>
          <w:szCs w:val="32"/>
          <w:u w:val="single"/>
          <w:shd w:val="clear" w:color="auto" w:fill="F6F6F6"/>
        </w:rPr>
        <w:t>儿童之家</w:t>
      </w:r>
      <w:r>
        <w:rPr>
          <w:rFonts w:hint="eastAsia" w:ascii="仿宋_GB2312" w:hAnsi="Arial" w:eastAsia="仿宋_GB2312" w:cs="仿宋_GB2312"/>
          <w:sz w:val="32"/>
          <w:szCs w:val="32"/>
          <w:shd w:val="clear" w:color="auto" w:fill="F6F6F6"/>
        </w:rPr>
        <w:t>专项支出</w:t>
      </w:r>
      <w:r>
        <w:rPr>
          <w:rFonts w:hint="eastAsia" w:ascii="仿宋_GB2312" w:hAnsi="Arial" w:eastAsia="仿宋_GB2312" w:cs="仿宋_GB2312"/>
          <w:sz w:val="32"/>
          <w:szCs w:val="32"/>
          <w:u w:val="single"/>
          <w:shd w:val="clear" w:color="auto" w:fill="F6F6F6"/>
        </w:rPr>
        <w:t>3</w:t>
      </w:r>
      <w:r>
        <w:rPr>
          <w:rFonts w:hint="eastAsia" w:ascii="仿宋_GB2312" w:hAnsi="Arial" w:eastAsia="仿宋_GB2312" w:cs="仿宋_GB2312"/>
          <w:sz w:val="32"/>
          <w:szCs w:val="32"/>
          <w:shd w:val="clear" w:color="auto" w:fill="F6F6F6"/>
        </w:rPr>
        <w:t>万，主要用于</w:t>
      </w:r>
      <w:r>
        <w:rPr>
          <w:rFonts w:hint="eastAsia" w:ascii="仿宋_GB2312" w:hAnsi="Arial" w:eastAsia="仿宋_GB2312" w:cs="仿宋_GB2312"/>
          <w:sz w:val="32"/>
          <w:szCs w:val="32"/>
          <w:u w:val="single"/>
          <w:shd w:val="clear" w:color="auto" w:fill="F6F6F6"/>
        </w:rPr>
        <w:t>儿童之家运行维护</w:t>
      </w:r>
      <w:r>
        <w:rPr>
          <w:rFonts w:hint="eastAsia" w:ascii="仿宋_GB2312" w:hAnsi="Arial" w:eastAsia="仿宋_GB2312" w:cs="仿宋_GB2312"/>
          <w:sz w:val="32"/>
          <w:szCs w:val="32"/>
          <w:shd w:val="clear" w:color="auto" w:fill="F6F6F6"/>
        </w:rPr>
        <w:t>。</w:t>
      </w:r>
    </w:p>
    <w:p>
      <w:pPr>
        <w:autoSpaceDE w:val="0"/>
        <w:autoSpaceDN w:val="0"/>
        <w:adjustRightInd w:val="0"/>
        <w:ind w:firstLine="560" w:firstLineChars="200"/>
        <w:jc w:val="left"/>
        <w:rPr>
          <w:rFonts w:ascii="宋体" w:hAnsi="宋体" w:eastAsia="宋体" w:cs="宋体"/>
          <w:sz w:val="28"/>
          <w:szCs w:val="28"/>
        </w:rPr>
      </w:pPr>
    </w:p>
    <w:p>
      <w:pPr>
        <w:numPr>
          <w:ilvl w:val="0"/>
          <w:numId w:val="2"/>
        </w:numPr>
        <w:autoSpaceDE w:val="0"/>
        <w:autoSpaceDN w:val="0"/>
        <w:adjustRightInd w:val="0"/>
        <w:ind w:left="0" w:leftChars="0" w:firstLine="660" w:firstLineChars="0"/>
        <w:jc w:val="left"/>
        <w:rPr>
          <w:rFonts w:hint="eastAsia"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部门评价项目绩效评价结果。</w:t>
      </w:r>
    </w:p>
    <w:p>
      <w:pPr>
        <w:numPr>
          <w:ilvl w:val="0"/>
          <w:numId w:val="0"/>
        </w:numPr>
        <w:autoSpaceDE w:val="0"/>
        <w:autoSpaceDN w:val="0"/>
        <w:adjustRightInd w:val="0"/>
        <w:ind w:left="660" w:leftChars="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本单位已开展项目绩效自评，无需开展部门评价，因此无部门评价项目绩效评价结果。</w:t>
      </w:r>
    </w:p>
    <w:p>
      <w:pPr>
        <w:autoSpaceDE w:val="0"/>
        <w:autoSpaceDN w:val="0"/>
        <w:adjustRightInd w:val="0"/>
        <w:ind w:firstLine="560" w:firstLineChars="200"/>
        <w:jc w:val="left"/>
        <w:rPr>
          <w:rFonts w:cs="黑体" w:asciiTheme="minorEastAsia" w:hAnsiTheme="minorEastAsia"/>
          <w:color w:val="000000"/>
          <w:kern w:val="0"/>
          <w:sz w:val="28"/>
          <w:szCs w:val="28"/>
        </w:rPr>
      </w:pPr>
    </w:p>
    <w:p>
      <w:pPr>
        <w:pStyle w:val="5"/>
        <w:jc w:val="both"/>
        <w:rPr>
          <w:rFonts w:hAnsi="黑体"/>
          <w:sz w:val="32"/>
          <w:szCs w:val="32"/>
        </w:rPr>
      </w:pPr>
      <w:r>
        <w:rPr>
          <w:rFonts w:hint="eastAsia" w:hAnsi="黑体"/>
          <w:sz w:val="32"/>
          <w:szCs w:val="32"/>
        </w:rPr>
        <w:t>第四部分 名词解释</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一、收入科目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财政拨款收入：指财政当年拨付的资金。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二、支出科目</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1.基本支出：指为保障机构正常运转、完成日常工作任务而发生的人员支出和公用支出。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2.项目支出：指在基本支出之外为完成特定行政任务和事业发展目标所发生的支出。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3.年末结转和结余：指本年度或以前年度预算安排、因客观条件发生变化无法按原计划实施，需延迟到以后年度按有关规定继续使用的资金。</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三、“三公”经费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四、机关运行经费</w:t>
      </w:r>
    </w:p>
    <w:p>
      <w:pPr>
        <w:pStyle w:val="5"/>
        <w:ind w:firstLine="560" w:firstLineChars="20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5"/>
        <w:ind w:firstLine="640" w:firstLineChars="200"/>
        <w:jc w:val="both"/>
        <w:rPr>
          <w:rFonts w:hAnsi="黑体"/>
          <w:sz w:val="32"/>
          <w:szCs w:val="32"/>
        </w:rPr>
      </w:pPr>
      <w:r>
        <w:rPr>
          <w:rFonts w:hint="eastAsia" w:hAnsi="黑体"/>
          <w:sz w:val="32"/>
          <w:szCs w:val="32"/>
        </w:rPr>
        <w:t>第五部分 附件</w:t>
      </w:r>
    </w:p>
    <w:p>
      <w:pPr>
        <w:ind w:firstLine="560" w:firstLineChars="200"/>
        <w:jc w:val="center"/>
        <w:rPr>
          <w:rFonts w:asciiTheme="minorEastAsia" w:hAnsiTheme="minorEastAsia" w:cstheme="minorEastAsia"/>
          <w:b/>
          <w:color w:val="000000"/>
          <w:kern w:val="0"/>
          <w:sz w:val="28"/>
          <w:szCs w:val="28"/>
        </w:rPr>
      </w:pPr>
      <w:r>
        <w:rPr>
          <w:rFonts w:hint="eastAsia" w:asciiTheme="minorEastAsia" w:hAnsiTheme="minorEastAsia" w:cstheme="minorEastAsia"/>
          <w:b/>
          <w:color w:val="000000"/>
          <w:kern w:val="0"/>
          <w:sz w:val="28"/>
          <w:szCs w:val="28"/>
        </w:rPr>
        <w:t>2021年度部门整体支出绩效评价报告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0D423F"/>
    <w:multiLevelType w:val="singleLevel"/>
    <w:tmpl w:val="790D423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jcxNGUyZGNiYmQ1ZmRjMWYzYjZiYmJkYTA1ZWEifQ=="/>
  </w:docVars>
  <w:rsids>
    <w:rsidRoot w:val="196D3D59"/>
    <w:rsid w:val="00022BCD"/>
    <w:rsid w:val="00040B96"/>
    <w:rsid w:val="001713E2"/>
    <w:rsid w:val="002F7D1E"/>
    <w:rsid w:val="00310C3B"/>
    <w:rsid w:val="003113D0"/>
    <w:rsid w:val="003D0EB0"/>
    <w:rsid w:val="003F3341"/>
    <w:rsid w:val="00B0711B"/>
    <w:rsid w:val="00C96AF3"/>
    <w:rsid w:val="00CB0F33"/>
    <w:rsid w:val="00D51F61"/>
    <w:rsid w:val="00D63915"/>
    <w:rsid w:val="00E10829"/>
    <w:rsid w:val="00E95618"/>
    <w:rsid w:val="00EC62E8"/>
    <w:rsid w:val="00F8186F"/>
    <w:rsid w:val="06983C28"/>
    <w:rsid w:val="196D3D59"/>
    <w:rsid w:val="2F9874C3"/>
    <w:rsid w:val="36DC4165"/>
    <w:rsid w:val="383F5EE0"/>
    <w:rsid w:val="3CF950D8"/>
    <w:rsid w:val="47FD5A57"/>
    <w:rsid w:val="4C8E2E4B"/>
    <w:rsid w:val="4FD6487E"/>
    <w:rsid w:val="5313200B"/>
    <w:rsid w:val="5753429D"/>
    <w:rsid w:val="59633BAD"/>
    <w:rsid w:val="61F13CF3"/>
    <w:rsid w:val="65EE3837"/>
    <w:rsid w:val="71062E85"/>
    <w:rsid w:val="790A7FD0"/>
    <w:rsid w:val="7E232498"/>
    <w:rsid w:val="7FFE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6137</Words>
  <Characters>7060</Characters>
  <Lines>71</Lines>
  <Paragraphs>20</Paragraphs>
  <TotalTime>2</TotalTime>
  <ScaleCrop>false</ScaleCrop>
  <LinksUpToDate>false</LinksUpToDate>
  <CharactersWithSpaces>8762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2022-10-19T09:29:00Z</dcterms:created>
  <dc:creator>Administrator</dc:creator>
  <cp:lastModifiedBy>WPS_1668157542</cp:lastModifiedBy>
  <dcterms:modified xsi:type="dcterms:W3CDTF">2023-09-25T09:37:46Z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0AC3D63C4D174EBBBE9735A95D919D8F</vt:lpwstr>
  </property>
</Properties>
</file>