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48"/>
          <w:szCs w:val="48"/>
        </w:rPr>
      </w:pPr>
    </w:p>
    <w:p>
      <w:pPr>
        <w:pStyle w:val="5"/>
        <w:jc w:val="center"/>
        <w:rPr>
          <w:sz w:val="48"/>
          <w:szCs w:val="48"/>
        </w:rPr>
      </w:pPr>
    </w:p>
    <w:p>
      <w:pPr>
        <w:pStyle w:val="5"/>
        <w:jc w:val="center"/>
        <w:rPr>
          <w:sz w:val="48"/>
          <w:szCs w:val="48"/>
        </w:rPr>
      </w:pPr>
      <w:r>
        <w:rPr>
          <w:rFonts w:hint="eastAsia"/>
          <w:sz w:val="48"/>
          <w:szCs w:val="48"/>
        </w:rPr>
        <w:t>新田县公安局交通管理大队2021年度部门决算公开</w:t>
      </w: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 录</w:t>
      </w:r>
    </w:p>
    <w:p>
      <w:pPr>
        <w:pStyle w:val="5"/>
        <w:spacing w:line="520" w:lineRule="exact"/>
        <w:rPr>
          <w:b/>
          <w:sz w:val="28"/>
          <w:szCs w:val="28"/>
        </w:rPr>
      </w:pPr>
    </w:p>
    <w:p>
      <w:pPr>
        <w:pStyle w:val="5"/>
        <w:spacing w:line="520" w:lineRule="exact"/>
        <w:rPr>
          <w:rFonts w:ascii="仿宋_GB2312" w:hAnsi="仿宋_GB2312" w:cs="仿宋_GB2312"/>
          <w:b/>
          <w:sz w:val="28"/>
          <w:szCs w:val="28"/>
        </w:rPr>
      </w:pPr>
      <w:r>
        <w:rPr>
          <w:rFonts w:hint="eastAsia"/>
          <w:b/>
          <w:sz w:val="28"/>
          <w:szCs w:val="28"/>
        </w:rPr>
        <w:t>第一部分新田县公安局交通管理大队概况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5"/>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numPr>
          <w:ilvl w:val="0"/>
          <w:numId w:val="1"/>
        </w:numPr>
        <w:rPr>
          <w:rFonts w:ascii="黑体" w:hAnsi="黑体" w:eastAsia="黑体" w:cs="黑体"/>
          <w:sz w:val="32"/>
          <w:szCs w:val="32"/>
        </w:rPr>
      </w:pPr>
      <w:r>
        <w:rPr>
          <w:rFonts w:hint="eastAsia" w:ascii="黑体" w:hAnsi="黑体" w:eastAsia="黑体" w:cs="黑体"/>
          <w:sz w:val="32"/>
          <w:szCs w:val="32"/>
        </w:rPr>
        <w:t xml:space="preserve"> 新田县公安局交通管理大队概况</w:t>
      </w:r>
    </w:p>
    <w:p>
      <w:pPr>
        <w:rPr>
          <w:rFonts w:ascii="黑体" w:hAnsi="黑体" w:eastAsia="黑体" w:cs="黑体"/>
          <w:sz w:val="32"/>
          <w:szCs w:val="32"/>
        </w:rPr>
      </w:pPr>
    </w:p>
    <w:p>
      <w:pPr>
        <w:pStyle w:val="6"/>
        <w:numPr>
          <w:ilvl w:val="0"/>
          <w:numId w:val="2"/>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widowControl/>
        <w:ind w:firstLine="560" w:firstLineChars="200"/>
        <w:rPr>
          <w:rFonts w:ascii="宋体" w:hAnsi="宋体" w:eastAsia="宋体" w:cs="宋体"/>
          <w:bCs/>
          <w:kern w:val="0"/>
          <w:sz w:val="32"/>
          <w:szCs w:val="32"/>
        </w:rPr>
      </w:pPr>
      <w:r>
        <w:rPr>
          <w:rFonts w:hint="eastAsia" w:asciiTheme="minorEastAsia" w:hAnsiTheme="minorEastAsia" w:cstheme="minorEastAsia"/>
          <w:sz w:val="28"/>
          <w:szCs w:val="28"/>
        </w:rPr>
        <w:t>（一）</w:t>
      </w:r>
      <w:r>
        <w:rPr>
          <w:rFonts w:hint="eastAsia" w:ascii="宋体" w:hAnsi="宋体" w:eastAsia="宋体" w:cs="宋体"/>
          <w:color w:val="000000"/>
          <w:kern w:val="0"/>
          <w:sz w:val="30"/>
          <w:szCs w:val="30"/>
        </w:rPr>
        <w:t>新</w:t>
      </w:r>
      <w:r>
        <w:rPr>
          <w:rFonts w:hint="eastAsia" w:ascii="宋体" w:hAnsi="宋体" w:eastAsia="宋体" w:cs="宋体"/>
          <w:sz w:val="30"/>
          <w:szCs w:val="30"/>
        </w:rPr>
        <w:t>田县公安局交通管理大队成立于1988年元月，是主管全县道路交通安全、交通秩序维护、道路交通事故预防处理、交通安全宣传和机动车及驾驶员管理工作的职能部门。</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spacing w:line="500" w:lineRule="exact"/>
        <w:ind w:firstLine="560" w:firstLineChars="200"/>
        <w:jc w:val="left"/>
        <w:rPr>
          <w:rFonts w:ascii="宋体" w:hAnsi="宋体" w:eastAsia="宋体" w:cs="宋体"/>
          <w:color w:val="000000"/>
          <w:kern w:val="0"/>
          <w:sz w:val="30"/>
          <w:szCs w:val="30"/>
        </w:rPr>
      </w:pPr>
      <w:r>
        <w:rPr>
          <w:rFonts w:hint="eastAsia" w:asciiTheme="minorEastAsia" w:hAnsiTheme="minorEastAsia" w:cstheme="minorEastAsia"/>
          <w:bCs/>
          <w:kern w:val="0"/>
          <w:sz w:val="28"/>
          <w:szCs w:val="28"/>
        </w:rPr>
        <w:t>（一）内设机构设置。</w:t>
      </w:r>
      <w:r>
        <w:rPr>
          <w:rFonts w:hint="eastAsia" w:ascii="宋体" w:hAnsi="宋体" w:eastAsia="宋体" w:cs="宋体"/>
          <w:color w:val="000000"/>
          <w:kern w:val="0"/>
          <w:sz w:val="30"/>
          <w:szCs w:val="30"/>
        </w:rPr>
        <w:t>本部门内设机构、二级机构情况：</w:t>
      </w:r>
    </w:p>
    <w:p>
      <w:pPr>
        <w:widowControl/>
        <w:spacing w:line="500" w:lineRule="exact"/>
        <w:ind w:firstLine="640"/>
        <w:jc w:val="left"/>
        <w:rPr>
          <w:rFonts w:ascii="宋体" w:hAnsi="宋体" w:eastAsia="宋体" w:cs="宋体"/>
          <w:color w:val="000000"/>
          <w:kern w:val="0"/>
          <w:sz w:val="30"/>
          <w:szCs w:val="30"/>
        </w:rPr>
      </w:pPr>
      <w:r>
        <w:rPr>
          <w:rFonts w:hint="eastAsia" w:ascii="宋体" w:hAnsi="宋体" w:eastAsia="宋体" w:cs="宋体"/>
          <w:sz w:val="30"/>
          <w:szCs w:val="30"/>
        </w:rPr>
        <w:t>大队内设办公室、法制宣传股、车辆驾驶人管理股、交</w:t>
      </w:r>
      <w:r>
        <w:rPr>
          <w:rFonts w:hint="eastAsia" w:ascii="宋体" w:hAnsi="宋体" w:cs="宋体"/>
          <w:sz w:val="30"/>
          <w:szCs w:val="30"/>
        </w:rPr>
        <w:t>安</w:t>
      </w:r>
      <w:r>
        <w:rPr>
          <w:rFonts w:hint="eastAsia" w:ascii="宋体" w:hAnsi="宋体" w:eastAsia="宋体" w:cs="宋体"/>
          <w:sz w:val="30"/>
          <w:szCs w:val="30"/>
        </w:rPr>
        <w:t>股、一中队、巡逻中队、救助基金管理办公室等7个股室队。20</w:t>
      </w:r>
      <w:r>
        <w:rPr>
          <w:rFonts w:hint="eastAsia" w:ascii="宋体" w:hAnsi="宋体" w:cs="宋体"/>
          <w:sz w:val="30"/>
          <w:szCs w:val="30"/>
        </w:rPr>
        <w:t>21</w:t>
      </w:r>
      <w:r>
        <w:rPr>
          <w:rFonts w:hint="eastAsia" w:ascii="宋体" w:hAnsi="宋体" w:eastAsia="宋体" w:cs="宋体"/>
          <w:sz w:val="30"/>
          <w:szCs w:val="30"/>
        </w:rPr>
        <w:t>年人员编制29人，实有在职人员39人，聘用协管员77人（劳务派遣），聘用临时工</w:t>
      </w:r>
      <w:r>
        <w:rPr>
          <w:rFonts w:hint="eastAsia" w:ascii="宋体" w:hAnsi="宋体" w:cs="宋体"/>
          <w:sz w:val="30"/>
          <w:szCs w:val="30"/>
        </w:rPr>
        <w:t>5</w:t>
      </w:r>
      <w:r>
        <w:rPr>
          <w:rFonts w:hint="eastAsia" w:ascii="宋体" w:hAnsi="宋体" w:eastAsia="宋体" w:cs="宋体"/>
          <w:sz w:val="30"/>
          <w:szCs w:val="30"/>
        </w:rPr>
        <w:t>人，退休人员</w:t>
      </w:r>
      <w:r>
        <w:rPr>
          <w:rFonts w:hint="eastAsia" w:ascii="宋体" w:hAnsi="宋体" w:cs="宋体"/>
          <w:sz w:val="30"/>
          <w:szCs w:val="30"/>
        </w:rPr>
        <w:t>11</w:t>
      </w:r>
      <w:r>
        <w:rPr>
          <w:rFonts w:hint="eastAsia" w:ascii="宋体" w:hAnsi="宋体" w:eastAsia="宋体" w:cs="宋体"/>
          <w:sz w:val="30"/>
          <w:szCs w:val="30"/>
        </w:rPr>
        <w:t>人，实有车辆 11台</w:t>
      </w:r>
      <w:r>
        <w:rPr>
          <w:rFonts w:hint="eastAsia" w:ascii="宋体" w:hAnsi="宋体" w:eastAsia="宋体" w:cs="宋体"/>
          <w:color w:val="000000"/>
          <w:kern w:val="0"/>
          <w:sz w:val="30"/>
          <w:szCs w:val="30"/>
        </w:rPr>
        <w:t>。</w:t>
      </w:r>
    </w:p>
    <w:p>
      <w:pPr>
        <w:rPr>
          <w:rFonts w:asciiTheme="minorEastAsia" w:hAnsiTheme="minorEastAsia" w:cstheme="minorEastAsia"/>
          <w:sz w:val="28"/>
          <w:szCs w:val="28"/>
        </w:rPr>
      </w:pPr>
    </w:p>
    <w:p>
      <w:pPr>
        <w:rPr>
          <w:rFonts w:ascii="黑体" w:hAnsi="黑体" w:eastAsia="黑体" w:cs="黑体"/>
          <w:sz w:val="32"/>
          <w:szCs w:val="32"/>
        </w:rPr>
      </w:pPr>
    </w:p>
    <w:p>
      <w:pPr>
        <w:widowControl/>
        <w:spacing w:line="600" w:lineRule="exact"/>
        <w:rPr>
          <w:rFonts w:ascii="宋体" w:hAnsi="宋体" w:cs="宋体"/>
          <w:bCs/>
          <w:kern w:val="0"/>
          <w:sz w:val="28"/>
          <w:szCs w:val="28"/>
        </w:rPr>
      </w:pPr>
      <w:r>
        <w:rPr>
          <w:rFonts w:hint="eastAsia" w:ascii="宋体" w:hAnsi="宋体" w:cs="宋体"/>
          <w:bCs/>
          <w:kern w:val="0"/>
          <w:sz w:val="28"/>
          <w:szCs w:val="28"/>
        </w:rPr>
        <w:t>（二）决算单位构成。</w:t>
      </w:r>
      <w:r>
        <w:rPr>
          <w:rFonts w:hint="eastAsia" w:ascii="宋体" w:hAnsi="宋体" w:eastAsia="宋体" w:cs="宋体"/>
          <w:sz w:val="30"/>
          <w:szCs w:val="30"/>
        </w:rPr>
        <w:t>公安局交通管理大队</w:t>
      </w:r>
      <w:r>
        <w:rPr>
          <w:rFonts w:hint="eastAsia" w:ascii="宋体" w:hAnsi="宋体" w:cs="宋体"/>
          <w:bCs/>
          <w:kern w:val="0"/>
          <w:sz w:val="28"/>
          <w:szCs w:val="28"/>
        </w:rPr>
        <w:t>单位2021年部门决算汇总公开单位构成包括：</w:t>
      </w:r>
      <w:r>
        <w:rPr>
          <w:rFonts w:hint="eastAsia" w:ascii="宋体" w:hAnsi="宋体" w:eastAsia="宋体" w:cs="宋体"/>
          <w:sz w:val="30"/>
          <w:szCs w:val="30"/>
        </w:rPr>
        <w:t>公安局交通管理大队</w:t>
      </w:r>
      <w:r>
        <w:rPr>
          <w:rFonts w:hint="eastAsia" w:ascii="宋体" w:hAnsi="宋体" w:cs="宋体"/>
          <w:bCs/>
          <w:kern w:val="0"/>
          <w:sz w:val="28"/>
          <w:szCs w:val="28"/>
        </w:rPr>
        <w:t>本级。</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部门：新田县公安局交通管理大队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1295.1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新田县公安局交通管理大队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公开02表</w:t>
      </w:r>
    </w:p>
    <w:p>
      <w:pPr>
        <w:widowControl/>
        <w:ind w:right="63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公共安全支出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公安</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1248.79</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1248.79</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2040220</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执法办案</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46.31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46.31</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新田县公安局交通管理大队</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公共安全支出</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公安</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1248.79</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1248.79</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2040220</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执法办案</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46.31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46.31</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仿宋" w:hAnsi="仿宋" w:eastAsia="仿宋" w:cs="仿宋"/>
          <w:color w:val="000000"/>
          <w:kern w:val="0"/>
          <w:szCs w:val="21"/>
        </w:rPr>
      </w:pPr>
      <w:r>
        <w:rPr>
          <w:rFonts w:hint="eastAsia" w:ascii="仿宋" w:hAnsi="仿宋" w:eastAsia="仿宋" w:cs="仿宋"/>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部门：新田县公安局交通管理大队 </w:t>
      </w:r>
    </w:p>
    <w:p>
      <w:pPr>
        <w:widowControl/>
        <w:tabs>
          <w:tab w:val="left" w:pos="13725"/>
          <w:tab w:val="left" w:pos="13755"/>
          <w:tab w:val="left" w:pos="13800"/>
        </w:tabs>
        <w:spacing w:line="240" w:lineRule="exact"/>
        <w:ind w:left="91" w:firstLine="300"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新田县公安局交通管理大队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公共安全支出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公安</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1295.1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1248.79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1248.79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2040220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执法办案</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新田县公安局交通管理大队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149"/>
        <w:gridCol w:w="3306"/>
        <w:gridCol w:w="1032"/>
        <w:gridCol w:w="934"/>
        <w:gridCol w:w="2297"/>
        <w:gridCol w:w="1044"/>
        <w:gridCol w:w="888"/>
        <w:gridCol w:w="4002"/>
        <w:gridCol w:w="1248"/>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3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4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88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00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775.01</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433.11</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75.09</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13.98</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185.58</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43.81</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92.8</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86.32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22.79</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91.76</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15.12</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29.01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137.25</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23.04</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34.33</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12.04</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12.59</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22.17</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26</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19.21</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8.64</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26.77</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29.25</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10.27</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61.26</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41.02</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0.65</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10.44</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4.53</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21.19</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16.33</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04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21</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22.1</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0.65</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03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04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30.84</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00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03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4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03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4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46.31</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032"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44"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12.60</w:t>
            </w:r>
          </w:p>
        </w:tc>
        <w:tc>
          <w:tcPr>
            <w:tcW w:w="888"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002"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48"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3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4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3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4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8.23</w:t>
            </w:r>
          </w:p>
        </w:tc>
        <w:tc>
          <w:tcPr>
            <w:tcW w:w="88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00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4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32"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775.66</w:t>
            </w:r>
          </w:p>
        </w:tc>
        <w:tc>
          <w:tcPr>
            <w:tcW w:w="9165"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48"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519.44</w:t>
            </w:r>
          </w:p>
          <w:p>
            <w:pPr>
              <w:widowControl/>
              <w:rPr>
                <w:rFonts w:ascii="仿宋_GB2312" w:hAnsi="宋体" w:eastAsia="仿宋_GB2312" w:cs="宋体"/>
                <w:color w:val="000000"/>
                <w:kern w:val="0"/>
                <w:sz w:val="18"/>
                <w:szCs w:val="18"/>
              </w:rPr>
            </w:pP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新田县公安局交通管理大队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50.84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46.31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46.31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4.53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50.84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46.31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46.31</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4.53</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新田县公安局交通管理大队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rPr>
        <w:t>新田县公安局交通管理大队</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411"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 xml:space="preserve">新田县公安局交通管理大队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3"/>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,请说明：</w:t>
      </w:r>
      <w:r>
        <w:rPr>
          <w:rFonts w:hint="eastAsia" w:ascii="Times New Roman" w:hAnsi="Times New Roman" w:eastAsia="仿宋_GB2312" w:cs="Times New Roman"/>
          <w:color w:val="000000"/>
          <w:kern w:val="0"/>
          <w:szCs w:val="21"/>
        </w:rPr>
        <w:t>新田县公安局交通管理大队</w:t>
      </w:r>
      <w:r>
        <w:rPr>
          <w:rFonts w:hint="eastAsia" w:ascii="仿宋" w:hAnsi="仿宋" w:eastAsia="仿宋" w:cs="仿宋"/>
          <w:kern w:val="0"/>
          <w:szCs w:val="21"/>
        </w:rPr>
        <w:t>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5"/>
        <w:rPr>
          <w:sz w:val="32"/>
          <w:szCs w:val="32"/>
        </w:rPr>
      </w:pPr>
      <w:r>
        <w:rPr>
          <w:rFonts w:hint="eastAsia"/>
          <w:sz w:val="32"/>
          <w:szCs w:val="32"/>
        </w:rPr>
        <w:t>第三部分 2021年度部门决算情况说明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2021年度收、支总计1295.1万元。与上年度相比，减少270.75万元，减少82%，主要是因为基本支出减少。</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本年收入合计1295.1万元，其中：财政拨款收入1295.1万元，占100%；上级补助收入0万元，0%；事业收入0万元，占0%；经营收入0万元，占0%；附属单位上缴收入0万元，占0%；其他收入0万元，占0%。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本年支出合计1295.1万元，其中：基本支出1295.1万元，占100%；项目支出0万元，占0%；上缴上级支出0万元，占0%；经营支出0万元，占0%；对附属单位补助支出0万元，占0%。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2021年度财政拨款收、支总计1295.1万元，与上年度相比，减少270.75万元,减少82%，主要是因为基本支出减少。</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2021年度财政拨款支出1295.1万元，占本年支出合计的100%，与上年度相比，财政拨款支出减少270.75万元，减少82%，主要是因为基本支出减少。</w:t>
      </w:r>
    </w:p>
    <w:p>
      <w:pPr>
        <w:pStyle w:val="5"/>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2021年度财政拨款支出1295.1万元，主要用于以下方面：一般公共服务（类）支出1295.1万元，占100%；教育（类）支出0万元，占0%;………</w:t>
      </w:r>
    </w:p>
    <w:p>
      <w:pPr>
        <w:pStyle w:val="5"/>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2021年度财政拨款支出年初预算数为1393.83万元，支出决算数为1295.1万元，完成年初预算的100%，其中：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1、一般公共服务（类）公安（款）行政运行（项）。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年初预算为1347.45万元，支出决算为1248.79万元，完成年初预算的100%，决算数小于年初预算数的主要原因是：因为基本支出减少。</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2、一般公共服务（类）公安（款）执法办案（项）。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年初预算为46.38万元，支出决算为46.31万元，完成年初预算的100%，决算数小于年初预算数的主要原因是：因为基本支出减少。</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1295.1万元，其中：人员经费775.66万元，占基本支出的60%,主要包括基本工资、津贴补贴、奖金、伙食补助费……；公用经费519.44万元，占基本支出的40%，主要包括办公费、印刷费、咨询费、手续费……。</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“三公”经费财政拨款支出预算为50.84万元，支出决算为50.84万元，完成预算的100%，其中：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公务接待费支出预算为4.53万元，支出决算为4.53万元，完成预算的100%，决算数大于（小于）年初预算数的主要原因是……，与上年对比持平。</w:t>
      </w:r>
    </w:p>
    <w:p>
      <w:pPr>
        <w:pStyle w:val="5"/>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公务用车购置费及运行维护费支出预算为46.31万元，支出决算为46.31万元，完成预算的100%，与上年对比持平。</w:t>
      </w:r>
      <w:r>
        <w:rPr>
          <w:rFonts w:hint="eastAsia" w:asciiTheme="minorEastAsia" w:hAnsiTheme="minorEastAsia" w:eastAsiaTheme="minorEastAsia" w:cstheme="minorEastAsia"/>
          <w:sz w:val="28"/>
          <w:szCs w:val="28"/>
          <w:lang w:eastAsia="zh-CN"/>
        </w:rPr>
        <w:t>持平的原因是规范管理、厉行节约。</w:t>
      </w:r>
      <w:bookmarkStart w:id="2" w:name="_GoBack"/>
      <w:bookmarkEnd w:id="2"/>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2021年度“三公”经费财政拨款支出决算中，公务接待费支出决算4.53万元，占9%,因公出国（境）费支出决算0万元，占0%,公务用车购置费及运行维护费支出决算46.31万元，占91%。其中：</w:t>
      </w:r>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1、因公出国（境）费支出决算为0万元，全年安排因公出国（境）团组0个，累计0人次,开支内容包括：</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2、公务接待费支出决算为4.53万元，全年共接待来访团组74个、来宾760人次，主要是接待上级部门工作用餐发生的接待支出。</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3、公务用车购置费及运行维护费支出决算为46.31万元，其中：公务用车购置费0万元，本单位（单位本级或某二级机构）更新公务用车0辆……</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sz w:val="28"/>
          <w:szCs w:val="28"/>
        </w:rPr>
        <w:t>公务用车运行维护费46.31万元，主要是执勤车辆的维修费和汽油费支出，截止2021年12月31日，我单位开支财政拨款的公务用车保有量为11辆。</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rPr>
          <w:rFonts w:asciiTheme="minorEastAsia" w:hAnsiTheme="minorEastAsia" w:eastAsiaTheme="minorEastAsia" w:cstheme="minorEastAsia"/>
          <w:i/>
          <w:color w:val="000000" w:themeColor="text1"/>
          <w:sz w:val="28"/>
          <w:szCs w:val="28"/>
        </w:rPr>
      </w:pPr>
      <w:r>
        <w:rPr>
          <w:rFonts w:hint="eastAsia" w:asciiTheme="minorEastAsia" w:hAnsiTheme="minorEastAsia" w:eastAsiaTheme="minorEastAsia" w:cstheme="minorEastAsia"/>
          <w:sz w:val="28"/>
          <w:szCs w:val="28"/>
        </w:rPr>
        <w:t xml:space="preserve">     2021年度政府性基金预算财政拨款收入0万元；年初结转和结余0万元；支出0万元，其中基本支出0万元，项目支出0万元；年末结转和结余0万元，本单位无政府性基金收支。</w:t>
      </w:r>
      <w:r>
        <w:rPr>
          <w:rFonts w:hint="eastAsia" w:asciiTheme="minorEastAsia" w:hAnsiTheme="minorEastAsia" w:eastAsiaTheme="minorEastAsia" w:cstheme="minorEastAsia"/>
          <w:color w:val="000000" w:themeColor="text1"/>
          <w:sz w:val="28"/>
          <w:szCs w:val="28"/>
        </w:rPr>
        <w:t>（</w:t>
      </w:r>
      <w:r>
        <w:rPr>
          <w:rFonts w:hint="eastAsia" w:asciiTheme="minorEastAsia" w:hAnsiTheme="minorEastAsia" w:eastAsiaTheme="minorEastAsia" w:cstheme="minorEastAsia"/>
          <w:i/>
          <w:color w:val="000000" w:themeColor="text1"/>
          <w:sz w:val="28"/>
          <w:szCs w:val="28"/>
        </w:rPr>
        <w:t>本单位无政府性基金收支）</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5"/>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sz w:val="28"/>
          <w:szCs w:val="28"/>
        </w:rPr>
        <w:t xml:space="preserve">  2021年度</w:t>
      </w:r>
      <w:r>
        <w:rPr>
          <w:rFonts w:hint="eastAsia" w:ascii="宋体" w:hAnsi="宋体" w:eastAsia="宋体" w:cs="宋体"/>
          <w:color w:val="333333"/>
          <w:sz w:val="28"/>
          <w:szCs w:val="28"/>
          <w:shd w:val="clear" w:color="auto" w:fill="FFFFFF"/>
        </w:rPr>
        <w:t>国有资本经营预算财政拨款</w:t>
      </w:r>
      <w:r>
        <w:rPr>
          <w:rFonts w:hint="eastAsia" w:asciiTheme="minorEastAsia" w:hAnsiTheme="minorEastAsia" w:eastAsiaTheme="minorEastAsia" w:cstheme="minorEastAsia"/>
          <w:sz w:val="28"/>
          <w:szCs w:val="28"/>
        </w:rPr>
        <w:t>支出0万元，其中基本支出0万元，项目支出0万元；本单位无</w:t>
      </w:r>
      <w:r>
        <w:rPr>
          <w:rFonts w:hint="eastAsia" w:ascii="宋体" w:hAnsi="宋体" w:eastAsia="宋体" w:cs="宋体"/>
          <w:color w:val="333333"/>
          <w:sz w:val="28"/>
          <w:szCs w:val="28"/>
          <w:shd w:val="clear" w:color="auto" w:fill="FFFFFF"/>
        </w:rPr>
        <w:t>国有资本经营预算财政拨款支出。</w:t>
      </w:r>
      <w:r>
        <w:rPr>
          <w:rFonts w:hint="eastAsia" w:asciiTheme="minorEastAsia" w:hAnsiTheme="minorEastAsia" w:eastAsiaTheme="minorEastAsia" w:cstheme="minorEastAsia"/>
          <w:i/>
          <w:color w:val="000000" w:themeColor="text1"/>
          <w:sz w:val="28"/>
          <w:szCs w:val="28"/>
        </w:rPr>
        <w:t>（本单位无</w:t>
      </w:r>
      <w:r>
        <w:rPr>
          <w:rFonts w:hint="eastAsia" w:ascii="宋体" w:hAnsi="宋体" w:eastAsia="宋体" w:cs="宋体"/>
          <w:color w:val="000000" w:themeColor="text1"/>
          <w:sz w:val="28"/>
          <w:szCs w:val="28"/>
          <w:shd w:val="clear" w:color="auto" w:fill="FFFFFF"/>
        </w:rPr>
        <w:t>国有资本经营预算财政拨款支出</w:t>
      </w:r>
      <w:r>
        <w:rPr>
          <w:rFonts w:hint="eastAsia" w:asciiTheme="minorEastAsia" w:hAnsiTheme="minorEastAsia" w:eastAsiaTheme="minorEastAsia" w:cstheme="minorEastAsia"/>
          <w:i/>
          <w:color w:val="000000" w:themeColor="text1"/>
          <w:sz w:val="28"/>
          <w:szCs w:val="28"/>
        </w:rPr>
        <w:t>）</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本部门2021 年度机关运行经费支出519.44万元，比年初预算数减少211.56万元，降低40%。主要原因是：</w:t>
      </w:r>
      <w:r>
        <w:rPr>
          <w:rFonts w:hint="eastAsia" w:asciiTheme="minorEastAsia" w:hAnsiTheme="minorEastAsia" w:cstheme="minorEastAsia"/>
          <w:sz w:val="28"/>
          <w:szCs w:val="28"/>
        </w:rPr>
        <w:t>基本支出减少.</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2021年本部门开支会议费5万元，用于召开道路交通事故调解会议，人数1100人，内容为交通事故调解；开支培训费10.44万元，用于开展业务工作培训，人数120人，内容为省外交管业务培训学习；举办……等节庆、晚会、论坛、赛事活动，开支0万元，主要是……。（注：三类会议、培训活动，节庆、晚会、论坛、赛事等活动，请分项列明活动计划及经费预算情况）</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263万元，其中：政府采购货物支出263万元、政府采购工程支出0万元、政府采购服务支出0万元。授予中小企业合同金额0万元，占政府采购支出总额的0%，其中：授予小微企业合同金额263万元，占政府采购支出总额的100%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11辆，其中，领导干部用车0辆、机要通信用车0辆、应急保障用车0辆、执法执勤用车11辆、特种专业技术用车0辆、其他用车0辆，其他用车主要是……；单位价值50万元以上通用设备0台（套）；单位价值100万元以上专用设备0台（套）。</w:t>
      </w:r>
    </w:p>
    <w:p>
      <w:pPr>
        <w:pStyle w:val="5"/>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年度一般公共预算项目支出全面开展绩效自评，其中，一级项目0个，二级项目0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个，共涉及资金0万元，占一般公共预算项目支出总额的0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年度0个政府性基金预算项目支出开展绩效自评，共涉及资金0万元，占政府性基金预算项目支出总额的0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年度0个国有资本经营预算项目支出开展绩效自评，共涉及资金0万元，占国有资本经营预算项目支出总额的0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组织对0个项目开展了部门评价，涉及一般公共预算支出0万元，政府性基金预算支出0万元，国有资本经营预算支出0万元。</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组织对0个单位开展整体支出绩效评价，涉及一般公共预算支出0万元，政府性基金预算支出0万元。</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（2）部门决算中项目绩效自评结果（如有）。</w:t>
      </w:r>
    </w:p>
    <w:p>
      <w:pPr>
        <w:autoSpaceDE w:val="0"/>
        <w:autoSpaceDN w:val="0"/>
        <w:adjustRightInd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本单位无项目支出，因此无项目绩效自评</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5"/>
        <w:ind w:firstLine="560" w:firstLineChars="200"/>
        <w:rPr>
          <w:rFonts w:asciiTheme="minorEastAsia" w:hAnsiTheme="minorEastAsia" w:eastAsiaTheme="minorEastAsia"/>
          <w:sz w:val="28"/>
          <w:szCs w:val="28"/>
        </w:rPr>
      </w:pPr>
      <w:r>
        <w:rPr>
          <w:rFonts w:hint="eastAsia" w:ascii="宋体" w:hAnsi="宋体" w:eastAsia="宋体" w:cs="宋体"/>
          <w:sz w:val="28"/>
          <w:szCs w:val="28"/>
        </w:rPr>
        <w:t>本单位无项目支出，因此也无部门评价项目绩效评价结果</w:t>
      </w:r>
    </w:p>
    <w:p>
      <w:pPr>
        <w:pStyle w:val="5"/>
        <w:jc w:val="both"/>
        <w:rPr>
          <w:rFonts w:hAnsi="黑体"/>
          <w:sz w:val="32"/>
          <w:szCs w:val="32"/>
        </w:rPr>
      </w:pPr>
      <w:r>
        <w:rPr>
          <w:rFonts w:hint="eastAsia" w:hAnsi="黑体"/>
          <w:sz w:val="32"/>
          <w:szCs w:val="32"/>
        </w:rPr>
        <w:t>第四部分 名词解释</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Calibri" w:hAnsi="Calibri" w:cs="Calibri"/>
          <w:sz w:val="36"/>
          <w:szCs w:val="36"/>
        </w:rPr>
      </w:pPr>
      <w:r>
        <w:rPr>
          <w:rFonts w:hint="eastAsia" w:asciiTheme="minorEastAsia" w:hAnsiTheme="minorEastAsia" w:cstheme="minorEastAsia"/>
          <w:b/>
          <w:color w:val="000000"/>
          <w:kern w:val="0"/>
          <w:sz w:val="28"/>
          <w:szCs w:val="28"/>
        </w:rPr>
        <w:t>2021年度部门整体支出绩效评价报告</w:t>
      </w:r>
    </w:p>
    <w:p>
      <w:pPr>
        <w:pStyle w:val="2"/>
        <w:widowControl/>
        <w:spacing w:beforeAutospacing="0" w:afterAutospacing="0"/>
        <w:jc w:val="both"/>
        <w:rPr>
          <w:rFonts w:ascii="Calibri" w:hAnsi="Calibri" w:cs="Calibri"/>
          <w:sz w:val="21"/>
          <w:szCs w:val="21"/>
        </w:rPr>
      </w:pPr>
    </w:p>
    <w:p>
      <w:pPr>
        <w:pStyle w:val="2"/>
        <w:widowControl/>
        <w:spacing w:beforeAutospacing="0" w:afterAutospacing="0" w:line="600" w:lineRule="atLeast"/>
        <w:ind w:firstLine="640" w:firstLineChars="200"/>
        <w:jc w:val="both"/>
        <w:rPr>
          <w:rFonts w:ascii="仿宋" w:hAnsi="仿宋" w:eastAsia="仿宋" w:cs="仿宋"/>
          <w:b/>
          <w:bCs/>
          <w:sz w:val="32"/>
          <w:szCs w:val="32"/>
        </w:rPr>
      </w:pPr>
      <w:r>
        <w:rPr>
          <w:rFonts w:hint="eastAsia" w:ascii="仿宋" w:hAnsi="仿宋" w:eastAsia="仿宋" w:cs="仿宋"/>
          <w:b/>
          <w:bCs/>
          <w:sz w:val="32"/>
          <w:szCs w:val="32"/>
        </w:rPr>
        <w:t>一、基本情况</w:t>
      </w:r>
    </w:p>
    <w:p>
      <w:pPr>
        <w:pStyle w:val="2"/>
        <w:widowControl/>
        <w:spacing w:beforeAutospacing="0" w:afterAutospacing="0" w:line="600" w:lineRule="atLeast"/>
        <w:ind w:firstLine="643"/>
        <w:jc w:val="both"/>
        <w:rPr>
          <w:rFonts w:ascii="仿宋" w:hAnsi="仿宋" w:eastAsia="仿宋" w:cs="仿宋"/>
          <w:b/>
          <w:sz w:val="32"/>
          <w:szCs w:val="32"/>
        </w:rPr>
      </w:pPr>
      <w:r>
        <w:rPr>
          <w:rFonts w:hint="eastAsia" w:ascii="仿宋" w:hAnsi="仿宋" w:eastAsia="仿宋" w:cs="仿宋"/>
          <w:b/>
          <w:sz w:val="32"/>
          <w:szCs w:val="32"/>
        </w:rPr>
        <w:t>（一）部门（单位）基本情况</w:t>
      </w:r>
    </w:p>
    <w:p>
      <w:pPr>
        <w:widowControl/>
        <w:spacing w:line="600" w:lineRule="exact"/>
        <w:ind w:firstLine="640" w:firstLineChars="200"/>
        <w:jc w:val="left"/>
        <w:rPr>
          <w:rFonts w:ascii="仿宋" w:hAnsi="仿宋" w:eastAsia="仿宋" w:cs="仿宋"/>
          <w:b/>
          <w:kern w:val="0"/>
          <w:sz w:val="32"/>
          <w:szCs w:val="32"/>
        </w:rPr>
      </w:pPr>
      <w:r>
        <w:rPr>
          <w:rFonts w:hint="eastAsia" w:ascii="仿宋" w:hAnsi="仿宋" w:eastAsia="仿宋" w:cs="仿宋"/>
          <w:b/>
          <w:kern w:val="0"/>
          <w:sz w:val="32"/>
          <w:szCs w:val="32"/>
        </w:rPr>
        <w:t>1.部门主要工作职责</w:t>
      </w:r>
    </w:p>
    <w:p>
      <w:pPr>
        <w:widowControl/>
        <w:spacing w:line="600" w:lineRule="exact"/>
        <w:ind w:firstLine="640" w:firstLineChars="200"/>
        <w:jc w:val="left"/>
        <w:rPr>
          <w:rFonts w:ascii="仿宋" w:hAnsi="仿宋" w:eastAsia="仿宋" w:cs="仿宋"/>
          <w:kern w:val="0"/>
          <w:sz w:val="32"/>
          <w:szCs w:val="32"/>
        </w:rPr>
      </w:pPr>
      <w:r>
        <w:rPr>
          <w:rFonts w:hint="eastAsia" w:ascii="仿宋" w:hAnsi="仿宋" w:eastAsia="仿宋" w:cs="仿宋"/>
          <w:sz w:val="32"/>
          <w:szCs w:val="32"/>
        </w:rPr>
        <w:t>新田县公安局交通警察大队是主管全县道路交通安全、交通秩序维护、道路交通事故预防处理、交通安全宣传和机动车及驾驶员管理工作的职能部门。</w:t>
      </w:r>
    </w:p>
    <w:p>
      <w:pPr>
        <w:widowControl/>
        <w:spacing w:line="600" w:lineRule="exact"/>
        <w:ind w:firstLine="640" w:firstLineChars="200"/>
        <w:jc w:val="left"/>
        <w:rPr>
          <w:rFonts w:ascii="仿宋" w:hAnsi="仿宋" w:eastAsia="仿宋" w:cs="仿宋"/>
          <w:b/>
          <w:kern w:val="0"/>
          <w:sz w:val="32"/>
          <w:szCs w:val="32"/>
        </w:rPr>
      </w:pPr>
      <w:r>
        <w:rPr>
          <w:rFonts w:hint="eastAsia" w:ascii="仿宋" w:hAnsi="仿宋" w:eastAsia="仿宋" w:cs="仿宋"/>
          <w:b/>
          <w:kern w:val="0"/>
          <w:sz w:val="32"/>
          <w:szCs w:val="32"/>
        </w:rPr>
        <w:t xml:space="preserve">2.部门机构设置情况 </w:t>
      </w:r>
    </w:p>
    <w:p>
      <w:pPr>
        <w:widowControl/>
        <w:spacing w:line="600" w:lineRule="exact"/>
        <w:ind w:firstLine="645"/>
        <w:rPr>
          <w:rFonts w:ascii="仿宋" w:hAnsi="仿宋" w:eastAsia="仿宋" w:cs="仿宋"/>
          <w:b/>
          <w:sz w:val="32"/>
          <w:szCs w:val="32"/>
        </w:rPr>
      </w:pPr>
      <w:r>
        <w:rPr>
          <w:rFonts w:hint="eastAsia" w:ascii="仿宋" w:hAnsi="仿宋" w:eastAsia="仿宋" w:cs="仿宋"/>
          <w:color w:val="000000"/>
          <w:sz w:val="32"/>
          <w:szCs w:val="32"/>
        </w:rPr>
        <w:t>单位内设机构 7个，下属单位 0 个；编制 29人，实有人数 124人(其中：正式民警、职工39人、城管编制1人、借用农机人员2人、协警77人、临时人员5人)，离退休11人，提前退休3人；现有小车  11 台。</w:t>
      </w:r>
    </w:p>
    <w:p>
      <w:pPr>
        <w:pStyle w:val="2"/>
        <w:widowControl/>
        <w:numPr>
          <w:ilvl w:val="0"/>
          <w:numId w:val="3"/>
        </w:numPr>
        <w:spacing w:beforeAutospacing="0" w:afterAutospacing="0" w:line="600" w:lineRule="atLeast"/>
        <w:ind w:firstLine="643"/>
        <w:jc w:val="both"/>
        <w:rPr>
          <w:rFonts w:ascii="仿宋" w:hAnsi="仿宋" w:eastAsia="仿宋" w:cs="仿宋"/>
          <w:b/>
          <w:sz w:val="32"/>
          <w:szCs w:val="32"/>
        </w:rPr>
      </w:pPr>
      <w:r>
        <w:rPr>
          <w:rFonts w:hint="eastAsia" w:ascii="仿宋" w:hAnsi="仿宋" w:eastAsia="仿宋" w:cs="仿宋"/>
          <w:b/>
          <w:sz w:val="32"/>
          <w:szCs w:val="32"/>
        </w:rPr>
        <w:t>部门（单位）年度整体支出绩效目标，省级专项资金绩效目标、其他项目支出（除省级专项资金以外）绩效目标</w:t>
      </w:r>
    </w:p>
    <w:p>
      <w:pPr>
        <w:pStyle w:val="2"/>
        <w:widowControl/>
        <w:spacing w:beforeAutospacing="0" w:afterAutospacing="0" w:line="600" w:lineRule="atLeast"/>
        <w:jc w:val="both"/>
        <w:rPr>
          <w:rFonts w:ascii="仿宋" w:hAnsi="仿宋" w:eastAsia="仿宋" w:cs="仿宋"/>
          <w:b/>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2021年部门预算收入1295.1万元，其中财政日常经费拨款805.83万元，专项经费拨款0万元，非税收入安排的拨款预计489.27万元，单位事业收入 0 万元，上级补助收入0万元，其他收入 0 万元。</w:t>
      </w:r>
    </w:p>
    <w:p>
      <w:pPr>
        <w:pStyle w:val="2"/>
        <w:widowControl/>
        <w:spacing w:beforeAutospacing="0" w:afterAutospacing="0" w:line="600" w:lineRule="atLeast"/>
        <w:ind w:firstLine="640" w:firstLineChars="200"/>
        <w:jc w:val="both"/>
        <w:rPr>
          <w:rFonts w:ascii="仿宋" w:hAnsi="仿宋" w:eastAsia="仿宋" w:cs="仿宋"/>
          <w:sz w:val="32"/>
          <w:szCs w:val="32"/>
        </w:rPr>
      </w:pPr>
      <w:r>
        <w:rPr>
          <w:rFonts w:hint="eastAsia" w:ascii="仿宋" w:hAnsi="仿宋" w:eastAsia="仿宋" w:cs="仿宋"/>
          <w:b/>
          <w:bCs/>
          <w:sz w:val="32"/>
          <w:szCs w:val="32"/>
        </w:rPr>
        <w:t>二、一般公共预算支出情况</w:t>
      </w:r>
    </w:p>
    <w:p>
      <w:pPr>
        <w:pStyle w:val="2"/>
        <w:widowControl/>
        <w:spacing w:beforeAutospacing="0" w:afterAutospacing="0" w:line="600" w:lineRule="atLeast"/>
        <w:ind w:firstLine="643"/>
        <w:jc w:val="both"/>
        <w:rPr>
          <w:rFonts w:ascii="仿宋" w:hAnsi="仿宋" w:eastAsia="仿宋" w:cs="仿宋"/>
          <w:b/>
          <w:sz w:val="32"/>
          <w:szCs w:val="32"/>
        </w:rPr>
      </w:pPr>
      <w:r>
        <w:rPr>
          <w:rFonts w:hint="eastAsia" w:ascii="仿宋" w:hAnsi="仿宋" w:eastAsia="仿宋" w:cs="仿宋"/>
          <w:b/>
          <w:sz w:val="32"/>
          <w:szCs w:val="32"/>
        </w:rPr>
        <w:t>（一）基本支出情况</w:t>
      </w:r>
    </w:p>
    <w:p>
      <w:pPr>
        <w:pStyle w:val="2"/>
        <w:widowControl/>
        <w:spacing w:beforeAutospacing="0" w:afterAutospacing="0" w:line="600" w:lineRule="atLeast"/>
        <w:ind w:firstLine="643"/>
        <w:jc w:val="both"/>
        <w:rPr>
          <w:rFonts w:ascii="仿宋" w:hAnsi="仿宋" w:eastAsia="仿宋" w:cs="仿宋"/>
          <w:b/>
          <w:sz w:val="32"/>
          <w:szCs w:val="32"/>
        </w:rPr>
      </w:pPr>
      <w:r>
        <w:rPr>
          <w:rFonts w:hint="eastAsia" w:ascii="仿宋" w:hAnsi="仿宋" w:eastAsia="仿宋" w:cs="仿宋"/>
          <w:sz w:val="32"/>
          <w:szCs w:val="32"/>
        </w:rPr>
        <w:t>本部门2021年年初预算数1393.83万元，是指为保障单位机构正常运转、完成日常工作任务而发生的各项支出，包括用于基本工资、津贴补贴等人员经费以及办公费、水电费、交通费、会议费等日常公用经费</w:t>
      </w:r>
    </w:p>
    <w:p>
      <w:pPr>
        <w:pStyle w:val="2"/>
        <w:widowControl/>
        <w:spacing w:beforeAutospacing="0" w:afterAutospacing="0" w:line="600" w:lineRule="atLeast"/>
        <w:ind w:firstLine="643"/>
        <w:jc w:val="both"/>
        <w:rPr>
          <w:rFonts w:ascii="仿宋" w:hAnsi="仿宋" w:eastAsia="仿宋" w:cs="仿宋"/>
          <w:sz w:val="32"/>
          <w:szCs w:val="32"/>
        </w:rPr>
      </w:pPr>
      <w:r>
        <w:rPr>
          <w:rFonts w:hint="eastAsia" w:ascii="仿宋" w:hAnsi="仿宋" w:eastAsia="仿宋" w:cs="仿宋"/>
          <w:b/>
          <w:sz w:val="32"/>
          <w:szCs w:val="32"/>
        </w:rPr>
        <w:t>（二）项目支出情况</w:t>
      </w:r>
    </w:p>
    <w:p>
      <w:pPr>
        <w:pStyle w:val="2"/>
        <w:widowControl/>
        <w:spacing w:beforeAutospacing="0" w:afterAutospacing="0" w:line="600" w:lineRule="atLeast"/>
        <w:ind w:firstLine="1929" w:firstLineChars="603"/>
        <w:jc w:val="both"/>
        <w:rPr>
          <w:rFonts w:ascii="仿宋" w:hAnsi="仿宋" w:eastAsia="仿宋" w:cs="仿宋"/>
          <w:sz w:val="32"/>
          <w:szCs w:val="32"/>
        </w:rPr>
      </w:pPr>
      <w:r>
        <w:rPr>
          <w:rFonts w:hint="eastAsia" w:ascii="仿宋" w:hAnsi="仿宋" w:eastAsia="仿宋" w:cs="仿宋"/>
          <w:sz w:val="32"/>
          <w:szCs w:val="32"/>
        </w:rPr>
        <w:t>无</w:t>
      </w:r>
    </w:p>
    <w:p>
      <w:pPr>
        <w:pStyle w:val="2"/>
        <w:widowControl/>
        <w:numPr>
          <w:ilvl w:val="0"/>
          <w:numId w:val="4"/>
        </w:numPr>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政府性基金预算支出情况</w:t>
      </w:r>
    </w:p>
    <w:p>
      <w:pPr>
        <w:pStyle w:val="2"/>
        <w:widowControl/>
        <w:spacing w:beforeAutospacing="0" w:afterAutospacing="0" w:line="600" w:lineRule="atLeast"/>
        <w:ind w:left="640" w:firstLine="1280" w:firstLineChars="400"/>
        <w:jc w:val="both"/>
        <w:rPr>
          <w:rFonts w:ascii="仿宋" w:hAnsi="仿宋" w:eastAsia="仿宋" w:cs="仿宋"/>
          <w:b/>
          <w:bCs/>
          <w:sz w:val="32"/>
          <w:szCs w:val="32"/>
        </w:rPr>
      </w:pPr>
      <w:r>
        <w:rPr>
          <w:rFonts w:hint="eastAsia" w:ascii="仿宋" w:hAnsi="仿宋" w:eastAsia="仿宋" w:cs="仿宋"/>
          <w:b/>
          <w:bCs/>
          <w:sz w:val="32"/>
          <w:szCs w:val="32"/>
        </w:rPr>
        <w:t>无</w:t>
      </w:r>
    </w:p>
    <w:p>
      <w:pPr>
        <w:pStyle w:val="2"/>
        <w:widowControl/>
        <w:numPr>
          <w:ilvl w:val="0"/>
          <w:numId w:val="4"/>
        </w:numPr>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国有资本经营预算支出情况</w:t>
      </w:r>
    </w:p>
    <w:p>
      <w:pPr>
        <w:pStyle w:val="2"/>
        <w:widowControl/>
        <w:spacing w:beforeAutospacing="0" w:afterAutospacing="0" w:line="600" w:lineRule="atLeast"/>
        <w:ind w:left="640" w:firstLine="1280" w:firstLineChars="400"/>
        <w:jc w:val="both"/>
        <w:rPr>
          <w:rFonts w:ascii="仿宋" w:hAnsi="仿宋" w:eastAsia="仿宋" w:cs="仿宋"/>
          <w:b/>
          <w:bCs/>
          <w:sz w:val="32"/>
          <w:szCs w:val="32"/>
        </w:rPr>
      </w:pPr>
      <w:r>
        <w:rPr>
          <w:rFonts w:hint="eastAsia" w:ascii="仿宋" w:hAnsi="仿宋" w:eastAsia="仿宋" w:cs="仿宋"/>
          <w:b/>
          <w:bCs/>
          <w:sz w:val="32"/>
          <w:szCs w:val="32"/>
        </w:rPr>
        <w:t>无</w:t>
      </w:r>
    </w:p>
    <w:p>
      <w:pPr>
        <w:pStyle w:val="2"/>
        <w:widowControl/>
        <w:numPr>
          <w:ilvl w:val="0"/>
          <w:numId w:val="4"/>
        </w:numPr>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社会保险基金预算支出情况</w:t>
      </w:r>
    </w:p>
    <w:p>
      <w:pPr>
        <w:pStyle w:val="2"/>
        <w:widowControl/>
        <w:spacing w:beforeAutospacing="0" w:afterAutospacing="0" w:line="600" w:lineRule="atLeast"/>
        <w:ind w:left="640" w:firstLine="640" w:firstLineChars="200"/>
        <w:jc w:val="both"/>
        <w:rPr>
          <w:rFonts w:ascii="仿宋" w:hAnsi="仿宋" w:eastAsia="仿宋" w:cs="仿宋"/>
          <w:b/>
          <w:bCs/>
          <w:sz w:val="32"/>
          <w:szCs w:val="32"/>
        </w:rPr>
      </w:pPr>
      <w:r>
        <w:rPr>
          <w:rFonts w:hint="eastAsia" w:ascii="仿宋" w:hAnsi="仿宋" w:eastAsia="仿宋" w:cs="仿宋"/>
          <w:b/>
          <w:bCs/>
          <w:sz w:val="32"/>
          <w:szCs w:val="32"/>
        </w:rPr>
        <w:t>每月按实际支出划拨。</w:t>
      </w:r>
    </w:p>
    <w:p>
      <w:pPr>
        <w:pStyle w:val="2"/>
        <w:widowControl/>
        <w:numPr>
          <w:ilvl w:val="0"/>
          <w:numId w:val="4"/>
        </w:numPr>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部门整体支出绩效情况</w:t>
      </w:r>
    </w:p>
    <w:p>
      <w:pPr>
        <w:widowControl/>
        <w:spacing w:line="560" w:lineRule="exac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2021年以来，新田县公安局交通管理大队在县委、县政府的正确领导下，在县局党委的关心指导下，大队深入贯彻学习习近平新时代中国特色社会主义思想和党的十九大及两会精神，将“对党忠诚、服务人民、执法公正、纪律严明”作为政治担当，坚持以人民为中心的发展理念和靠前一步、主动作为的警务理念，紧紧围绕庆祝建党100周年道路交通安保主线，以政法队伍教育整顿和党史学习教育为政治引领，以道路交通事故预防“减量控大”为工作抓手，</w:t>
      </w:r>
      <w:r>
        <w:rPr>
          <w:rFonts w:hint="eastAsia" w:ascii="仿宋" w:hAnsi="仿宋" w:eastAsia="仿宋" w:cs="仿宋"/>
          <w:color w:val="292929"/>
          <w:kern w:val="0"/>
          <w:sz w:val="32"/>
          <w:szCs w:val="32"/>
          <w:shd w:val="clear" w:color="auto" w:fill="FFFFFF"/>
        </w:rPr>
        <w:t>统筹推进道路</w:t>
      </w:r>
      <w:r>
        <w:rPr>
          <w:rFonts w:hint="eastAsia" w:ascii="仿宋" w:hAnsi="仿宋" w:eastAsia="仿宋" w:cs="仿宋"/>
          <w:color w:val="000000"/>
          <w:kern w:val="0"/>
          <w:sz w:val="32"/>
          <w:szCs w:val="32"/>
          <w:shd w:val="clear" w:color="auto" w:fill="FFFFFF"/>
        </w:rPr>
        <w:t>交通管理工作，</w:t>
      </w:r>
      <w:r>
        <w:rPr>
          <w:rFonts w:hint="eastAsia" w:ascii="仿宋" w:hAnsi="仿宋" w:eastAsia="仿宋" w:cs="仿宋"/>
          <w:color w:val="000000"/>
          <w:spacing w:val="15"/>
          <w:sz w:val="32"/>
          <w:szCs w:val="32"/>
          <w:shd w:val="clear" w:color="auto" w:fill="FFFFFF"/>
        </w:rPr>
        <w:t>2021年度，辖区死亡交通事故发生起数和事故亡人数同比去年下降了34.5%，</w:t>
      </w:r>
      <w:r>
        <w:rPr>
          <w:rFonts w:hint="eastAsia" w:ascii="仿宋" w:hAnsi="仿宋" w:eastAsia="仿宋" w:cs="仿宋"/>
          <w:sz w:val="32"/>
          <w:szCs w:val="32"/>
        </w:rPr>
        <w:t>人民群众交通出行安全感得到进一步增强。</w:t>
      </w:r>
    </w:p>
    <w:p>
      <w:pPr>
        <w:widowControl/>
        <w:spacing w:line="560" w:lineRule="exact"/>
        <w:jc w:val="left"/>
        <w:rPr>
          <w:rFonts w:ascii="仿宋" w:hAnsi="仿宋" w:eastAsia="仿宋" w:cs="仿宋"/>
          <w:b/>
          <w:bCs/>
          <w:sz w:val="32"/>
          <w:szCs w:val="32"/>
        </w:rPr>
      </w:pPr>
      <w:r>
        <w:rPr>
          <w:rFonts w:hint="eastAsia" w:ascii="仿宋" w:hAnsi="仿宋" w:eastAsia="仿宋" w:cs="仿宋"/>
          <w:b/>
          <w:bCs/>
          <w:color w:val="000000"/>
          <w:kern w:val="0"/>
          <w:sz w:val="32"/>
          <w:szCs w:val="32"/>
          <w:shd w:val="clear" w:color="auto" w:fill="FFFFFF"/>
        </w:rPr>
        <w:t xml:space="preserve">    一.以党建为引领，全面加强政治建警 </w:t>
      </w:r>
    </w:p>
    <w:p>
      <w:pPr>
        <w:widowControl/>
        <w:spacing w:line="560" w:lineRule="exact"/>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 xml:space="preserve">    大队始终把党的政治建设放在首位，坚持政治建警、党建引领，深入开展政法队伍教育整顿工作和党史学习教育，严格落实全面从严治党主体责任，全面推进党支部规范化建设，切实把政治建警激发出来的履职担当、干事创业热情转化为交通管理工作的坚实保障。 </w:t>
      </w:r>
    </w:p>
    <w:p>
      <w:pPr>
        <w:widowControl/>
        <w:spacing w:line="560" w:lineRule="exact"/>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 xml:space="preserve">    </w:t>
      </w:r>
      <w:r>
        <w:rPr>
          <w:rFonts w:hint="eastAsia" w:ascii="仿宋" w:hAnsi="仿宋" w:eastAsia="仿宋" w:cs="仿宋"/>
          <w:b/>
          <w:bCs/>
          <w:color w:val="000000"/>
          <w:kern w:val="0"/>
          <w:sz w:val="32"/>
          <w:szCs w:val="32"/>
          <w:shd w:val="clear" w:color="auto" w:fill="FFFFFF"/>
        </w:rPr>
        <w:t>(一)认真履行全面从严治党主体职责。</w:t>
      </w:r>
      <w:r>
        <w:rPr>
          <w:rFonts w:hint="eastAsia" w:ascii="仿宋" w:hAnsi="仿宋" w:eastAsia="仿宋" w:cs="仿宋"/>
          <w:color w:val="000000"/>
          <w:kern w:val="0"/>
          <w:sz w:val="32"/>
          <w:szCs w:val="32"/>
          <w:shd w:val="clear" w:color="auto" w:fill="FFFFFF"/>
        </w:rPr>
        <w:t xml:space="preserve">大队党支部坚决贯彻落实上级党委决策部署，在思想上、政治上、行动上与上级党组织保持高度一致，认真履行全面从严治党主体责任，自觉践行“两个维护”，严格执行民主议事制度，严明政治纪律和政治规矩，严格落实中央八项规定及其实施细则精神，严格执行党风廉政建设责任制和意识形态工作责任制。 </w:t>
      </w:r>
    </w:p>
    <w:p>
      <w:pPr>
        <w:widowControl/>
        <w:spacing w:line="560" w:lineRule="exact"/>
        <w:ind w:firstLine="600"/>
        <w:jc w:val="left"/>
        <w:rPr>
          <w:rFonts w:ascii="仿宋" w:hAnsi="仿宋" w:eastAsia="仿宋" w:cs="仿宋"/>
          <w:sz w:val="32"/>
          <w:szCs w:val="32"/>
        </w:rPr>
      </w:pPr>
      <w:r>
        <w:rPr>
          <w:rFonts w:hint="eastAsia" w:ascii="仿宋" w:hAnsi="仿宋" w:eastAsia="仿宋" w:cs="仿宋"/>
          <w:b/>
          <w:bCs/>
          <w:color w:val="000000"/>
          <w:kern w:val="0"/>
          <w:sz w:val="32"/>
          <w:szCs w:val="32"/>
          <w:shd w:val="clear" w:color="auto" w:fill="FFFFFF"/>
        </w:rPr>
        <w:t>(二)全面推进基层党建工作。</w:t>
      </w:r>
      <w:r>
        <w:rPr>
          <w:rFonts w:hint="eastAsia" w:ascii="仿宋" w:hAnsi="仿宋" w:eastAsia="仿宋" w:cs="仿宋"/>
          <w:color w:val="000000"/>
          <w:kern w:val="0"/>
          <w:sz w:val="32"/>
          <w:szCs w:val="32"/>
          <w:shd w:val="clear" w:color="auto" w:fill="FFFFFF"/>
        </w:rPr>
        <w:t>按照《2021年新田县基层党建工作要点》的要求，大队从党支部基础性工作做起，以党建工作要点为抓手，认真落实“三会一课”、组织生活会、谈心谈话等制度及主题党日活动，明确每月召开理论中心组学习研讨会，各党小组每月至少开展一次以上集中学习、研讨活动，鼓励党员积极撰写学习心得体会、调研文章，使所学知识入脑入心、学以致用，提高党员政治素质、党性修养，2021年1至11月份，大队共组织理论学习中心组集体学习11次，召开支委会议11次，主题党日活动11次，为全体党员上党课3次，召开党员大会开展学习活动、观看红色电影、远程视频等4次，组织召开党小组会议33次，开展意识形态分析研判会议4次，共帮扶思想滑坡民警4人，保证了队伍思想的高度纯洁，为大力实施“三区四地”战略，奋力建设现代化新新田提供坚强组织保证，以优异成绩庆祝建党100周年。</w:t>
      </w:r>
    </w:p>
    <w:p>
      <w:pPr>
        <w:widowControl/>
        <w:spacing w:line="560" w:lineRule="exact"/>
        <w:ind w:firstLine="600"/>
        <w:jc w:val="left"/>
        <w:rPr>
          <w:rFonts w:ascii="仿宋" w:hAnsi="仿宋" w:eastAsia="仿宋" w:cs="仿宋"/>
          <w:sz w:val="32"/>
          <w:szCs w:val="32"/>
        </w:rPr>
      </w:pPr>
      <w:r>
        <w:rPr>
          <w:rFonts w:hint="eastAsia" w:ascii="仿宋" w:hAnsi="仿宋" w:eastAsia="仿宋" w:cs="仿宋"/>
          <w:b/>
          <w:bCs/>
          <w:color w:val="000000"/>
          <w:kern w:val="0"/>
          <w:sz w:val="32"/>
          <w:szCs w:val="32"/>
          <w:shd w:val="clear" w:color="auto" w:fill="FFFFFF"/>
        </w:rPr>
        <w:t>（三）开展政法队伍教育整顿工作和党史学习教育工作。</w:t>
      </w:r>
      <w:r>
        <w:rPr>
          <w:rFonts w:hint="eastAsia" w:ascii="仿宋" w:hAnsi="仿宋" w:eastAsia="仿宋" w:cs="仿宋"/>
          <w:color w:val="000000"/>
          <w:kern w:val="0"/>
          <w:sz w:val="32"/>
          <w:szCs w:val="32"/>
          <w:shd w:val="clear" w:color="auto" w:fill="FFFFFF"/>
        </w:rPr>
        <w:t>大队坚持最高政治站位、最严工作标准，把政法教育整顿工作作为首要政治任务，抽调专人成立教育整顿办公室，具体负责教育整顿工作的组织实施。一是突出政治教育引领。大队将学习教育贯彻始终，通过学习教育环节组织开展政治夜学、党支部书记讲党课、收听收看专题讲座、举办党史学习教育专题研讨会、观看警示教育片等活动，教育整顿环节组织深入学习贯彻习近平总书记关于加强政法队伍和公安队伍建设的重要指示和训词精神，增强政治自觉，筑牢忠诚警魂，做到学思用贯通、知信行合一。二是深入查纠整改。大队聚焦群众观反映强烈的热点、制约严格公正执法的堵点、影响交警队伍建设的难点，围绕“6+N”专项突出问题整治，坚持民意导向、问题导向，通过召开“自查从宽、被查从严”政策宣讲会，组织开展“七个自查”活动，围绕“五必谈、六重点”开展谈心谈话活动，发放征求意见表广泛征求意见和建议，召开组织生活会开展批评与自我批评等活动，深入查摆剖析顽瘴痼疾等突出问题。教育整顿工作期间，大队组织召开研讨交流会10余次，全体民辅警共撰写学习笔记130余篇、心得体会130余篇、个人剖析材料30余篇。</w:t>
      </w:r>
      <w:r>
        <w:rPr>
          <w:rFonts w:hint="eastAsia" w:ascii="仿宋" w:hAnsi="仿宋" w:eastAsia="仿宋" w:cs="仿宋"/>
          <w:sz w:val="32"/>
          <w:szCs w:val="32"/>
        </w:rPr>
        <w:t>整治政法干警及其家属违规从事经营活动，违规参股借贷问题情况总计排查干警及其家属11人，排查干警及其家属违规从事经营活动1件，给予党内警告处分1人。</w:t>
      </w:r>
      <w:r>
        <w:rPr>
          <w:rFonts w:hint="eastAsia" w:ascii="仿宋" w:hAnsi="仿宋" w:eastAsia="仿宋" w:cs="仿宋"/>
          <w:color w:val="000000"/>
          <w:kern w:val="0"/>
          <w:sz w:val="32"/>
          <w:szCs w:val="32"/>
          <w:shd w:val="clear" w:color="auto" w:fill="FFFFFF"/>
        </w:rPr>
        <w:t xml:space="preserve">通过教育整顿工作和党史学习教育工作的开展，大队全体民警辅警进一步增强了“四个意识”、坚定“四个自信”、做到“两个维护”，夯实高举旗帜、听党指挥、忠诚使命的思想根基，实现了队伍面貌大改观、业务工作大提升、管理服务双促进的目标。 </w:t>
      </w:r>
    </w:p>
    <w:p>
      <w:pPr>
        <w:widowControl/>
        <w:spacing w:line="560" w:lineRule="exact"/>
        <w:jc w:val="left"/>
        <w:rPr>
          <w:rFonts w:ascii="仿宋" w:hAnsi="仿宋" w:eastAsia="仿宋" w:cs="仿宋"/>
          <w:b/>
          <w:bCs/>
          <w:sz w:val="32"/>
          <w:szCs w:val="32"/>
        </w:rPr>
      </w:pPr>
      <w:r>
        <w:rPr>
          <w:rFonts w:hint="eastAsia" w:ascii="仿宋" w:hAnsi="仿宋" w:eastAsia="仿宋" w:cs="仿宋"/>
          <w:b/>
          <w:bCs/>
          <w:color w:val="000000"/>
          <w:kern w:val="0"/>
          <w:sz w:val="32"/>
          <w:szCs w:val="32"/>
          <w:shd w:val="clear" w:color="auto" w:fill="FFFFFF"/>
        </w:rPr>
        <w:t xml:space="preserve">    二.突出工作重点，做强主责主业 </w:t>
      </w:r>
    </w:p>
    <w:p>
      <w:pPr>
        <w:widowControl/>
        <w:numPr>
          <w:ilvl w:val="0"/>
          <w:numId w:val="5"/>
        </w:numPr>
        <w:adjustRightInd w:val="0"/>
        <w:snapToGrid w:val="0"/>
        <w:spacing w:line="560" w:lineRule="exact"/>
        <w:ind w:firstLine="640"/>
        <w:rPr>
          <w:rFonts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道路交通领域安全生产工作。</w:t>
      </w:r>
      <w:r>
        <w:rPr>
          <w:rFonts w:hint="eastAsia" w:ascii="仿宋" w:hAnsi="仿宋" w:eastAsia="仿宋" w:cs="仿宋"/>
          <w:color w:val="000000"/>
          <w:kern w:val="0"/>
          <w:sz w:val="32"/>
          <w:szCs w:val="32"/>
          <w:shd w:val="clear" w:color="auto" w:fill="FFFFFF"/>
        </w:rPr>
        <w:t>大队牢固树立“事故可防、事故必防”的理念，对标道路交通安全管理责任清单，以道路运输安全专项整治三年行动为契机，深入全面排查整治道路交通管理工作中存在的风险隐患，以“两客一危一货”、工程车、面包车、校车为管控重点，强化重点车辆源头监管和路面查控，发现道路交通违法行为严查必纠，确保安全通行隐患迅速消除。同时，对辖区重点企业存在的道路安全隐患进行全面摸排，下达隐患整改通知书，督促相关责任部门整改落实。今年以来，大队联合相关部门深入重点源头企业开展联合检查29次，下达隐患整改通知书9份，全部建立隐患排查台账，限期整改到位，约谈企业负责人及重点车辆驾驶员30余人，大队每周还至少到各乡镇开展路面联合执法2次，重点整治两客一危一校、拖拉机、农用车、非法改拼装车、渣土车、工程车违法行为。</w:t>
      </w:r>
      <w:r>
        <w:rPr>
          <w:rFonts w:hint="eastAsia" w:ascii="仿宋" w:hAnsi="仿宋" w:eastAsia="仿宋" w:cs="仿宋"/>
          <w:sz w:val="32"/>
          <w:szCs w:val="32"/>
        </w:rPr>
        <w:t>全县5台57座以上大客车在县委、县政府的高度重视下全部淘汰完毕，有效消除了安全隐患。</w:t>
      </w:r>
    </w:p>
    <w:p>
      <w:pPr>
        <w:widowControl/>
        <w:spacing w:line="560" w:lineRule="exact"/>
        <w:ind w:firstLine="600"/>
        <w:jc w:val="left"/>
        <w:rPr>
          <w:rFonts w:ascii="仿宋" w:hAnsi="仿宋" w:eastAsia="仿宋" w:cs="仿宋"/>
          <w:sz w:val="32"/>
          <w:szCs w:val="32"/>
        </w:rPr>
      </w:pPr>
      <w:r>
        <w:rPr>
          <w:rFonts w:hint="eastAsia" w:ascii="仿宋" w:hAnsi="仿宋" w:eastAsia="仿宋" w:cs="仿宋"/>
          <w:b/>
          <w:bCs/>
          <w:color w:val="000000"/>
          <w:kern w:val="0"/>
          <w:sz w:val="32"/>
          <w:szCs w:val="32"/>
          <w:shd w:val="clear" w:color="auto" w:fill="FFFFFF"/>
        </w:rPr>
        <w:t>（二）城区疏堵保畅通工作。</w:t>
      </w:r>
      <w:r>
        <w:rPr>
          <w:rFonts w:hint="eastAsia" w:ascii="仿宋" w:hAnsi="仿宋" w:eastAsia="仿宋" w:cs="仿宋"/>
          <w:color w:val="000000"/>
          <w:kern w:val="0"/>
          <w:sz w:val="32"/>
          <w:szCs w:val="32"/>
          <w:shd w:val="clear" w:color="auto" w:fill="FFFFFF"/>
        </w:rPr>
        <w:t>大队严格落实主城区交通网格化管理措施，全力保障路面交通秩序管理，强化显性用警，突出路面见警率，提高路面管事率。一是优化交通组织。深入排查梳理辖区堵点乱点，建立详细台账，每个堵点逐一分析，逐一制定工作措施，坚持一点一策，结合“路长制”科学调整勤务组织，将警力向拥堵路段和拥堵路口倾斜，防止长时间、长距离拥堵问题发生。二是优化交通设施。关注细节，进一步完善交通设施，通过优化道路交通信号灯配时、调整城区主干道掉头口，积极配合相关部门，加快做好路口升级改造，复新施划道路标线，充分发挥交通设施的引导和约束作用；三是提升疏堵保畅能力。组织开展队列和指挥手势培训，切实通过严整的警容风纪、标准的手势动作、规范的动态走位，提高疏堵保畅能力，提升队伍执勤形象，展示良好精神面貌。</w:t>
      </w:r>
      <w:r>
        <w:rPr>
          <w:rFonts w:hint="eastAsia" w:ascii="仿宋" w:hAnsi="仿宋" w:eastAsia="仿宋" w:cs="仿宋"/>
          <w:sz w:val="32"/>
          <w:szCs w:val="32"/>
        </w:rPr>
        <w:t>今年来，大队利用电子警察系统抓拍闯红灯16189起，不停车礼让行人9461起，未系安全带4418起，开车拨打手机4880起，超速行驶605起</w:t>
      </w:r>
      <w:r>
        <w:rPr>
          <w:rFonts w:hint="eastAsia" w:ascii="仿宋" w:hAnsi="仿宋" w:eastAsia="仿宋" w:cs="仿宋"/>
          <w:color w:val="000000"/>
          <w:kern w:val="0"/>
          <w:sz w:val="32"/>
          <w:szCs w:val="32"/>
          <w:shd w:val="clear" w:color="auto" w:fill="FFFFFF"/>
        </w:rPr>
        <w:t>。</w:t>
      </w:r>
    </w:p>
    <w:p>
      <w:pPr>
        <w:spacing w:line="560" w:lineRule="exact"/>
        <w:ind w:firstLine="600"/>
        <w:rPr>
          <w:rFonts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（三）道路交通事故预防“减量控大”工作。</w:t>
      </w:r>
      <w:r>
        <w:rPr>
          <w:rFonts w:hint="eastAsia" w:ascii="仿宋" w:hAnsi="仿宋" w:eastAsia="仿宋" w:cs="仿宋"/>
          <w:color w:val="000000"/>
          <w:kern w:val="0"/>
          <w:sz w:val="32"/>
          <w:szCs w:val="32"/>
          <w:shd w:val="clear" w:color="auto" w:fill="FFFFFF"/>
        </w:rPr>
        <w:t>大队锚定事故预防“减量控大”目标，做强交通管理防事故、保安全、保畅通主责主业。一是深化重点车辆和驾驶人源头管理。突出“两客一危一货”、农村面包车、“营转非”大客车等重点车辆监管，今年以来，大队检验危化品车辆19台、校车102台、大中型客车91台、公交车46台，共督促驾驶人审验、换证10999多人次，满分学习472人.今年来，大队八类重点车辆登记率、检验率、报废率均达到100%，重点驾驶人的审验率、换证率分别达到100%、98%以上。二是强化道路交通安全隐患整治。大队积极联合县公路、交通、乡镇等部门，对辖区国省道及县乡道路交通事故多发点段开展动态隐患排查，报请县交通问题顽瘴痼疾整治办进行挂牌督办，下发道路交通安全隐患整改督办函，督促相关责任部门落实整改。今年以来，报请县交通问题顽瘴痼疾整治办进行挂牌督办隐患点25处，已全部整改到位。</w:t>
      </w:r>
    </w:p>
    <w:p>
      <w:pPr>
        <w:spacing w:line="560" w:lineRule="exact"/>
        <w:rPr>
          <w:rFonts w:ascii="仿宋" w:hAnsi="仿宋" w:eastAsia="仿宋" w:cs="仿宋"/>
          <w:sz w:val="32"/>
          <w:szCs w:val="32"/>
        </w:rPr>
      </w:pPr>
      <w:r>
        <w:rPr>
          <w:rFonts w:hint="eastAsia" w:ascii="仿宋" w:hAnsi="仿宋" w:eastAsia="仿宋" w:cs="仿宋"/>
          <w:b/>
          <w:bCs/>
          <w:color w:val="000000"/>
          <w:kern w:val="0"/>
          <w:sz w:val="32"/>
          <w:szCs w:val="32"/>
          <w:shd w:val="clear" w:color="auto" w:fill="FFFFFF"/>
        </w:rPr>
        <w:t xml:space="preserve">    （四）交通问题顽瘴痼疾集中整治行动工作。</w:t>
      </w:r>
      <w:r>
        <w:rPr>
          <w:rFonts w:hint="eastAsia" w:ascii="仿宋" w:hAnsi="仿宋" w:eastAsia="仿宋" w:cs="仿宋"/>
          <w:color w:val="000000"/>
          <w:kern w:val="0"/>
          <w:sz w:val="32"/>
          <w:szCs w:val="32"/>
          <w:shd w:val="clear" w:color="auto" w:fill="FFFFFF"/>
        </w:rPr>
        <w:t>大队</w:t>
      </w:r>
      <w:r>
        <w:rPr>
          <w:rFonts w:hint="eastAsia" w:ascii="仿宋" w:hAnsi="仿宋" w:eastAsia="仿宋" w:cs="仿宋"/>
          <w:sz w:val="32"/>
          <w:szCs w:val="32"/>
        </w:rPr>
        <w:t>首先是常态化实施农村“六个严禁”、城市“六个严查” 措施，采取区域联合整治、“逢五”“逢十”统一行动、周末夜查、定点盘查、路面巡查等方式对道路交通违法行为进行严厉整治。今年1至11月，全县共查处各类道路交通违法行为17857起，其中酒醉驾418起，城市工程车野蛮驾驶234起，城市公交车、出租车违法350起，涉牌涉证583起，摩托车、电动车不戴安全头盔9112起，货车超载、客车超员677起，低速货车、拖拉机违法载人502起,其他交通违法行为5981起。刑事拘留173人（其中危险驾驶刑拘158人，交通肇事刑拘15人），行政拘留49人。起到了强烈的社会震慑作用。其次是重点违法整治专项化。在整治工程运输车交通违法行为中，由大队领导包保路段带队查违法、纠违章，今年以来，全县共查处工程运输车、货车交通违法行为274起，查获“百吨王”车辆16台，全县涉工程、货车道路交通事故发生率同比下降24.78%；为遏制涉摩涉电车辆交通事故，从去年8月20日开始开展了摩托车电动车“盔·带风暴”集中整治专项行动，全面整治摩托车电动车8类违法行为，至今，已查处摩托车现场违法9648起，非机动车违法2082起，教育违法行为人1721人次，劝导、制止违法789人次，全县涉摩涉电一般道路交通事故，环比下降21.8%。</w:t>
      </w:r>
    </w:p>
    <w:p>
      <w:pPr>
        <w:widowControl/>
        <w:spacing w:line="560" w:lineRule="exact"/>
        <w:ind w:firstLine="600"/>
        <w:jc w:val="left"/>
        <w:rPr>
          <w:rFonts w:ascii="仿宋" w:hAnsi="仿宋" w:eastAsia="仿宋" w:cs="仿宋"/>
          <w:sz w:val="32"/>
          <w:szCs w:val="32"/>
        </w:rPr>
      </w:pPr>
      <w:r>
        <w:rPr>
          <w:rFonts w:hint="eastAsia" w:ascii="仿宋" w:hAnsi="仿宋" w:eastAsia="仿宋" w:cs="仿宋"/>
          <w:b/>
          <w:bCs/>
          <w:color w:val="000000"/>
          <w:kern w:val="0"/>
          <w:sz w:val="32"/>
          <w:szCs w:val="32"/>
          <w:shd w:val="clear" w:color="auto" w:fill="FFFFFF"/>
        </w:rPr>
        <w:t>（五）多元化开展交通安全宣传。</w:t>
      </w:r>
      <w:r>
        <w:rPr>
          <w:rFonts w:hint="eastAsia" w:ascii="仿宋" w:hAnsi="仿宋" w:eastAsia="仿宋" w:cs="仿宋"/>
          <w:color w:val="000000"/>
          <w:kern w:val="0"/>
          <w:sz w:val="32"/>
          <w:szCs w:val="32"/>
          <w:shd w:val="clear" w:color="auto" w:fill="FFFFFF"/>
        </w:rPr>
        <w:t>大队利用交通安全“七进”宣传活动，深入辖区企事业单位、街道农村社区、中小学校，积极组织开展了利用农村地区“大喇叭”、打造“最强声音”，利用整治宣传“大结合”、打造“最强氛围”等特色宣传活动。通过曝光典型案例、宣讲交通法律法规等系列主题宣传活动，进一步普及道路交通法律法规，提升辖区群众文明交通出行意识。今年以来，</w:t>
      </w:r>
      <w:r>
        <w:rPr>
          <w:rFonts w:hint="eastAsia" w:ascii="仿宋" w:hAnsi="仿宋" w:eastAsia="仿宋" w:cs="仿宋"/>
          <w:sz w:val="32"/>
          <w:szCs w:val="32"/>
        </w:rPr>
        <w:t>大队共搜集工作亮点、动态信息204条，其中被中央媒体采稿1条，省级媒体采稿45条，市级媒体采稿122条，县级媒体采稿36条，</w:t>
      </w:r>
      <w:r>
        <w:rPr>
          <w:rFonts w:hint="eastAsia" w:ascii="仿宋" w:hAnsi="仿宋" w:eastAsia="仿宋" w:cs="仿宋"/>
          <w:color w:val="000000"/>
          <w:kern w:val="0"/>
          <w:sz w:val="32"/>
          <w:szCs w:val="32"/>
          <w:shd w:val="clear" w:color="auto" w:fill="FFFFFF"/>
        </w:rPr>
        <w:t xml:space="preserve">组织宣传活动38次，进农村宣传29次，发放宣传资料30000余份。 </w:t>
      </w:r>
    </w:p>
    <w:p>
      <w:pPr>
        <w:pStyle w:val="2"/>
        <w:widowControl/>
        <w:spacing w:beforeAutospacing="0" w:afterAutospacing="0" w:line="580" w:lineRule="exact"/>
        <w:ind w:firstLine="640" w:firstLineChars="200"/>
        <w:rPr>
          <w:rFonts w:ascii="仿宋" w:hAnsi="仿宋" w:eastAsia="仿宋" w:cs="仿宋"/>
          <w:b/>
          <w:bCs/>
          <w:kern w:val="2"/>
          <w:sz w:val="32"/>
          <w:szCs w:val="32"/>
        </w:rPr>
      </w:pPr>
      <w:r>
        <w:rPr>
          <w:rFonts w:hint="eastAsia" w:ascii="仿宋" w:hAnsi="仿宋" w:eastAsia="仿宋" w:cs="仿宋"/>
          <w:b/>
          <w:bCs/>
          <w:kern w:val="2"/>
          <w:sz w:val="32"/>
          <w:szCs w:val="32"/>
        </w:rPr>
        <w:t>三.面临形势及存在问题</w:t>
      </w:r>
    </w:p>
    <w:p>
      <w:pPr>
        <w:pStyle w:val="2"/>
        <w:widowControl/>
        <w:spacing w:beforeAutospacing="0" w:afterAutospacing="0" w:line="58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通过全警不懈的努力，全县道路交通安全管理工作取得了较为明显的成效，但是从道路交通安全形势总体的分析研判来看，仍存在着一定的短板和不足，主要表现在三个方面。</w:t>
      </w:r>
    </w:p>
    <w:p>
      <w:pPr>
        <w:pStyle w:val="2"/>
        <w:widowControl/>
        <w:spacing w:beforeAutospacing="0" w:afterAutospacing="0" w:line="580" w:lineRule="exact"/>
        <w:ind w:firstLine="640" w:firstLineChars="200"/>
        <w:rPr>
          <w:rFonts w:ascii="仿宋" w:hAnsi="仿宋" w:eastAsia="仿宋" w:cs="仿宋"/>
          <w:kern w:val="2"/>
          <w:sz w:val="32"/>
          <w:szCs w:val="32"/>
        </w:rPr>
      </w:pPr>
      <w:r>
        <w:rPr>
          <w:rFonts w:hint="eastAsia" w:ascii="仿宋" w:hAnsi="仿宋" w:eastAsia="仿宋" w:cs="仿宋"/>
          <w:b/>
          <w:bCs/>
          <w:kern w:val="2"/>
          <w:sz w:val="32"/>
          <w:szCs w:val="32"/>
        </w:rPr>
        <w:t>（一）交通安全风险防范形势依然严峻。</w:t>
      </w:r>
      <w:r>
        <w:rPr>
          <w:rFonts w:hint="eastAsia" w:ascii="仿宋" w:hAnsi="仿宋" w:eastAsia="仿宋" w:cs="仿宋"/>
          <w:kern w:val="2"/>
          <w:sz w:val="32"/>
          <w:szCs w:val="32"/>
        </w:rPr>
        <w:t>通过今年以来的死亡道路交通事故来看，预防道路交通事故的压力依然较大。事故总量仍在高位状态、电动车无序出行和摩托车营运载客、面包车超员上路、货车超载运营、农用车违法载人等安全隐患的存在，造成道路交通安全面临的形势依然严峻。</w:t>
      </w:r>
    </w:p>
    <w:p>
      <w:pPr>
        <w:pStyle w:val="2"/>
        <w:widowControl/>
        <w:spacing w:beforeAutospacing="0" w:afterAutospacing="0" w:line="580" w:lineRule="exact"/>
        <w:ind w:firstLine="640" w:firstLineChars="200"/>
        <w:rPr>
          <w:rFonts w:ascii="仿宋" w:hAnsi="仿宋" w:eastAsia="仿宋" w:cs="仿宋"/>
          <w:kern w:val="2"/>
          <w:sz w:val="32"/>
          <w:szCs w:val="32"/>
        </w:rPr>
      </w:pPr>
      <w:r>
        <w:rPr>
          <w:rFonts w:hint="eastAsia" w:ascii="仿宋" w:hAnsi="仿宋" w:eastAsia="仿宋" w:cs="仿宋"/>
          <w:b/>
          <w:bCs/>
          <w:kern w:val="2"/>
          <w:sz w:val="32"/>
          <w:szCs w:val="32"/>
        </w:rPr>
        <w:t>（二）交通安全管理的社会协同合力有待再强化。</w:t>
      </w:r>
      <w:r>
        <w:rPr>
          <w:rFonts w:hint="eastAsia" w:ascii="仿宋" w:hAnsi="仿宋" w:eastAsia="仿宋" w:cs="仿宋"/>
          <w:kern w:val="2"/>
          <w:sz w:val="32"/>
          <w:szCs w:val="32"/>
        </w:rPr>
        <w:t>县直各部门、乡镇、街道的作用发挥不到位，对道路交通安全管理工作的重视程度参差不齐，相关的职责未履行或履行不到位，相关责任未压实，全县道路交通安全管理合成共治的意识、动力、措施、氛围尚需进一步的强化和推动。</w:t>
      </w:r>
    </w:p>
    <w:p>
      <w:pPr>
        <w:pStyle w:val="2"/>
        <w:widowControl/>
        <w:spacing w:beforeAutospacing="0" w:afterAutospacing="0" w:line="580" w:lineRule="exact"/>
        <w:ind w:firstLine="640" w:firstLineChars="200"/>
        <w:rPr>
          <w:rFonts w:ascii="仿宋" w:hAnsi="仿宋" w:eastAsia="仿宋" w:cs="仿宋"/>
          <w:kern w:val="2"/>
          <w:sz w:val="32"/>
          <w:szCs w:val="32"/>
        </w:rPr>
      </w:pPr>
      <w:r>
        <w:rPr>
          <w:rFonts w:hint="eastAsia" w:ascii="仿宋" w:hAnsi="仿宋" w:eastAsia="仿宋" w:cs="仿宋"/>
          <w:b/>
          <w:bCs/>
          <w:kern w:val="2"/>
          <w:sz w:val="32"/>
          <w:szCs w:val="32"/>
        </w:rPr>
        <w:t>（三）群众交通安全意识有待再提升。</w:t>
      </w:r>
      <w:r>
        <w:rPr>
          <w:rFonts w:hint="eastAsia" w:ascii="仿宋" w:hAnsi="仿宋" w:eastAsia="仿宋" w:cs="仿宋"/>
          <w:kern w:val="2"/>
          <w:sz w:val="32"/>
          <w:szCs w:val="32"/>
        </w:rPr>
        <w:t>辖区群众安全出行的意识不足，造成不文明出行的行为多发。从城区来看，乱停乱放屡禁不止，驾乘电动车不戴头盔的现象普遍，电动车占道行驶、逆向行驶、冲闯信号等行为多发。从农村地区来看，面包车超员依然存在，货车、电动三轮车载人时有发生，交通事故多发。</w:t>
      </w:r>
    </w:p>
    <w:p>
      <w:pPr>
        <w:pStyle w:val="2"/>
        <w:widowControl/>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七、存在的问题及原因分析</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1、道路交通安全费用、安全设施运行维护费等未纳入财政预算，用有限的办公经费不能满足开支需要，严重影响交通管理工作正常开展。</w:t>
      </w:r>
    </w:p>
    <w:p>
      <w:pPr>
        <w:spacing w:line="600" w:lineRule="exact"/>
        <w:rPr>
          <w:rFonts w:ascii="仿宋" w:hAnsi="仿宋" w:eastAsia="仿宋" w:cs="仿宋"/>
          <w:sz w:val="32"/>
          <w:szCs w:val="32"/>
        </w:rPr>
      </w:pPr>
      <w:r>
        <w:rPr>
          <w:rFonts w:hint="eastAsia" w:ascii="仿宋" w:hAnsi="仿宋" w:eastAsia="仿宋" w:cs="仿宋"/>
          <w:sz w:val="32"/>
          <w:szCs w:val="32"/>
        </w:rPr>
        <w:t xml:space="preserve">   2.不能足额发放工作加班补贴，影响干警、职工的积极性，制约统计工作整体质量。由于公安交通工作社会面广、工作量大，但各地财政状况不一，有的地方安排了较充足的专项经费，有的地方经费严重不足。公安交通工作需聘请协警来补充人员不足，对他们而言，是一项临时性任务，如果没有办公经费和加班补贴，工作以应付为主，影响公安工作质量。</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3.协警工资待遇偏低，队伍不稳定变动频繁，素质参差不齐的情况普遍，对工作影响较大，客观上给工作开展造成一定的影响。</w:t>
      </w:r>
    </w:p>
    <w:p>
      <w:pPr>
        <w:pStyle w:val="2"/>
        <w:widowControl/>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八、下一步改进措施</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1、将道路交通安全费用、安全设施运行维护费纳入财政预算（另协警加班费纳入预算），增加民警、职工加班费预算。</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2.建议财政部门将基层公安工作经费设立弹性预算。根据实际情况，用于改善公安工作环境，改善办公条件，解决协警人员补助，以调动业务人员不断提高业务水平。在政策允许范围内，解决基层公安人员的岗位津贴等实际问题，增加公安人员的爱岗敬业精神，投身公安事业发展的积极性。</w:t>
      </w:r>
    </w:p>
    <w:p>
      <w:pPr>
        <w:spacing w:line="600" w:lineRule="exact"/>
        <w:ind w:firstLine="645"/>
        <w:rPr>
          <w:rFonts w:ascii="仿宋" w:hAnsi="仿宋" w:eastAsia="仿宋" w:cs="仿宋"/>
          <w:sz w:val="32"/>
          <w:szCs w:val="32"/>
        </w:rPr>
      </w:pPr>
      <w:r>
        <w:rPr>
          <w:rFonts w:hint="eastAsia" w:ascii="仿宋" w:hAnsi="仿宋" w:eastAsia="仿宋" w:cs="仿宋"/>
          <w:sz w:val="32"/>
          <w:szCs w:val="32"/>
        </w:rPr>
        <w:t>3.加强公安队伍建设，提高人员素质。加强人员业务培训工作，重点对协警进行培训，集中学习公安理论知识，计算机应用程序，以及公安工作方法和流程，从而提高基层工作人员的素质。</w:t>
      </w:r>
    </w:p>
    <w:p>
      <w:pPr>
        <w:spacing w:line="600" w:lineRule="exact"/>
        <w:ind w:firstLine="645"/>
        <w:rPr>
          <w:rFonts w:ascii="仿宋" w:hAnsi="仿宋" w:eastAsia="仿宋" w:cs="仿宋"/>
          <w:sz w:val="32"/>
          <w:szCs w:val="32"/>
        </w:rPr>
      </w:pPr>
      <w:r>
        <w:rPr>
          <w:rFonts w:hint="eastAsia" w:ascii="仿宋" w:hAnsi="仿宋" w:eastAsia="仿宋" w:cs="仿宋"/>
          <w:color w:val="333333"/>
          <w:sz w:val="32"/>
          <w:szCs w:val="32"/>
        </w:rPr>
        <w:t>4、建议县财政将转移支付资金及时下达到单位，以缩短到位时间，提高资金使用效益。</w:t>
      </w:r>
    </w:p>
    <w:p>
      <w:pPr>
        <w:pStyle w:val="2"/>
        <w:widowControl/>
        <w:spacing w:beforeAutospacing="0" w:afterAutospacing="0" w:line="600" w:lineRule="atLeast"/>
        <w:ind w:firstLine="640"/>
        <w:jc w:val="both"/>
        <w:rPr>
          <w:rFonts w:ascii="仿宋" w:hAnsi="仿宋" w:eastAsia="仿宋" w:cs="仿宋"/>
          <w:b/>
          <w:bCs/>
          <w:sz w:val="32"/>
          <w:szCs w:val="32"/>
        </w:rPr>
      </w:pPr>
    </w:p>
    <w:p>
      <w:pPr>
        <w:pStyle w:val="2"/>
        <w:widowControl/>
        <w:spacing w:beforeAutospacing="0" w:afterAutospacing="0" w:line="600" w:lineRule="atLeast"/>
        <w:ind w:firstLine="640"/>
        <w:jc w:val="both"/>
        <w:rPr>
          <w:rFonts w:ascii="仿宋" w:hAnsi="仿宋" w:eastAsia="仿宋" w:cs="仿宋"/>
          <w:b/>
          <w:bCs/>
          <w:sz w:val="32"/>
          <w:szCs w:val="32"/>
        </w:rPr>
      </w:pPr>
      <w:r>
        <w:rPr>
          <w:rFonts w:hint="eastAsia" w:ascii="仿宋" w:hAnsi="仿宋" w:eastAsia="仿宋" w:cs="仿宋"/>
          <w:b/>
          <w:bCs/>
          <w:sz w:val="32"/>
          <w:szCs w:val="32"/>
        </w:rPr>
        <w:t>其他需要说明的情况</w:t>
      </w:r>
    </w:p>
    <w:p>
      <w:pPr>
        <w:pStyle w:val="2"/>
        <w:widowControl/>
        <w:spacing w:beforeAutospacing="0" w:afterAutospacing="0"/>
        <w:ind w:firstLine="1600" w:firstLineChars="500"/>
        <w:jc w:val="both"/>
        <w:rPr>
          <w:rFonts w:ascii="仿宋" w:hAnsi="仿宋" w:eastAsia="仿宋" w:cs="仿宋"/>
          <w:sz w:val="32"/>
          <w:szCs w:val="32"/>
        </w:rPr>
      </w:pPr>
      <w:r>
        <w:rPr>
          <w:rFonts w:hint="eastAsia" w:ascii="仿宋" w:hAnsi="仿宋" w:eastAsia="仿宋" w:cs="仿宋"/>
          <w:sz w:val="32"/>
          <w:szCs w:val="32"/>
        </w:rPr>
        <w:t>无</w:t>
      </w:r>
    </w:p>
    <w:p>
      <w:pPr>
        <w:spacing w:line="600" w:lineRule="exact"/>
        <w:ind w:firstLine="640" w:firstLineChars="200"/>
        <w:rPr>
          <w:rFonts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ind w:firstLine="640" w:firstLineChars="200"/>
        <w:rPr>
          <w:rFonts w:ascii="仿宋_GB2312" w:hAnsi="仿宋_GB2312" w:eastAsia="仿宋_GB2312"/>
          <w:sz w:val="32"/>
          <w:szCs w:val="32"/>
        </w:rPr>
      </w:pPr>
    </w:p>
    <w:p>
      <w:pPr>
        <w:spacing w:line="600" w:lineRule="exact"/>
        <w:rPr>
          <w:rFonts w:ascii="仿宋_GB2312" w:hAnsi="仿宋_GB2312" w:eastAsia="仿宋_GB2312"/>
          <w:sz w:val="32"/>
          <w:szCs w:val="32"/>
        </w:rPr>
      </w:pPr>
    </w:p>
    <w:p>
      <w:pPr>
        <w:spacing w:line="600" w:lineRule="exact"/>
        <w:rPr>
          <w:rFonts w:ascii="仿宋_GB2312" w:hAnsi="仿宋_GB2312" w:eastAsia="仿宋_GB2312"/>
          <w:sz w:val="32"/>
          <w:szCs w:val="32"/>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AEAC9"/>
    <w:multiLevelType w:val="singleLevel"/>
    <w:tmpl w:val="BBCAEAC9"/>
    <w:lvl w:ilvl="0" w:tentative="0">
      <w:start w:val="1"/>
      <w:numFmt w:val="chineseCounting"/>
      <w:suff w:val="space"/>
      <w:lvlText w:val="第%1部分"/>
      <w:lvlJc w:val="left"/>
      <w:rPr>
        <w:rFonts w:hint="eastAsia"/>
      </w:rPr>
    </w:lvl>
  </w:abstractNum>
  <w:abstractNum w:abstractNumId="1">
    <w:nsid w:val="15CF28E9"/>
    <w:multiLevelType w:val="singleLevel"/>
    <w:tmpl w:val="15CF28E9"/>
    <w:lvl w:ilvl="0" w:tentative="0">
      <w:start w:val="3"/>
      <w:numFmt w:val="chineseCounting"/>
      <w:suff w:val="nothing"/>
      <w:lvlText w:val="%1、"/>
      <w:lvlJc w:val="left"/>
      <w:rPr>
        <w:rFonts w:hint="eastAsia"/>
      </w:rPr>
    </w:lvl>
  </w:abstractNum>
  <w:abstractNum w:abstractNumId="2">
    <w:nsid w:val="2903BE55"/>
    <w:multiLevelType w:val="singleLevel"/>
    <w:tmpl w:val="2903BE55"/>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A82543"/>
    <w:multiLevelType w:val="singleLevel"/>
    <w:tmpl w:val="61A82543"/>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RmZjcxNGUyZGNiYmQ1ZmRjMWYzYjZiYmJkYTA1ZWEifQ=="/>
  </w:docVars>
  <w:rsids>
    <w:rsidRoot w:val="196D3D59"/>
    <w:rsid w:val="000C69BC"/>
    <w:rsid w:val="000F2AE1"/>
    <w:rsid w:val="0030024B"/>
    <w:rsid w:val="0049185B"/>
    <w:rsid w:val="004E6BD9"/>
    <w:rsid w:val="00825E8C"/>
    <w:rsid w:val="008E42DA"/>
    <w:rsid w:val="00A2282C"/>
    <w:rsid w:val="00BF7B8F"/>
    <w:rsid w:val="00D51F61"/>
    <w:rsid w:val="00E00BB4"/>
    <w:rsid w:val="00F8186F"/>
    <w:rsid w:val="010866F4"/>
    <w:rsid w:val="02325C77"/>
    <w:rsid w:val="04616B6E"/>
    <w:rsid w:val="063D6C96"/>
    <w:rsid w:val="06804B76"/>
    <w:rsid w:val="06983C28"/>
    <w:rsid w:val="07555019"/>
    <w:rsid w:val="0A255A96"/>
    <w:rsid w:val="0DDC04A8"/>
    <w:rsid w:val="196D3D59"/>
    <w:rsid w:val="1A7B642E"/>
    <w:rsid w:val="1BB058F6"/>
    <w:rsid w:val="28004AF4"/>
    <w:rsid w:val="2DA3303F"/>
    <w:rsid w:val="2F9874C3"/>
    <w:rsid w:val="313C07EC"/>
    <w:rsid w:val="327559E0"/>
    <w:rsid w:val="338A5DCA"/>
    <w:rsid w:val="349867B7"/>
    <w:rsid w:val="3531386E"/>
    <w:rsid w:val="36431E69"/>
    <w:rsid w:val="36DC4165"/>
    <w:rsid w:val="383F5EE0"/>
    <w:rsid w:val="384A12F3"/>
    <w:rsid w:val="3A92221C"/>
    <w:rsid w:val="3B360AD8"/>
    <w:rsid w:val="41571547"/>
    <w:rsid w:val="42FC7E4A"/>
    <w:rsid w:val="470B2BE7"/>
    <w:rsid w:val="47FD5A57"/>
    <w:rsid w:val="48674BFE"/>
    <w:rsid w:val="49830D7A"/>
    <w:rsid w:val="4C8E2E4B"/>
    <w:rsid w:val="524F4336"/>
    <w:rsid w:val="5313200B"/>
    <w:rsid w:val="56EB799B"/>
    <w:rsid w:val="5753429D"/>
    <w:rsid w:val="580515D3"/>
    <w:rsid w:val="58A81A34"/>
    <w:rsid w:val="58CC01A0"/>
    <w:rsid w:val="5BDC19F5"/>
    <w:rsid w:val="5CA109BB"/>
    <w:rsid w:val="61F061FA"/>
    <w:rsid w:val="626C5880"/>
    <w:rsid w:val="636F141A"/>
    <w:rsid w:val="65B06EDB"/>
    <w:rsid w:val="672E58B2"/>
    <w:rsid w:val="68272EBB"/>
    <w:rsid w:val="6BA77733"/>
    <w:rsid w:val="6CCE10CB"/>
    <w:rsid w:val="70B6710F"/>
    <w:rsid w:val="71062E85"/>
    <w:rsid w:val="790A7FD0"/>
    <w:rsid w:val="7D8F1011"/>
    <w:rsid w:val="7E232498"/>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11187</Words>
  <Characters>12521</Characters>
  <Lines>111</Lines>
  <Paragraphs>31</Paragraphs>
  <TotalTime>60</TotalTime>
  <ScaleCrop>false</ScaleCrop>
  <LinksUpToDate>false</LinksUpToDate>
  <CharactersWithSpaces>14427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2022-10-17T00:54:00Z</dcterms:created>
  <dc:creator>Administrator</dc:creator>
  <cp:lastModifiedBy>WPS_1668157542</cp:lastModifiedBy>
  <dcterms:modified xsi:type="dcterms:W3CDTF">2023-09-25T09:17:37Z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C828F7AB557D44FFB44A0799FD72C455</vt:lpwstr>
  </property>
</Properties>
</file>