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 </w:t>
      </w: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部门整体支出绩效评价基础数据表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91" w:right="0"/>
        <w:jc w:val="center"/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 </w:t>
      </w:r>
    </w:p>
    <w:tbl>
      <w:tblPr>
        <w:tblStyle w:val="4"/>
        <w:tblW w:w="107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1541"/>
        <w:gridCol w:w="225"/>
        <w:gridCol w:w="810"/>
        <w:gridCol w:w="1200"/>
        <w:gridCol w:w="1484"/>
        <w:gridCol w:w="1246"/>
        <w:gridCol w:w="11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</w:t>
            </w:r>
          </w:p>
        </w:tc>
        <w:tc>
          <w:tcPr>
            <w:tcW w:w="17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Calibri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38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3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Calibri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Calibri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Calibri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 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、公务用车购置和维护经费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      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            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 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、出国经费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 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、公务接待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    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、业务工作经费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    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、运行维护经费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、专项资金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（原民办代课教师生活补助）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高考奖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疫情防控物资采购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、其他资金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5、校舍维修改造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133.52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140.00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12.89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         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10.71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         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42.12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35.00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31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年完工项目）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Batang" w:hAnsi="Batang" w:eastAsia="Batang" w:cs="Batang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实际规模（</w:t>
            </w:r>
            <w:r>
              <w:rPr>
                <w:rFonts w:hint="eastAsia" w:ascii="Batang" w:hAnsi="Batang" w:eastAsia="Batang" w:cs="Batang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预算投资（万元）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实际投资（万元）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投资概算控制率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3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加强预算收支管理；党风廉政建设；严控“三公”经费支出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default" w:ascii="Calibri" w:hAnsi="Calibri" w:cs="Calibri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项目支出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需要填报基本支出以外的所有项目支出情况，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公用经费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填报基本支出中的一般商品和服务支出。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Calibri" w:hAnsi="Calibri" w:cs="Calibri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部门整体支出绩效自评表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  </w:t>
      </w:r>
      <w:r>
        <w:rPr>
          <w:rFonts w:hint="eastAsia" w:ascii="Calibri" w:hAnsi="Calibri" w:cs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10"/>
        <w:gridCol w:w="1110"/>
        <w:gridCol w:w="1567"/>
        <w:gridCol w:w="90"/>
        <w:gridCol w:w="1144"/>
        <w:gridCol w:w="1089"/>
        <w:gridCol w:w="813"/>
        <w:gridCol w:w="909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省级预算部门名称</w:t>
            </w:r>
          </w:p>
        </w:tc>
        <w:tc>
          <w:tcPr>
            <w:tcW w:w="917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中共新田县委党校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332.82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332.82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332.82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332.82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/>
              <w:jc w:val="left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/>
              <w:jc w:val="left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/>
              <w:jc w:val="left"/>
              <w:rPr>
                <w:rFonts w:hint="eastAsia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年度总体目标</w:t>
            </w: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认真完成全年的培训任务，及各级部门组办的培训班。</w:t>
            </w:r>
          </w:p>
          <w:p>
            <w:pPr>
              <w:widowControl/>
              <w:spacing w:line="320" w:lineRule="exact"/>
              <w:ind w:left="480" w:hanging="420" w:hanging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创新培训管理方式，加大教学科研力度，突出办学特色，提高办学质量，切实发挥培训党员干部和开展党性教育的主渠道、主阵地作用。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3：争取建成全市一流县级党校，创建省级文明单位。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举办各类培训班共9期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通过党校培训，学员党性修养得到了提高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学员党性锻炼得到提升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</w:rPr>
              <w:t>4个省及课题成功立项结项，3个省及课题顺利结项，在各种刊物上公开发表理论文章或调研文章共计10篇.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4.获全省党性（行政学校）系统第十届科研管理工作组奖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5.获永州市全民国防教育先进单位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主体班、短训班培训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9期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9期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科研立项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≥2篇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　2篇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教学质量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≥98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98%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论文获奖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≥4篇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5篇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课题更新率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课题更新率30%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10" w:firstLineChars="100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</w:t>
            </w:r>
          </w:p>
          <w:p>
            <w:pPr>
              <w:widowControl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科研结项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≥2篇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10" w:firstLineChars="1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完成干训计划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期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建立财务收支项目，便于培训班成本控制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厉行节约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100%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保障学校正常运转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通过党校培训，学员党</w:t>
            </w:r>
            <w:r>
              <w:rPr>
                <w:rFonts w:eastAsia="仿宋_GB2312"/>
                <w:color w:val="000000"/>
              </w:rPr>
              <w:t>益指标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性修养得到了提高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学员党性锻炼得到提升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100%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校园环境卫生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清洁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清洁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师资培训人次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20人次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18人次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</w:rPr>
              <w:t>改善办学条件及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</w:rPr>
              <w:t>基础设施建设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维修维护费7万元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食堂及教学楼维修10万元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学员测评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≥98%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99%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后盾帮扶村群众满意度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≥98%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98%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6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仿宋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>
      <w:pPr>
        <w:ind w:firstLine="640" w:firstLineChars="200"/>
        <w:jc w:val="both"/>
        <w:rPr>
          <w:rFonts w:hint="eastAsia" w:ascii="黑体" w:hAnsi="宋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ind w:firstLine="1325" w:firstLineChars="30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年度部门整体支出绩效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自评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line="600" w:lineRule="exact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一、基本情况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（一）部门（单位）基本情况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1．主要职能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本单位的宗旨是：为党员、干部（公务员）提供理论培训服务。业务范围是：培训县直、乡（镇）、村党员、干部、公务员和入党积极分子。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2．机构情况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本单位为单一独立编制机构和独立核算机构。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3．人员情况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本单位年初在职人员26人，年未在职人员2人，全部为非参工（公）事业人员。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line="600" w:lineRule="exact"/>
        <w:ind w:firstLine="280" w:firstLineChars="1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（二）部门（单位）年度整体支出绩效目标，项目支出绩效目标</w:t>
      </w:r>
    </w:p>
    <w:p>
      <w:pPr>
        <w:pStyle w:val="6"/>
        <w:spacing w:line="600" w:lineRule="exact"/>
        <w:ind w:firstLine="64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二、一般公共预算支出情况</w:t>
      </w:r>
    </w:p>
    <w:p>
      <w:pPr>
        <w:snapToGrid w:val="0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（一）基本支出情况</w:t>
      </w:r>
    </w:p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1、2021年部门整体支出绩效评价。</w:t>
      </w: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（1）部门财政资金收入情况。</w:t>
      </w: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2021年度收入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332.82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万元，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其中包括上年度结转和结余40.88万元，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比上年减少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25.11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%，支出332.8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元，比上年减少17%。主要变动原因是单位励行节约。</w:t>
      </w: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（2）部门财政资金支出情况。</w:t>
      </w: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2021年一般公共预算财政拨款支出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332.82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万元，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其中包括上年度结转和结余40.88万元，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全部为干部教育及培训（类）支出。</w:t>
      </w:r>
    </w:p>
    <w:p>
      <w:pPr>
        <w:pStyle w:val="3"/>
        <w:widowControl/>
        <w:numPr>
          <w:ilvl w:val="0"/>
          <w:numId w:val="0"/>
        </w:numPr>
        <w:spacing w:before="0" w:beforeAutospacing="0" w:after="0" w:afterAutospacing="0" w:line="360" w:lineRule="auto"/>
        <w:ind w:leftChars="200" w:right="0" w:rightChars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本部门严肃财经纪律，严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格内控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加强管理，严格制定制度。明确目标、预算编制准确、严格控制支出、及时预算动态调整、基本按照预算执行，无违规使用资金和不良记录等情况。</w:t>
      </w:r>
    </w:p>
    <w:p>
      <w:pPr>
        <w:pStyle w:val="3"/>
        <w:widowControl/>
        <w:spacing w:before="0" w:beforeAutospacing="0" w:after="0" w:afterAutospacing="0" w:line="600" w:lineRule="atLeast"/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（二）项目支出情况</w:t>
      </w:r>
    </w:p>
    <w:p>
      <w:pPr>
        <w:pStyle w:val="3"/>
        <w:widowControl/>
        <w:spacing w:before="0" w:beforeAutospacing="0" w:after="0" w:afterAutospacing="0" w:line="600" w:lineRule="atLeast"/>
        <w:ind w:firstLine="1131" w:firstLineChars="404"/>
        <w:jc w:val="both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2021年我单位无项目支出</w:t>
      </w:r>
    </w:p>
    <w:p>
      <w:pPr>
        <w:pStyle w:val="3"/>
        <w:widowControl/>
        <w:spacing w:before="0" w:beforeAutospacing="0" w:after="0" w:afterAutospacing="0" w:line="600" w:lineRule="atLeast"/>
        <w:ind w:firstLine="64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三、政府性基金预算支出情况</w:t>
      </w:r>
    </w:p>
    <w:p>
      <w:pPr>
        <w:pStyle w:val="3"/>
        <w:widowControl/>
        <w:spacing w:before="0" w:beforeAutospacing="0" w:after="0" w:afterAutospacing="0" w:line="600" w:lineRule="atLeast"/>
        <w:ind w:firstLine="640"/>
        <w:jc w:val="both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本单位无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政府性基金预算支出情况</w:t>
      </w:r>
    </w:p>
    <w:p>
      <w:pPr>
        <w:pStyle w:val="3"/>
        <w:widowControl/>
        <w:spacing w:before="0" w:beforeAutospacing="0" w:after="0" w:afterAutospacing="0" w:line="600" w:lineRule="atLeast"/>
        <w:ind w:firstLine="64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四、国有资本经营预算支出情况</w:t>
      </w:r>
    </w:p>
    <w:p>
      <w:pPr>
        <w:pStyle w:val="3"/>
        <w:widowControl/>
        <w:spacing w:before="0" w:beforeAutospacing="0" w:after="0" w:afterAutospacing="0" w:line="600" w:lineRule="atLeast"/>
        <w:ind w:firstLine="64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本单位无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国有资本经营预算支出情况</w:t>
      </w:r>
    </w:p>
    <w:p>
      <w:pPr>
        <w:pStyle w:val="3"/>
        <w:widowControl/>
        <w:spacing w:before="0" w:beforeAutospacing="0" w:after="0" w:afterAutospacing="0" w:line="600" w:lineRule="atLeast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五、社会保险基金预算支出情况</w:t>
      </w:r>
    </w:p>
    <w:p>
      <w:pPr>
        <w:pStyle w:val="3"/>
        <w:widowControl/>
        <w:spacing w:before="0" w:beforeAutospacing="0" w:after="0" w:afterAutospacing="0" w:line="600" w:lineRule="atLeast"/>
        <w:ind w:firstLine="64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2021年度社会保险基金支出37.45万元。</w:t>
      </w:r>
    </w:p>
    <w:p>
      <w:pPr>
        <w:spacing w:line="60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六、部门整体支出绩效情况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本部门整体及核心业务实施效果如下：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一、运行成本</w:t>
      </w:r>
    </w:p>
    <w:p>
      <w:pPr>
        <w:pStyle w:val="3"/>
        <w:widowControl/>
        <w:spacing w:before="0" w:beforeAutospacing="0" w:after="0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   全年运行成本332.8万元，比上年减少17%。成本管控严格执行到位。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二、管理效率</w:t>
      </w:r>
    </w:p>
    <w:p>
      <w:pPr>
        <w:ind w:left="420" w:leftChars="200"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通过加强管理，举办4期主体干部班，学员197人。短期培训班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7期，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培训学员近千余人，为服务全县大局提供有力的人才支撑和智力支持，管理效率不断提升。</w:t>
      </w:r>
    </w:p>
    <w:p>
      <w:pPr>
        <w:numPr>
          <w:ilvl w:val="0"/>
          <w:numId w:val="2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履职效能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在教学、科研等主责主业方面履职尽责，全年共完成10个新课题的备课、试讲工作，更新完善了7个老课题，从学员评教情况看，教师上课满意率达到9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%以上；全年我校共撰写理论文章和调研报告20余篇，在公开刊物上发表论文10多篇, 2篇论文在省市获奖，省市课题立项2项、结项2项。</w:t>
      </w:r>
    </w:p>
    <w:p>
      <w:pPr>
        <w:numPr>
          <w:ilvl w:val="0"/>
          <w:numId w:val="2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社会效应</w:t>
      </w:r>
    </w:p>
    <w:p>
      <w:pPr>
        <w:ind w:firstLine="64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一年来，我们始终坚持“党校姓党”原则，大力加强干部教育培训，提高了干部队伍的党性修养，激发了干部为民办事创业的力量，得到了人民群众的广泛认可。</w:t>
      </w:r>
    </w:p>
    <w:p>
      <w:pPr>
        <w:numPr>
          <w:ilvl w:val="0"/>
          <w:numId w:val="2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可持续发展能力</w:t>
      </w:r>
    </w:p>
    <w:p>
      <w:pPr>
        <w:ind w:left="420" w:left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通过不断提高教学质量、完善办学条件，优化办学环境，我校的可持续发展能力不断加强。</w:t>
      </w:r>
    </w:p>
    <w:p>
      <w:pPr>
        <w:ind w:left="420" w:leftChars="200"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六、服务满意度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从学员评教情况看，教师上课满意率达到9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%以上。</w:t>
      </w:r>
    </w:p>
    <w:p>
      <w:pPr>
        <w:pStyle w:val="6"/>
        <w:spacing w:line="600" w:lineRule="exact"/>
        <w:ind w:left="0" w:leftChars="0" w:firstLine="1120" w:firstLineChars="4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七、存在的问题及原因分析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uto"/>
        <w:ind w:firstLine="645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主要反映各种预算支出执行偏离绩效目标的情况，并分析其原因。主要反映各种预算支出执行偏离绩效目标的情况，并分析其原因。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uto"/>
        <w:ind w:firstLine="645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1、存在问题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  本单位经济活动业务层面的问题主要包括预算管理问题、收支管理问题、政府采购管理问题。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uto"/>
        <w:ind w:firstLine="645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财务管理方面，会计核算还不够细致，对于有些能够细分的工作，未能详细分类核算，绩效评价基础数据不够精准。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uto"/>
        <w:ind w:firstLine="280" w:firstLineChars="1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八、下一步改进措施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1）1.学习如何科学合理制定绩效目标及考核体系，充分发挥绩效工作效用；制定切实有效的内部控制制度加强内部控制；财务上，会计核算要更加详细，为本单位各项工作的开展、总结、评估提供有效数据资料支撑，为各项业务工作更好的开展提供帮助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(2)认真贯彻落实习近平总书记重要讲话精神，适应新形势下干部培训的需要，着力改善办学条件，提高教学水平和质量，加大财政资金的投入。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九、绩效自评结果拟应用和公开情况</w:t>
      </w:r>
    </w:p>
    <w:p>
      <w:pPr>
        <w:pStyle w:val="2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通过绩效自评工作，我单位了解了资金使用是否达到了预期目标，检验了资金的支出效果。根据分析资金使用过程中存在的问题和原因，积极落实整改，改进管理措施，有效提高了资金的使用效益。自评结果及自评报告将按要求进行公开，并将作为编制下一年度部门预算的重要依据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十．其他需要说明的情况</w:t>
      </w:r>
    </w:p>
    <w:p>
      <w:pPr>
        <w:pStyle w:val="2"/>
        <w:ind w:firstLine="1680" w:firstLineChars="60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>无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报告需要以下附件：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1、部门整体支出绩效评价基础数据表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2、部门整体支出绩效自评表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BF2E"/>
    <w:multiLevelType w:val="singleLevel"/>
    <w:tmpl w:val="2C8EBF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AFEAEE"/>
    <w:multiLevelType w:val="singleLevel"/>
    <w:tmpl w:val="2DAFEAEE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117D"/>
    <w:rsid w:val="32C34F02"/>
    <w:rsid w:val="5175329A"/>
    <w:rsid w:val="763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2022-10-19T06:22:00Z</dcterms:created>
  <dc:creator>Administrator</dc:creator>
  <cp:lastModifiedBy>Administrator</cp:lastModifiedBy>
  <dcterms:modified xsi:type="dcterms:W3CDTF">2022-10-19T07:09:35Z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