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sz w:val="48"/>
          <w:szCs w:val="48"/>
        </w:rPr>
      </w:pPr>
    </w:p>
    <w:p>
      <w:pPr>
        <w:pStyle w:val="8"/>
        <w:jc w:val="center"/>
        <w:rPr>
          <w:sz w:val="48"/>
          <w:szCs w:val="48"/>
        </w:rPr>
      </w:pPr>
      <w:r>
        <w:rPr>
          <w:rFonts w:hint="eastAsia"/>
          <w:sz w:val="48"/>
          <w:szCs w:val="48"/>
        </w:rPr>
        <w:t>新田县知市坪中学单位2021年度部门决算公开</w:t>
      </w:r>
    </w:p>
    <w:p>
      <w:pPr>
        <w:pStyle w:val="8"/>
        <w:jc w:val="center"/>
        <w:rPr>
          <w:sz w:val="48"/>
          <w:szCs w:val="48"/>
        </w:rPr>
      </w:pPr>
    </w:p>
    <w:p>
      <w:pPr>
        <w:pStyle w:val="8"/>
        <w:spacing w:line="540" w:lineRule="exact"/>
        <w:jc w:val="center"/>
        <w:rPr>
          <w:sz w:val="56"/>
          <w:szCs w:val="56"/>
        </w:rPr>
      </w:pPr>
    </w:p>
    <w:p>
      <w:pPr>
        <w:pStyle w:val="8"/>
        <w:spacing w:line="520" w:lineRule="exact"/>
        <w:jc w:val="center"/>
        <w:rPr>
          <w:sz w:val="44"/>
          <w:szCs w:val="44"/>
        </w:rPr>
      </w:pPr>
      <w:r>
        <w:rPr>
          <w:rFonts w:hint="eastAsia"/>
          <w:sz w:val="44"/>
          <w:szCs w:val="44"/>
        </w:rPr>
        <w:t>目录</w:t>
      </w:r>
    </w:p>
    <w:p>
      <w:pPr>
        <w:pStyle w:val="8"/>
        <w:spacing w:line="520" w:lineRule="exact"/>
        <w:rPr>
          <w:rFonts w:ascii="仿宋_GB2312" w:hAnsi="仿宋_GB2312" w:cs="仿宋_GB2312"/>
          <w:b/>
          <w:sz w:val="28"/>
          <w:szCs w:val="28"/>
        </w:rPr>
      </w:pPr>
      <w:r>
        <w:rPr>
          <w:rFonts w:hint="eastAsia"/>
          <w:b/>
          <w:sz w:val="28"/>
          <w:szCs w:val="28"/>
        </w:rPr>
        <w:t>第一部分新田县知市坪中学单位概况</w:t>
      </w:r>
    </w:p>
    <w:p>
      <w:pPr>
        <w:pStyle w:val="8"/>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8"/>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8"/>
        <w:spacing w:line="520" w:lineRule="exact"/>
        <w:rPr>
          <w:rFonts w:ascii="仿宋_GB2312" w:hAnsi="仿宋_GB2312" w:cs="仿宋_GB2312"/>
          <w:b/>
          <w:sz w:val="28"/>
          <w:szCs w:val="28"/>
        </w:rPr>
      </w:pPr>
      <w:r>
        <w:rPr>
          <w:rFonts w:hint="eastAsia" w:hAnsi="仿宋_GB2312"/>
          <w:b/>
          <w:sz w:val="28"/>
          <w:szCs w:val="28"/>
        </w:rPr>
        <w:t>第二部分2021年度部门决算表</w:t>
      </w:r>
    </w:p>
    <w:p>
      <w:pPr>
        <w:pStyle w:val="8"/>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8"/>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8"/>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8"/>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8"/>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8"/>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8"/>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8"/>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8"/>
        <w:spacing w:line="520" w:lineRule="exact"/>
        <w:ind w:firstLine="840" w:firstLineChars="300"/>
        <w:rPr>
          <w:rFonts w:ascii="宋体" w:hAnsi="宋体" w:eastAsia="宋体" w:cs="宋体"/>
          <w:color w:val="333333"/>
          <w:sz w:val="28"/>
          <w:szCs w:val="28"/>
          <w:shd w:val="clear" w:color="auto" w:fill="FFFFFF"/>
        </w:rPr>
      </w:pPr>
      <w:r>
        <w:rPr>
          <w:rFonts w:hint="eastAsia" w:ascii="微软雅黑" w:hAnsi="微软雅黑" w:eastAsia="微软雅黑" w:cs="微软雅黑"/>
          <w:color w:val="333333"/>
          <w:sz w:val="28"/>
          <w:szCs w:val="28"/>
          <w:shd w:val="clear" w:color="auto" w:fill="FFFFFF"/>
        </w:rPr>
        <w:t>九、</w:t>
      </w:r>
      <w:r>
        <w:rPr>
          <w:rFonts w:hint="eastAsia" w:ascii="宋体" w:hAnsi="宋体" w:eastAsia="宋体" w:cs="宋体"/>
          <w:color w:val="333333"/>
          <w:sz w:val="28"/>
          <w:szCs w:val="28"/>
          <w:shd w:val="clear" w:color="auto" w:fill="FFFFFF"/>
        </w:rPr>
        <w:t>国有资本经营预算财政拨款支出决算表</w:t>
      </w:r>
    </w:p>
    <w:p>
      <w:pPr>
        <w:pStyle w:val="8"/>
        <w:spacing w:line="520" w:lineRule="exact"/>
        <w:rPr>
          <w:rFonts w:ascii="仿宋_GB2312" w:hAnsi="仿宋_GB2312" w:cs="仿宋_GB2312"/>
          <w:b/>
          <w:sz w:val="28"/>
          <w:szCs w:val="28"/>
        </w:rPr>
      </w:pPr>
      <w:r>
        <w:rPr>
          <w:rFonts w:hint="eastAsia" w:hAnsi="仿宋_GB2312"/>
          <w:b/>
          <w:sz w:val="28"/>
          <w:szCs w:val="28"/>
        </w:rPr>
        <w:t>第三部分2021年度部门决算情况说明</w:t>
      </w:r>
    </w:p>
    <w:p>
      <w:pPr>
        <w:pStyle w:val="5"/>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一、收入支出决算总体情况说明</w:t>
      </w:r>
    </w:p>
    <w:p>
      <w:pPr>
        <w:pStyle w:val="5"/>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二、收入决算情况说明</w:t>
      </w:r>
    </w:p>
    <w:p>
      <w:pPr>
        <w:pStyle w:val="5"/>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三、支出决算情况说明</w:t>
      </w:r>
    </w:p>
    <w:p>
      <w:pPr>
        <w:pStyle w:val="5"/>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四、财政拨款收入支出决算总体情况说明</w:t>
      </w:r>
    </w:p>
    <w:p>
      <w:pPr>
        <w:pStyle w:val="5"/>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五、一般公共预算财政拨款支出决算情况说明</w:t>
      </w:r>
    </w:p>
    <w:p>
      <w:pPr>
        <w:pStyle w:val="5"/>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六、一般公共预算财政拨款基本支出决算情况说明</w:t>
      </w:r>
    </w:p>
    <w:p>
      <w:pPr>
        <w:pStyle w:val="5"/>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七、一般公共预算财政拨款“三公”经费支出决算情况说明</w:t>
      </w:r>
    </w:p>
    <w:p>
      <w:pPr>
        <w:pStyle w:val="5"/>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八、政府性基金预算收入支出决算情况</w:t>
      </w:r>
    </w:p>
    <w:p>
      <w:pPr>
        <w:pStyle w:val="5"/>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九、国有资本经营预算财政拨款支出决算情况</w:t>
      </w:r>
    </w:p>
    <w:p>
      <w:pPr>
        <w:pStyle w:val="5"/>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十、机关运行经费支出说明</w:t>
      </w:r>
    </w:p>
    <w:p>
      <w:pPr>
        <w:pStyle w:val="5"/>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十一、一般性支出情况说明</w:t>
      </w:r>
    </w:p>
    <w:p>
      <w:pPr>
        <w:pStyle w:val="5"/>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十二、政府采购支出说明</w:t>
      </w:r>
    </w:p>
    <w:p>
      <w:pPr>
        <w:pStyle w:val="5"/>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十三、国有资产占用情况说明</w:t>
      </w:r>
    </w:p>
    <w:p>
      <w:pPr>
        <w:pStyle w:val="5"/>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十四、2021年度预算绩效情况说明</w:t>
      </w:r>
    </w:p>
    <w:p>
      <w:pPr>
        <w:autoSpaceDE w:val="0"/>
        <w:autoSpaceDN w:val="0"/>
        <w:adjustRightInd w:val="0"/>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第四部分名词解释</w:t>
      </w:r>
    </w:p>
    <w:p>
      <w:pPr>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第五部分附件</w:t>
      </w:r>
    </w:p>
    <w:p>
      <w:pPr>
        <w:jc w:val="center"/>
        <w:rPr>
          <w:sz w:val="72"/>
          <w:szCs w:val="72"/>
        </w:rPr>
      </w:pPr>
    </w:p>
    <w:p>
      <w:pPr>
        <w:rPr>
          <w:rFonts w:ascii="黑体" w:hAnsi="黑体" w:eastAsia="黑体" w:cs="黑体"/>
          <w:sz w:val="32"/>
          <w:szCs w:val="32"/>
        </w:rPr>
      </w:pPr>
      <w:r>
        <w:rPr>
          <w:rFonts w:hint="eastAsia" w:ascii="黑体" w:hAnsi="黑体" w:eastAsia="黑体" w:cs="黑体"/>
          <w:sz w:val="32"/>
          <w:szCs w:val="32"/>
        </w:rPr>
        <w:t>第一部分 新田县知市坪中学单位概况</w:t>
      </w:r>
    </w:p>
    <w:p>
      <w:pPr>
        <w:pStyle w:val="9"/>
        <w:numPr>
          <w:ilvl w:val="0"/>
          <w:numId w:val="1"/>
        </w:numPr>
        <w:ind w:firstLineChars="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部门职责</w:t>
      </w:r>
    </w:p>
    <w:p>
      <w:pPr>
        <w:pStyle w:val="9"/>
        <w:ind w:left="862" w:firstLine="0" w:firstLineChars="0"/>
        <w:jc w:val="left"/>
        <w:rPr>
          <w:rFonts w:asciiTheme="minorEastAsia" w:hAnsiTheme="minorEastAsia" w:cstheme="minorEastAsia"/>
          <w:b/>
          <w:bCs/>
          <w:sz w:val="28"/>
          <w:szCs w:val="28"/>
        </w:rPr>
      </w:pPr>
      <w:r>
        <w:rPr>
          <w:rFonts w:hint="eastAsia" w:asciiTheme="minorEastAsia" w:hAnsiTheme="minorEastAsia" w:cstheme="minorEastAsia"/>
          <w:sz w:val="28"/>
          <w:szCs w:val="28"/>
        </w:rPr>
        <w:t>本单位主要职责是实施基础教育教学工作，促进基础教育发展，开展中学学历教育。</w:t>
      </w:r>
    </w:p>
    <w:p>
      <w:pPr>
        <w:widowControl/>
        <w:spacing w:line="600" w:lineRule="exact"/>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二、机构设置及决算单位构成</w:t>
      </w:r>
    </w:p>
    <w:p>
      <w:pPr>
        <w:widowControl/>
        <w:spacing w:line="600" w:lineRule="atLeast"/>
        <w:ind w:left="627"/>
        <w:jc w:val="left"/>
        <w:rPr>
          <w:rFonts w:asciiTheme="minorEastAsia" w:hAnsiTheme="minorEastAsia" w:cstheme="minorEastAsia"/>
          <w:bCs/>
          <w:kern w:val="0"/>
          <w:sz w:val="28"/>
          <w:szCs w:val="28"/>
        </w:rPr>
      </w:pPr>
      <w:r>
        <w:rPr>
          <w:rFonts w:hint="eastAsia" w:asciiTheme="minorEastAsia" w:hAnsiTheme="minorEastAsia" w:cstheme="minorEastAsia"/>
          <w:bCs/>
          <w:kern w:val="0"/>
          <w:sz w:val="28"/>
          <w:szCs w:val="28"/>
        </w:rPr>
        <w:t>（一）内设机构设置。新田县知市坪中学单位内设机构包括：党支部校长室、教导处、政教处、教研室、财务后勤处等。</w:t>
      </w:r>
    </w:p>
    <w:p>
      <w:pPr>
        <w:widowControl/>
        <w:spacing w:line="600" w:lineRule="exact"/>
        <w:ind w:firstLine="548" w:firstLineChars="196"/>
        <w:rPr>
          <w:rFonts w:asciiTheme="minorEastAsia" w:hAnsiTheme="minorEastAsia" w:cstheme="minorEastAsia"/>
          <w:sz w:val="28"/>
          <w:szCs w:val="28"/>
        </w:rPr>
      </w:pPr>
      <w:r>
        <w:rPr>
          <w:rFonts w:hint="eastAsia" w:asciiTheme="minorEastAsia" w:hAnsiTheme="minorEastAsia" w:cstheme="minorEastAsia"/>
          <w:bCs/>
          <w:kern w:val="0"/>
          <w:sz w:val="28"/>
          <w:szCs w:val="28"/>
        </w:rPr>
        <w:t>（二）决算单位构成。新田县知市坪中学单位2021年部门决算汇总公开单位构成包括：知市坪中学本级。</w:t>
      </w: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r>
        <w:rPr>
          <w:rFonts w:hint="eastAsia" w:ascii="黑体" w:hAnsi="黑体" w:eastAsia="黑体" w:cs="黑体"/>
          <w:sz w:val="32"/>
          <w:szCs w:val="32"/>
        </w:rPr>
        <w:t>第二部分部门决算表</w:t>
      </w:r>
    </w:p>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部门：新田县知市坪中学单位</w:t>
      </w:r>
      <w:r>
        <w:rPr>
          <w:rFonts w:hint="eastAsia" w:ascii="Times New Roman" w:hAnsi="Times New Roman" w:eastAsia="仿宋_GB2312" w:cs="Times New Roman"/>
          <w:color w:val="000000"/>
          <w:kern w:val="0"/>
          <w:szCs w:val="21"/>
          <w:lang w:eastAsia="zh-CN"/>
        </w:rPr>
        <w:t>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6"/>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319.61</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r>
      <w:tr>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319.76</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r>
      <w:tr>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jc w:val="center"/>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rPr>
              <w:t>0.00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319.61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319.76</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0.15</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r>
      <w:tr>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319.76</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319.76</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新田县知市坪中学单位</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eastAsia="zh-CN"/>
        </w:rPr>
        <w:t>　　　　　　　　　　　　　　　　　　　　　　　　　　　　　　　　　　　　　　　　　　　　　　　　　</w:t>
      </w:r>
      <w:r>
        <w:rPr>
          <w:rFonts w:ascii="Times New Roman" w:hAnsi="Times New Roman" w:eastAsia="仿宋_GB2312" w:cs="Times New Roman"/>
          <w:color w:val="000000"/>
          <w:kern w:val="0"/>
          <w:szCs w:val="21"/>
        </w:rPr>
        <w:t>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3813" w:type="dxa"/>
        <w:jc w:val="center"/>
        <w:tblLayout w:type="autofit"/>
        <w:tblCellMar>
          <w:top w:w="0" w:type="dxa"/>
          <w:left w:w="108" w:type="dxa"/>
          <w:bottom w:w="0" w:type="dxa"/>
          <w:right w:w="108" w:type="dxa"/>
        </w:tblCellMar>
      </w:tblPr>
      <w:tblGrid>
        <w:gridCol w:w="1197"/>
        <w:gridCol w:w="1188"/>
        <w:gridCol w:w="1676"/>
        <w:gridCol w:w="1595"/>
        <w:gridCol w:w="1676"/>
        <w:gridCol w:w="1382"/>
        <w:gridCol w:w="1412"/>
        <w:gridCol w:w="1676"/>
        <w:gridCol w:w="2011"/>
      </w:tblGrid>
      <w:tr>
        <w:tblPrEx>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1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319.61</w:t>
            </w: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319.61</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205</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教育支出</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319.61</w:t>
            </w: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319.61</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20502</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普通教育</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319.61</w:t>
            </w: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319.61</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2050203</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初中教育</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319.61</w:t>
            </w: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319.61</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部门：  </w:t>
      </w:r>
      <w:r>
        <w:rPr>
          <w:rFonts w:hint="eastAsia" w:ascii="Times New Roman" w:hAnsi="Times New Roman" w:eastAsia="仿宋_GB2312" w:cs="Times New Roman"/>
          <w:color w:val="000000"/>
          <w:kern w:val="0"/>
          <w:szCs w:val="21"/>
        </w:rPr>
        <w:t>新田县知市坪中学单位</w:t>
      </w:r>
      <w:r>
        <w:rPr>
          <w:rFonts w:hint="eastAsia" w:ascii="Times New Roman" w:hAnsi="Times New Roman" w:eastAsia="仿宋_GB2312" w:cs="Times New Roman"/>
          <w:color w:val="000000"/>
          <w:kern w:val="0"/>
          <w:szCs w:val="21"/>
          <w:lang w:eastAsia="zh-CN"/>
        </w:rPr>
        <w:t>　　　　　　　　　　　　　　　　　　　　　　　　　　　　　　　　　　　　　　　　　　　　　　　　　</w:t>
      </w:r>
      <w:r>
        <w:rPr>
          <w:rFonts w:ascii="Times New Roman" w:hAnsi="Times New Roman" w:eastAsia="仿宋_GB2312" w:cs="Times New Roman"/>
          <w:color w:val="000000"/>
          <w:kern w:val="0"/>
          <w:sz w:val="20"/>
          <w:szCs w:val="20"/>
        </w:rPr>
        <w:t>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6"/>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77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24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4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319.76</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274.96</w:t>
            </w: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44.80</w:t>
            </w: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205</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教育支出</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319.76</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274.96</w:t>
            </w: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44.80</w:t>
            </w: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20502</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普通教育</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319.76</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274.96</w:t>
            </w: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44.80</w:t>
            </w: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2050203</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初中教育</w:t>
            </w:r>
            <w:r>
              <w:rPr>
                <w:rFonts w:ascii="Times New Roman" w:hAnsi="Times New Roman" w:eastAsia="仿宋_GB2312" w:cs="Times New Roman"/>
                <w:kern w:val="0"/>
                <w:szCs w:val="21"/>
              </w:rPr>
              <w:t>　</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319.76</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274.96</w:t>
            </w: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44.80</w:t>
            </w: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新田县知市坪中学单位</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6"/>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319.61</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319.76</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319.76</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319.61</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319.76</w:t>
            </w: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319.76</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r>
              <w:rPr>
                <w:rFonts w:hint="eastAsia" w:ascii="Times New Roman" w:hAnsi="Times New Roman" w:eastAsia="仿宋_GB2312" w:cs="Times New Roman"/>
                <w:b/>
                <w:bCs/>
                <w:kern w:val="0"/>
                <w:szCs w:val="21"/>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0.15</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0.15</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319.76</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319.76</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319.76</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r>
              <w:rPr>
                <w:rFonts w:hint="eastAsia" w:ascii="Times New Roman" w:hAnsi="Times New Roman" w:eastAsia="仿宋_GB2312" w:cs="Times New Roman"/>
                <w:b/>
                <w:bCs/>
                <w:kern w:val="0"/>
                <w:szCs w:val="21"/>
              </w:rPr>
              <w:t>0.00</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 xml:space="preserve">新田县知市坪中学单位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eastAsia="zh-CN"/>
        </w:rPr>
        <w:t>　　　　　　　　　　　　　　　　　　　　　　　　　　　　　　</w:t>
      </w:r>
      <w:r>
        <w:rPr>
          <w:rFonts w:ascii="Times New Roman" w:hAnsi="Times New Roman" w:eastAsia="仿宋_GB2312" w:cs="Times New Roman"/>
          <w:color w:val="000000"/>
          <w:kern w:val="0"/>
          <w:szCs w:val="21"/>
        </w:rPr>
        <w:t xml:space="preserve">     公开05表</w:t>
      </w:r>
    </w:p>
    <w:p>
      <w:pPr>
        <w:widowControl/>
        <w:jc w:val="right"/>
        <w:rPr>
          <w:rFonts w:ascii="Times New Roman" w:hAnsi="Times New Roman" w:eastAsia="宋体" w:cs="Times New Roman"/>
          <w:color w:val="000000"/>
          <w:kern w:val="0"/>
          <w:sz w:val="20"/>
          <w:szCs w:val="20"/>
        </w:rPr>
      </w:pPr>
      <w:r>
        <w:rPr>
          <w:rFonts w:hint="eastAsia" w:ascii="Times New Roman" w:hAnsi="Times New Roman" w:eastAsia="仿宋_GB2312" w:cs="Times New Roman"/>
          <w:color w:val="000000"/>
          <w:kern w:val="0"/>
          <w:szCs w:val="21"/>
          <w:lang w:eastAsia="zh-CN"/>
        </w:rPr>
        <w:t>　</w:t>
      </w:r>
      <w:r>
        <w:rPr>
          <w:rFonts w:ascii="Times New Roman" w:hAnsi="Times New Roman" w:eastAsia="仿宋_GB2312" w:cs="Times New Roman"/>
          <w:color w:val="000000"/>
          <w:kern w:val="0"/>
          <w:szCs w:val="21"/>
        </w:rPr>
        <w:t xml:space="preserve">       单位：万元</w:t>
      </w:r>
    </w:p>
    <w:tbl>
      <w:tblPr>
        <w:tblStyle w:val="6"/>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319.76</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274.96</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44.80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205</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教育支出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319.76</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274.96</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44.80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20502</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普通教育</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319.76</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274.96</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44.80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2050203</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初中教育</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319.76</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274.96</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44.80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新田县知市坪中学</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0" w:type="auto"/>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215.84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37.75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68.53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10.27</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33.18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6.54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13.35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1.12</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22.04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0.92</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27.52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4.70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23.16</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10.18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0.20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0.12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13.40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2.54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4.36</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0.40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20.25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4.52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19.44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1.40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1.55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rPr>
              <w:t>2.91</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rPr>
              <w:t>0.80</w:t>
            </w:r>
          </w:p>
        </w:tc>
        <w:tc>
          <w:tcPr>
            <w:tcW w:w="1110"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rPr>
              <w:t>0.00</w:t>
            </w:r>
          </w:p>
        </w:tc>
        <w:tc>
          <w:tcPr>
            <w:tcW w:w="107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rPr>
              <w:t>2.91</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236.08</w:t>
            </w:r>
          </w:p>
        </w:tc>
        <w:tc>
          <w:tcPr>
            <w:tcW w:w="9733"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38.88</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新田县知市坪中学</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c>
          <w:tcPr>
            <w:tcW w:w="1220" w:type="dxa"/>
            <w:tcBorders>
              <w:top w:val="nil"/>
              <w:left w:val="nil"/>
              <w:bottom w:val="single" w:color="auto" w:sz="8" w:space="0"/>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r>
    </w:tbl>
    <w:p>
      <w:pPr>
        <w:autoSpaceDE w:val="0"/>
        <w:autoSpaceDN w:val="0"/>
        <w:adjustRightInd w:val="0"/>
        <w:ind w:left="315" w:leftChars="150"/>
        <w:jc w:val="left"/>
        <w:rPr>
          <w:rFonts w:ascii="仿宋" w:hAnsi="仿宋" w:eastAsia="仿宋" w:cs="仿宋"/>
          <w:kern w:val="0"/>
          <w:sz w:val="24"/>
          <w:szCs w:val="24"/>
        </w:rPr>
      </w:pPr>
      <w:r>
        <w:rPr>
          <w:rFonts w:hint="eastAsia" w:ascii="仿宋" w:hAnsi="仿宋" w:eastAsia="仿宋" w:cs="仿宋"/>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autoSpaceDE w:val="0"/>
        <w:autoSpaceDN w:val="0"/>
        <w:adjustRightInd w:val="0"/>
        <w:ind w:left="315" w:leftChars="150"/>
        <w:jc w:val="left"/>
        <w:rPr>
          <w:rFonts w:ascii="宋体" w:eastAsia="宋体" w:cs="宋体"/>
          <w:kern w:val="0"/>
          <w:sz w:val="24"/>
          <w:szCs w:val="24"/>
        </w:rPr>
      </w:pPr>
      <w:r>
        <w:rPr>
          <w:rFonts w:hint="eastAsia" w:ascii="Times New Roman" w:hAnsi="Times New Roman" w:eastAsia="仿宋_GB2312" w:cs="Times New Roman"/>
          <w:b/>
          <w:bCs/>
          <w:kern w:val="0"/>
          <w:sz w:val="28"/>
          <w:szCs w:val="28"/>
        </w:rPr>
        <w:t>说明：新田县知市坪中学没有一般公共预算财政拨款“三公”经费支出，故此表数据为0.00。</w:t>
      </w:r>
    </w:p>
    <w:p>
      <w:pPr>
        <w:widowControl/>
        <w:jc w:val="left"/>
        <w:rPr>
          <w:rFonts w:ascii="宋体" w:eastAsia="宋体" w:cs="宋体"/>
          <w:kern w:val="0"/>
          <w:sz w:val="24"/>
          <w:szCs w:val="24"/>
        </w:rPr>
      </w:pP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新田县知市坪中学</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说明：</w:t>
      </w:r>
      <w:r>
        <w:rPr>
          <w:rFonts w:hint="eastAsia" w:ascii="Times New Roman" w:hAnsi="Times New Roman" w:eastAsia="仿宋_GB2312" w:cs="Times New Roman"/>
          <w:color w:val="000000"/>
          <w:kern w:val="0"/>
          <w:szCs w:val="21"/>
        </w:rPr>
        <w:t>新田县知市坪中学</w:t>
      </w:r>
      <w:r>
        <w:rPr>
          <w:rFonts w:hint="eastAsia" w:ascii="Times New Roman" w:hAnsi="Times New Roman" w:eastAsia="仿宋_GB2312" w:cs="Times New Roman"/>
          <w:kern w:val="0"/>
          <w:szCs w:val="21"/>
        </w:rPr>
        <w:t>单位没有政府性基金收入，也没有使用政府性基金安排的支出，故本表无数据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widowControl/>
        <w:jc w:val="center"/>
        <w:rPr>
          <w:rFonts w:ascii="宋体" w:hAnsi="宋体" w:eastAsia="宋体" w:cs="宋体"/>
          <w:b/>
          <w:bCs/>
          <w:color w:val="333333"/>
          <w:sz w:val="36"/>
          <w:szCs w:val="36"/>
          <w:shd w:val="clear" w:color="auto" w:fill="FFFFFF"/>
        </w:rPr>
      </w:pPr>
      <w:r>
        <w:rPr>
          <w:rFonts w:hint="eastAsia" w:ascii="宋体" w:hAnsi="宋体" w:eastAsia="宋体" w:cs="宋体"/>
          <w:b/>
          <w:bCs/>
          <w:color w:val="333333"/>
          <w:sz w:val="36"/>
          <w:szCs w:val="36"/>
          <w:shd w:val="clear" w:color="auto" w:fill="FFFFFF"/>
        </w:rPr>
        <w:t>国有资本经营预算财政拨款支出决算表</w:t>
      </w:r>
    </w:p>
    <w:tbl>
      <w:tblPr>
        <w:tblStyle w:val="6"/>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4835"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color w:val="000000"/>
                <w:kern w:val="0"/>
                <w:sz w:val="20"/>
                <w:szCs w:val="20"/>
              </w:rPr>
              <w:t>部门：新田县知市坪中学</w:t>
            </w:r>
            <w:r>
              <w:rPr>
                <w:rFonts w:hint="eastAsia" w:ascii="宋体" w:hAnsi="宋体" w:eastAsia="宋体" w:cs="宋体"/>
                <w:kern w:val="0"/>
                <w:sz w:val="20"/>
                <w:szCs w:val="20"/>
              </w:rPr>
              <w:t>　</w:t>
            </w:r>
          </w:p>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０</w:t>
            </w: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０</w:t>
            </w: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０</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tbl>
      <w:tblPr>
        <w:tblStyle w:val="6"/>
        <w:tblW w:w="8715" w:type="dxa"/>
        <w:tblInd w:w="0" w:type="dxa"/>
        <w:tblLayout w:type="autofit"/>
        <w:tblCellMar>
          <w:top w:w="0" w:type="dxa"/>
          <w:left w:w="0" w:type="dxa"/>
          <w:bottom w:w="0" w:type="dxa"/>
          <w:right w:w="0" w:type="dxa"/>
        </w:tblCellMar>
      </w:tblPr>
      <w:tblGrid>
        <w:gridCol w:w="8716"/>
      </w:tblGrid>
      <w:tr>
        <w:tblPrEx>
          <w:tblCellMar>
            <w:top w:w="0" w:type="dxa"/>
            <w:left w:w="0" w:type="dxa"/>
            <w:bottom w:w="0" w:type="dxa"/>
            <w:right w:w="0" w:type="dxa"/>
          </w:tblCellMar>
        </w:tblPrEx>
        <w:trPr>
          <w:trHeight w:val="267" w:hRule="atLeast"/>
        </w:trPr>
        <w:tc>
          <w:tcPr>
            <w:tcW w:w="8716"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p>
        </w:tc>
      </w:tr>
    </w:tbl>
    <w:p>
      <w:pPr>
        <w:widowControl/>
        <w:jc w:val="left"/>
        <w:rPr>
          <w:rFonts w:ascii="仿宋" w:hAnsi="仿宋" w:eastAsia="仿宋" w:cs="仿宋"/>
          <w:kern w:val="0"/>
          <w:szCs w:val="21"/>
        </w:rPr>
      </w:pPr>
      <w:r>
        <w:rPr>
          <w:rFonts w:hint="eastAsia" w:ascii="仿宋" w:hAnsi="仿宋" w:eastAsia="仿宋" w:cs="仿宋"/>
          <w:kern w:val="0"/>
          <w:szCs w:val="21"/>
        </w:rPr>
        <w:t>(说明：新田县知市坪中学单位无</w:t>
      </w:r>
      <w:r>
        <w:rPr>
          <w:rFonts w:hint="eastAsia" w:ascii="仿宋" w:hAnsi="仿宋" w:eastAsia="仿宋" w:cs="仿宋"/>
          <w:color w:val="000000"/>
          <w:kern w:val="0"/>
          <w:szCs w:val="21"/>
        </w:rPr>
        <w:t>国有资本经营预算财政拨款支出</w:t>
      </w:r>
      <w:r>
        <w:rPr>
          <w:rFonts w:hint="eastAsia" w:ascii="仿宋" w:hAnsi="仿宋" w:eastAsia="仿宋" w:cs="仿宋"/>
          <w:kern w:val="0"/>
          <w:szCs w:val="21"/>
        </w:rPr>
        <w:t>，故本表无数据)。</w:t>
      </w:r>
    </w:p>
    <w:p>
      <w:pPr>
        <w:tabs>
          <w:tab w:val="left" w:pos="1460"/>
        </w:tabs>
        <w:jc w:val="left"/>
        <w:rPr>
          <w:szCs w:val="21"/>
        </w:rPr>
        <w:sectPr>
          <w:pgSz w:w="16838" w:h="11906" w:orient="landscape"/>
          <w:pgMar w:top="720" w:right="720" w:bottom="720" w:left="720" w:header="851" w:footer="992" w:gutter="0"/>
          <w:cols w:space="425" w:num="1"/>
          <w:docGrid w:type="lines" w:linePitch="312" w:charSpace="0"/>
        </w:sectPr>
      </w:pPr>
    </w:p>
    <w:p>
      <w:pPr>
        <w:pStyle w:val="8"/>
        <w:rPr>
          <w:sz w:val="32"/>
          <w:szCs w:val="32"/>
        </w:rPr>
      </w:pPr>
      <w:r>
        <w:rPr>
          <w:rFonts w:hint="eastAsia"/>
          <w:sz w:val="32"/>
          <w:szCs w:val="32"/>
        </w:rPr>
        <w:t>第三部分 2021年度部门决算情况说明</w:t>
      </w:r>
    </w:p>
    <w:p>
      <w:pPr>
        <w:pStyle w:val="8"/>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一、收入支出决算总体情况说明</w:t>
      </w:r>
    </w:p>
    <w:p>
      <w:pPr>
        <w:pStyle w:val="8"/>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 年度收入319.61万元，年初结转和结余0.15万元，收入总计319.76万元，支出总计319.76万元。与2020年相比，收入增长20.11万元，增长7%，支出增加20.41万元，增长7%，主要是因为项目支出增加。</w:t>
      </w:r>
    </w:p>
    <w:p>
      <w:pPr>
        <w:pStyle w:val="8"/>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二、收入决算情况说明</w:t>
      </w:r>
    </w:p>
    <w:p>
      <w:pPr>
        <w:pStyle w:val="8"/>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本年收入合计319.61万元，其中：财政拨款收入319.61万元，占100%；上级补助收入0万元，占0%；事业收入0万元，占0%；经营收入0万元，占0%；附属单位上缴收入0万元，占0%；其他收入0万元，占0%。</w:t>
      </w:r>
    </w:p>
    <w:p>
      <w:pPr>
        <w:pStyle w:val="8"/>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三、支出决算情况说明</w:t>
      </w:r>
    </w:p>
    <w:p>
      <w:pPr>
        <w:pStyle w:val="8"/>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本年支出合计319.76万元，其中：基本支出274.96万元，占86%；项目支出44.80万元，占14%；上缴上级支出0万元，占0%；经营支出0万元，占0%；对附属单位补助支出0万元，占0%。</w:t>
      </w:r>
    </w:p>
    <w:p>
      <w:pPr>
        <w:pStyle w:val="8"/>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四、财政拨款收入支出决算总体情况说明</w:t>
      </w:r>
    </w:p>
    <w:p>
      <w:pPr>
        <w:pStyle w:val="8"/>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 年度财政拨款收入319.61万元，年初财政拨款结转和结余0.15万元，收入总计319.76万元</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支出总计319.76万元。与2020年相比，收入增长20.11万元，增长7%，支出增加20.41万元，增长7%，主要是因为项目支出增加。</w:t>
      </w:r>
    </w:p>
    <w:p>
      <w:pPr>
        <w:pStyle w:val="8"/>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五、一般公共预算财政拨款支出决算情况说明</w:t>
      </w:r>
    </w:p>
    <w:p>
      <w:pPr>
        <w:pStyle w:val="8"/>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（一）财政拨款支出决算总体情况</w:t>
      </w:r>
    </w:p>
    <w:p>
      <w:pPr>
        <w:pStyle w:val="8"/>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2021年度财政拨款支出319.76万元，占本年支出合计的100%，与2020年相比，财政拨款支出增加20.41万元，增长7%，主要是因为项目支出增加。</w:t>
      </w:r>
    </w:p>
    <w:p>
      <w:pPr>
        <w:pStyle w:val="8"/>
        <w:ind w:firstLine="420" w:firstLineChars="15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（二）财政拨款支出决算结构情况</w:t>
      </w:r>
    </w:p>
    <w:p>
      <w:pPr>
        <w:pStyle w:val="8"/>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2021年度财政拨款支出319.76万元，主要用于以下方面：一般公共服务（类）支出0万元，占0%；教育（类）支出319.76万元，占100%。</w:t>
      </w:r>
    </w:p>
    <w:p>
      <w:pPr>
        <w:pStyle w:val="8"/>
        <w:ind w:firstLine="700" w:firstLineChars="25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（三）财政拨款支出决算具体情况</w:t>
      </w:r>
    </w:p>
    <w:p>
      <w:pPr>
        <w:pStyle w:val="8"/>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2021年度财政拨款支出年初预算数为406.20万元，支出决算数为319.76万元，完成年初预算的78.72%，其中：</w:t>
      </w:r>
    </w:p>
    <w:p>
      <w:pPr>
        <w:pStyle w:val="8"/>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教育支出（类）普通教育（款）初中教育（项）。</w:t>
      </w:r>
    </w:p>
    <w:p>
      <w:pPr>
        <w:pStyle w:val="8"/>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2021年初预算为406.20万元，支出决算为319.76万元，完成年初预算的78.72%，决算数小于年初预算数的主要原因是：学生减少及学校开源节流。</w:t>
      </w:r>
    </w:p>
    <w:p>
      <w:pPr>
        <w:pStyle w:val="8"/>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六、一般公共预算财政拨款基本支出决算情况说明</w:t>
      </w:r>
    </w:p>
    <w:p>
      <w:pPr>
        <w:pStyle w:val="8"/>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2021年度财政拨款基本支出274.96万元，其中：人员经费236.08万元，占基本支出的85.86%,主要包括基本工资、津贴补贴、</w:t>
      </w:r>
      <w:r>
        <w:rPr>
          <w:rFonts w:hint="eastAsia" w:asciiTheme="minorEastAsia" w:hAnsiTheme="minorEastAsia" w:eastAsiaTheme="minorEastAsia" w:cstheme="minorEastAsia"/>
          <w:sz w:val="28"/>
          <w:szCs w:val="28"/>
          <w:lang w:eastAsia="zh-CN"/>
        </w:rPr>
        <w:t>绩效工资、</w:t>
      </w:r>
      <w:r>
        <w:rPr>
          <w:rFonts w:hint="eastAsia" w:asciiTheme="minorEastAsia" w:hAnsiTheme="minorEastAsia" w:eastAsiaTheme="minorEastAsia" w:cstheme="minorEastAsia"/>
          <w:sz w:val="28"/>
          <w:szCs w:val="28"/>
        </w:rPr>
        <w:t>机关养老保险、医疗保险、住房公积金等；公用经费38.88万元，占基本支出的14.14%，主要包括办公费、印刷费、</w:t>
      </w:r>
      <w:r>
        <w:rPr>
          <w:rFonts w:hint="eastAsia" w:asciiTheme="minorEastAsia" w:hAnsiTheme="minorEastAsia" w:eastAsiaTheme="minorEastAsia" w:cstheme="minorEastAsia"/>
          <w:sz w:val="28"/>
          <w:szCs w:val="28"/>
          <w:lang w:eastAsia="zh-CN"/>
        </w:rPr>
        <w:t>电费等。</w:t>
      </w:r>
    </w:p>
    <w:p>
      <w:pPr>
        <w:pStyle w:val="8"/>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七、一般公共预算财政拨款三公经费支出决算情况说明</w:t>
      </w:r>
    </w:p>
    <w:p>
      <w:pPr>
        <w:pStyle w:val="8"/>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（一）“三公”经费财政拨款支出决算总体情况说明</w:t>
      </w:r>
    </w:p>
    <w:p>
      <w:pPr>
        <w:pStyle w:val="8"/>
        <w:ind w:firstLine="700" w:firstLineChars="25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“三公”经费财政拨款支出预算为0万元，支出决算为0万元，因预算数为0，无法计算预算完成百分比。其中：</w:t>
      </w:r>
    </w:p>
    <w:p>
      <w:pPr>
        <w:pStyle w:val="8"/>
        <w:ind w:firstLine="700" w:firstLineChars="25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因公出国(境)费支出预算为0万元，支出决算为 0万元，因预算数为 0，无法计算预算完成百分比。决算数与预算数一致，与上年相比持平，原因是上年及本年均无出国出境情况，无相关费用支出。</w:t>
      </w:r>
    </w:p>
    <w:p>
      <w:pPr>
        <w:pStyle w:val="8"/>
        <w:ind w:firstLine="700" w:firstLineChars="25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公务接待费支出预算为0万元，支出决算为0万元，因预算数为0，无法计算预算完成百分比。决算数与预算数一致，与上年相比持平。原因是上年及本年均无公务接待费支出</w:t>
      </w:r>
      <w:r>
        <w:rPr>
          <w:rFonts w:hint="eastAsia" w:asciiTheme="minorEastAsia" w:hAnsiTheme="minorEastAsia" w:eastAsiaTheme="minorEastAsia" w:cstheme="minorEastAsia"/>
          <w:color w:val="auto"/>
          <w:sz w:val="28"/>
          <w:szCs w:val="28"/>
          <w:lang w:eastAsia="zh-CN"/>
        </w:rPr>
        <w:t>。</w:t>
      </w:r>
      <w:bookmarkStart w:id="2" w:name="_GoBack"/>
      <w:bookmarkEnd w:id="2"/>
    </w:p>
    <w:p>
      <w:pPr>
        <w:pStyle w:val="8"/>
        <w:keepNext w:val="0"/>
        <w:keepLines w:val="0"/>
        <w:pageBreakBefore w:val="0"/>
        <w:widowControl w:val="0"/>
        <w:kinsoku/>
        <w:wordWrap/>
        <w:overflowPunct/>
        <w:topLinePunct w:val="0"/>
        <w:autoSpaceDE w:val="0"/>
        <w:autoSpaceDN w:val="0"/>
        <w:bidi w:val="0"/>
        <w:adjustRightInd w:val="0"/>
        <w:snapToGrid/>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公务用车购置费支出预算为0万元，支出决算为0万元，因预算数为0，无法计算预算完成百分比。决算数与预算数一致，与上年相比持平，原因是上年及本年均无公务用车购置费支出。</w:t>
      </w:r>
    </w:p>
    <w:p>
      <w:pPr>
        <w:pStyle w:val="8"/>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（二）“三公”经费财政拨款支出决算具体情况说明</w:t>
      </w:r>
    </w:p>
    <w:p>
      <w:pPr>
        <w:pStyle w:val="8"/>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2021年度“三公”经费财政拨款支出决算中，公务接待费支出决算0万元，占0%,因公出国（境）费支出决算0万元，占0%,公务用车购置费及运行维护费支出决算0万元，占0%。其中：</w:t>
      </w:r>
    </w:p>
    <w:p>
      <w:pPr>
        <w:pStyle w:val="8"/>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因公出国（境）费支出决算为0万元，全年安排因公出国（境）团组0个，累计0人次。</w:t>
      </w:r>
    </w:p>
    <w:p>
      <w:pPr>
        <w:pStyle w:val="8"/>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公务接待费支出决算为0万元，全年共接待来访团组0个、来宾0人次。</w:t>
      </w:r>
    </w:p>
    <w:p>
      <w:pPr>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sz w:val="28"/>
          <w:szCs w:val="28"/>
        </w:rPr>
        <w:t>3</w:t>
      </w:r>
      <w:r>
        <w:rPr>
          <w:rFonts w:hint="eastAsia" w:asciiTheme="minorEastAsia" w:hAnsiTheme="minorEastAsia" w:cstheme="minorEastAsia"/>
          <w:sz w:val="28"/>
          <w:szCs w:val="28"/>
          <w:lang w:val="en-US" w:eastAsia="zh-CN"/>
        </w:rPr>
        <w:t>.</w:t>
      </w:r>
      <w:r>
        <w:rPr>
          <w:rFonts w:hint="eastAsia" w:asciiTheme="minorEastAsia" w:hAnsiTheme="minorEastAsia" w:cstheme="minorEastAsia"/>
          <w:sz w:val="28"/>
          <w:szCs w:val="28"/>
        </w:rPr>
        <w:t>公务用车购置费及运行维护费支出决算为0万元，其中：公务用车购置费0万元</w:t>
      </w:r>
      <w:r>
        <w:rPr>
          <w:rFonts w:hint="eastAsia" w:asciiTheme="minorEastAsia" w:hAnsiTheme="minorEastAsia" w:cstheme="minorEastAsia"/>
          <w:color w:val="000000" w:themeColor="text1"/>
          <w:sz w:val="28"/>
          <w:szCs w:val="28"/>
        </w:rPr>
        <w:t>。</w:t>
      </w:r>
      <w:r>
        <w:rPr>
          <w:rFonts w:hint="eastAsia" w:asciiTheme="minorEastAsia" w:hAnsiTheme="minorEastAsia" w:cstheme="minorEastAsia"/>
          <w:color w:val="000000" w:themeColor="text1"/>
          <w:sz w:val="28"/>
          <w:szCs w:val="28"/>
          <w:lang w:eastAsia="zh-CN"/>
        </w:rPr>
        <w:t>更新公务用车</w:t>
      </w:r>
      <w:r>
        <w:rPr>
          <w:rFonts w:hint="eastAsia" w:asciiTheme="minorEastAsia" w:hAnsiTheme="minorEastAsia" w:cstheme="minorEastAsia"/>
          <w:color w:val="000000" w:themeColor="text1"/>
          <w:sz w:val="28"/>
          <w:szCs w:val="28"/>
          <w:lang w:val="en-US" w:eastAsia="zh-CN"/>
        </w:rPr>
        <w:t>0</w:t>
      </w:r>
      <w:r>
        <w:rPr>
          <w:rFonts w:hint="eastAsia" w:asciiTheme="minorEastAsia" w:hAnsiTheme="minorEastAsia" w:cstheme="minorEastAsia"/>
          <w:color w:val="000000" w:themeColor="text1"/>
          <w:sz w:val="28"/>
          <w:szCs w:val="28"/>
          <w:lang w:eastAsia="zh-CN"/>
        </w:rPr>
        <w:t>辆。</w:t>
      </w:r>
      <w:r>
        <w:rPr>
          <w:rFonts w:hint="eastAsia" w:asciiTheme="minorEastAsia" w:hAnsiTheme="minorEastAsia" w:cstheme="minorEastAsia"/>
          <w:sz w:val="28"/>
          <w:szCs w:val="28"/>
        </w:rPr>
        <w:t>公务用车运行维护费0万元，截止2021年12月31日，我单位开支财政拨款的公务用车保有量为0辆。</w:t>
      </w:r>
    </w:p>
    <w:p>
      <w:pPr>
        <w:pStyle w:val="8"/>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八、政府性基金预算收入支出决算情况</w:t>
      </w:r>
    </w:p>
    <w:p>
      <w:pPr>
        <w:pStyle w:val="8"/>
        <w:ind w:firstLine="700" w:firstLineChars="25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2021年度</w:t>
      </w:r>
      <w:r>
        <w:rPr>
          <w:rFonts w:hint="eastAsia" w:asciiTheme="minorEastAsia" w:hAnsiTheme="minorEastAsia" w:eastAsiaTheme="minorEastAsia" w:cstheme="minorEastAsia"/>
          <w:color w:val="auto"/>
          <w:sz w:val="28"/>
          <w:szCs w:val="28"/>
        </w:rPr>
        <w:t>本单位无政府性基金收支</w:t>
      </w:r>
      <w:r>
        <w:rPr>
          <w:rFonts w:hint="eastAsia" w:asciiTheme="minorEastAsia" w:hAnsiTheme="minorEastAsia" w:cstheme="minorEastAsia"/>
          <w:sz w:val="28"/>
          <w:szCs w:val="28"/>
        </w:rPr>
        <w:t>。</w:t>
      </w:r>
    </w:p>
    <w:p>
      <w:pPr>
        <w:pStyle w:val="8"/>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九、</w:t>
      </w:r>
      <w:r>
        <w:rPr>
          <w:rFonts w:hint="eastAsia" w:ascii="宋体" w:hAnsi="宋体" w:eastAsia="宋体" w:cs="宋体"/>
          <w:b/>
          <w:bCs/>
          <w:color w:val="333333"/>
          <w:sz w:val="28"/>
          <w:szCs w:val="28"/>
          <w:shd w:val="clear" w:color="auto" w:fill="FFFFFF"/>
        </w:rPr>
        <w:t>国有资本经营预算财政拨款支出决算情况</w:t>
      </w:r>
    </w:p>
    <w:p>
      <w:pPr>
        <w:pStyle w:val="8"/>
        <w:ind w:firstLine="700" w:firstLineChars="25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2021年度</w:t>
      </w:r>
      <w:r>
        <w:rPr>
          <w:rFonts w:hint="eastAsia" w:asciiTheme="minorEastAsia" w:hAnsiTheme="minorEastAsia" w:eastAsiaTheme="minorEastAsia" w:cstheme="minorEastAsia"/>
          <w:color w:val="auto"/>
          <w:sz w:val="28"/>
          <w:szCs w:val="28"/>
        </w:rPr>
        <w:t>本单位无</w:t>
      </w:r>
      <w:r>
        <w:rPr>
          <w:rFonts w:hint="eastAsia" w:ascii="宋体" w:hAnsi="宋体" w:eastAsia="宋体" w:cs="宋体"/>
          <w:color w:val="auto"/>
          <w:sz w:val="28"/>
          <w:szCs w:val="28"/>
          <w:shd w:val="clear" w:color="auto" w:fill="FFFFFF"/>
        </w:rPr>
        <w:t>国有资本经营预算财政拨款支出</w:t>
      </w:r>
      <w:r>
        <w:rPr>
          <w:rFonts w:hint="eastAsia" w:asciiTheme="minorEastAsia" w:hAnsiTheme="minorEastAsia" w:cstheme="minorEastAsia"/>
          <w:sz w:val="28"/>
          <w:szCs w:val="28"/>
        </w:rPr>
        <w:t>。</w:t>
      </w:r>
    </w:p>
    <w:p>
      <w:pPr>
        <w:rPr>
          <w:rFonts w:asciiTheme="minorEastAsia" w:hAnsiTheme="minorEastAsia" w:cstheme="minorEastAsia"/>
          <w:b/>
          <w:color w:val="000000"/>
          <w:kern w:val="0"/>
          <w:sz w:val="28"/>
          <w:szCs w:val="28"/>
        </w:rPr>
      </w:pPr>
      <w:r>
        <w:rPr>
          <w:rFonts w:hint="eastAsia" w:asciiTheme="minorEastAsia" w:hAnsiTheme="minorEastAsia" w:cstheme="minorEastAsia"/>
          <w:b/>
          <w:sz w:val="28"/>
          <w:szCs w:val="28"/>
        </w:rPr>
        <w:t>十、</w:t>
      </w:r>
      <w:r>
        <w:rPr>
          <w:rFonts w:hint="eastAsia" w:asciiTheme="minorEastAsia" w:hAnsiTheme="minorEastAsia" w:cstheme="minorEastAsia"/>
          <w:b/>
          <w:color w:val="000000"/>
          <w:kern w:val="0"/>
          <w:sz w:val="28"/>
          <w:szCs w:val="28"/>
        </w:rPr>
        <w:t>机关运行经费支出情况</w:t>
      </w:r>
    </w:p>
    <w:p>
      <w:pPr>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本部门2021 年度机关运行经费支出38.88万元，比年初预算数减少7.02万元，降低18%。主要原因是：学校开源节流</w:t>
      </w:r>
      <w:r>
        <w:rPr>
          <w:rFonts w:hint="eastAsia" w:asciiTheme="minorEastAsia" w:hAnsiTheme="minorEastAsia" w:cstheme="minorEastAsia"/>
          <w:sz w:val="28"/>
          <w:szCs w:val="28"/>
        </w:rPr>
        <w:t>。</w:t>
      </w:r>
    </w:p>
    <w:p>
      <w:pPr>
        <w:rPr>
          <w:rFonts w:asciiTheme="minorEastAsia" w:hAnsiTheme="minorEastAsia" w:cstheme="minorEastAsia"/>
          <w:b/>
          <w:color w:val="000000"/>
          <w:kern w:val="0"/>
          <w:sz w:val="28"/>
          <w:szCs w:val="28"/>
        </w:rPr>
      </w:pPr>
      <w:r>
        <w:rPr>
          <w:rFonts w:hint="eastAsia" w:asciiTheme="minorEastAsia" w:hAnsiTheme="minorEastAsia" w:cstheme="minorEastAsia"/>
          <w:b/>
          <w:sz w:val="28"/>
          <w:szCs w:val="28"/>
        </w:rPr>
        <w:t>十一、</w:t>
      </w:r>
      <w:r>
        <w:rPr>
          <w:rFonts w:hint="eastAsia" w:asciiTheme="minorEastAsia" w:hAnsiTheme="minorEastAsia" w:cstheme="minorEastAsia"/>
          <w:b/>
          <w:color w:val="000000"/>
          <w:kern w:val="0"/>
          <w:sz w:val="28"/>
          <w:szCs w:val="28"/>
        </w:rPr>
        <w:t>一般性支出情况</w:t>
      </w:r>
    </w:p>
    <w:p>
      <w:pPr>
        <w:ind w:firstLine="560" w:firstLineChars="200"/>
        <w:rPr>
          <w:rFonts w:hint="eastAsia" w:asciiTheme="minorEastAsia" w:hAnsiTheme="minorEastAsia" w:eastAsiaTheme="minorEastAsia" w:cstheme="minorEastAsia"/>
          <w:color w:val="000000"/>
          <w:kern w:val="0"/>
          <w:sz w:val="28"/>
          <w:szCs w:val="28"/>
          <w:lang w:eastAsia="zh-CN"/>
        </w:rPr>
      </w:pPr>
      <w:r>
        <w:rPr>
          <w:rFonts w:hint="eastAsia" w:asciiTheme="minorEastAsia" w:hAnsiTheme="minorEastAsia" w:cstheme="minorEastAsia"/>
          <w:color w:val="000000"/>
          <w:kern w:val="0"/>
          <w:sz w:val="28"/>
          <w:szCs w:val="28"/>
        </w:rPr>
        <w:t>2021年本部门开支会议费0万元</w:t>
      </w:r>
      <w:r>
        <w:rPr>
          <w:rFonts w:hint="eastAsia" w:asciiTheme="minorEastAsia" w:hAnsiTheme="minorEastAsia" w:cstheme="minorEastAsia"/>
          <w:color w:val="000000"/>
          <w:kern w:val="0"/>
          <w:sz w:val="28"/>
          <w:szCs w:val="28"/>
          <w:lang w:eastAsia="zh-CN"/>
        </w:rPr>
        <w:t>，人数</w:t>
      </w:r>
      <w:r>
        <w:rPr>
          <w:rFonts w:hint="eastAsia" w:asciiTheme="minorEastAsia" w:hAnsiTheme="minorEastAsia" w:cstheme="minorEastAsia"/>
          <w:color w:val="000000"/>
          <w:kern w:val="0"/>
          <w:sz w:val="28"/>
          <w:szCs w:val="28"/>
          <w:lang w:val="en-US" w:eastAsia="zh-CN"/>
        </w:rPr>
        <w:t>0人</w:t>
      </w:r>
      <w:r>
        <w:rPr>
          <w:rFonts w:hint="eastAsia" w:asciiTheme="minorEastAsia" w:hAnsiTheme="minorEastAsia" w:cstheme="minorEastAsia"/>
          <w:color w:val="000000"/>
          <w:kern w:val="0"/>
          <w:sz w:val="28"/>
          <w:szCs w:val="28"/>
        </w:rPr>
        <w:t>；开支培训费4.52万元，用于开展教育教学培训，人数140人次，内容为管理与教育理念培训、教学技能培训</w:t>
      </w:r>
      <w:r>
        <w:rPr>
          <w:rFonts w:hint="eastAsia" w:asciiTheme="minorEastAsia" w:hAnsiTheme="minorEastAsia" w:cstheme="minorEastAsia"/>
          <w:color w:val="000000"/>
          <w:kern w:val="0"/>
          <w:sz w:val="28"/>
          <w:szCs w:val="28"/>
          <w:lang w:eastAsia="zh-CN"/>
        </w:rPr>
        <w:t>；</w:t>
      </w:r>
      <w:r>
        <w:rPr>
          <w:rFonts w:hint="eastAsia" w:ascii="宋体" w:hAnsi="宋体" w:cs="宋体"/>
          <w:color w:val="000000"/>
          <w:kern w:val="0"/>
          <w:sz w:val="28"/>
          <w:szCs w:val="28"/>
          <w:lang w:val="en-US" w:eastAsia="zh-CN"/>
        </w:rPr>
        <w:t>未举办节庆、晚会、赛事活动，开支0万元。</w:t>
      </w:r>
    </w:p>
    <w:p>
      <w:pPr>
        <w:rPr>
          <w:rFonts w:asciiTheme="minorEastAsia" w:hAnsiTheme="minorEastAsia" w:cstheme="minorEastAsia"/>
          <w:b/>
          <w:color w:val="000000"/>
          <w:kern w:val="0"/>
          <w:sz w:val="28"/>
          <w:szCs w:val="28"/>
        </w:rPr>
      </w:pPr>
      <w:r>
        <w:rPr>
          <w:rFonts w:hint="eastAsia" w:asciiTheme="minorEastAsia" w:hAnsiTheme="minorEastAsia" w:cstheme="minorEastAsia"/>
          <w:b/>
          <w:color w:val="000000"/>
          <w:kern w:val="0"/>
          <w:sz w:val="28"/>
          <w:szCs w:val="28"/>
        </w:rPr>
        <w:t>十二、政府采购支出情况</w:t>
      </w:r>
    </w:p>
    <w:p>
      <w:pPr>
        <w:ind w:firstLine="560" w:firstLineChars="200"/>
        <w:rPr>
          <w:rFonts w:asciiTheme="minorEastAsia" w:hAnsiTheme="minorEastAsia" w:cstheme="minorEastAsia"/>
          <w:i/>
          <w:color w:val="FF0000"/>
          <w:kern w:val="0"/>
          <w:sz w:val="28"/>
          <w:szCs w:val="28"/>
        </w:rPr>
      </w:pPr>
      <w:r>
        <w:rPr>
          <w:rFonts w:hint="eastAsia" w:asciiTheme="minorEastAsia" w:hAnsiTheme="minorEastAsia" w:cstheme="minorEastAsia"/>
          <w:color w:val="000000"/>
          <w:kern w:val="0"/>
          <w:sz w:val="28"/>
          <w:szCs w:val="28"/>
        </w:rPr>
        <w:t>本部门2021年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ind w:firstLine="420" w:firstLineChars="150"/>
        <w:rPr>
          <w:rFonts w:asciiTheme="minorEastAsia" w:hAnsiTheme="minorEastAsia" w:cstheme="minorEastAsia"/>
          <w:b/>
          <w:color w:val="000000"/>
          <w:kern w:val="0"/>
          <w:sz w:val="28"/>
          <w:szCs w:val="28"/>
        </w:rPr>
      </w:pPr>
      <w:r>
        <w:rPr>
          <w:rFonts w:hint="eastAsia" w:asciiTheme="minorEastAsia" w:hAnsiTheme="minorEastAsia" w:cstheme="minorEastAsia"/>
          <w:b/>
          <w:color w:val="000000"/>
          <w:kern w:val="0"/>
          <w:sz w:val="28"/>
          <w:szCs w:val="28"/>
        </w:rPr>
        <w:t>十三、国有资产占用情况</w:t>
      </w:r>
    </w:p>
    <w:p>
      <w:pPr>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截至2021年12月31日，本单位共有车辆0辆，其中，领导干部用车0辆、机要通信用车0辆、应急保障用车0辆、执法执勤用车0辆、特种专业技术用车0辆、其他用车0辆；单位价值50万元以上通用设备0台（套）；单位价值100万元以上专用设备0台（套）。</w:t>
      </w:r>
    </w:p>
    <w:p>
      <w:pPr>
        <w:pStyle w:val="8"/>
        <w:rPr>
          <w:rFonts w:asciiTheme="minorEastAsia" w:hAnsiTheme="minorEastAsia" w:eastAsiaTheme="minorEastAsia" w:cstheme="minorEastAsia"/>
          <w:b/>
          <w:sz w:val="28"/>
          <w:szCs w:val="28"/>
        </w:rPr>
      </w:pPr>
      <w:r>
        <w:rPr>
          <w:rFonts w:hint="eastAsia" w:asciiTheme="minorEastAsia" w:hAnsiTheme="minorEastAsia" w:cstheme="minorEastAsia"/>
          <w:b/>
          <w:sz w:val="28"/>
          <w:szCs w:val="28"/>
        </w:rPr>
        <w:t>十四、</w:t>
      </w:r>
      <w:r>
        <w:rPr>
          <w:rFonts w:hint="eastAsia" w:asciiTheme="minorEastAsia" w:hAnsiTheme="minorEastAsia" w:eastAsiaTheme="minorEastAsia" w:cstheme="minorEastAsia"/>
          <w:b/>
          <w:sz w:val="28"/>
          <w:szCs w:val="28"/>
        </w:rPr>
        <w:t>2021年度预算绩效情况说明</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autoSpaceDE w:val="0"/>
        <w:autoSpaceDN w:val="0"/>
        <w:adjustRightInd w:val="0"/>
        <w:ind w:firstLine="560" w:firstLineChars="200"/>
        <w:jc w:val="left"/>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根据预算绩效管理要求，我部门组织对</w:t>
      </w:r>
      <w:r>
        <w:rPr>
          <w:rFonts w:cs="黑体" w:asciiTheme="minorEastAsia" w:hAnsiTheme="minorEastAsia"/>
          <w:color w:val="000000"/>
          <w:kern w:val="0"/>
          <w:sz w:val="28"/>
          <w:szCs w:val="28"/>
        </w:rPr>
        <w:t xml:space="preserve">2021 </w:t>
      </w:r>
      <w:r>
        <w:rPr>
          <w:rFonts w:hint="eastAsia" w:cs="黑体" w:asciiTheme="minorEastAsia" w:hAnsiTheme="minorEastAsia"/>
          <w:color w:val="000000"/>
          <w:kern w:val="0"/>
          <w:sz w:val="28"/>
          <w:szCs w:val="28"/>
        </w:rPr>
        <w:t>年度一般公共预算项目支出全面开展绩效自评，其中，一级项目0个，二级项目1个，共涉及资金44.80万元，占一般公共预算项目支出总额的</w:t>
      </w:r>
      <w:r>
        <w:rPr>
          <w:rFonts w:hint="eastAsia" w:cs="黑体" w:asciiTheme="minorEastAsia" w:hAnsiTheme="minorEastAsia"/>
          <w:color w:val="000000"/>
          <w:kern w:val="0"/>
          <w:sz w:val="28"/>
          <w:szCs w:val="28"/>
          <w:lang w:val="en-US" w:eastAsia="zh-CN"/>
        </w:rPr>
        <w:t>100</w:t>
      </w:r>
      <w:r>
        <w:rPr>
          <w:rFonts w:cs="黑体" w:asciiTheme="minorEastAsia" w:hAnsiTheme="minorEastAsia"/>
          <w:color w:val="000000"/>
          <w:kern w:val="0"/>
          <w:sz w:val="28"/>
          <w:szCs w:val="28"/>
        </w:rPr>
        <w:t>%</w:t>
      </w:r>
      <w:r>
        <w:rPr>
          <w:rFonts w:hint="eastAsia" w:cs="黑体" w:asciiTheme="minorEastAsia" w:hAnsiTheme="minorEastAsia"/>
          <w:color w:val="000000"/>
          <w:kern w:val="0"/>
          <w:sz w:val="28"/>
          <w:szCs w:val="28"/>
        </w:rPr>
        <w:t>。组织对</w:t>
      </w:r>
      <w:r>
        <w:rPr>
          <w:rFonts w:cs="黑体" w:asciiTheme="minorEastAsia" w:hAnsiTheme="minorEastAsia"/>
          <w:color w:val="000000"/>
          <w:kern w:val="0"/>
          <w:sz w:val="28"/>
          <w:szCs w:val="28"/>
        </w:rPr>
        <w:t>2021</w:t>
      </w:r>
      <w:r>
        <w:rPr>
          <w:rFonts w:hint="eastAsia" w:cs="黑体" w:asciiTheme="minorEastAsia" w:hAnsiTheme="minorEastAsia"/>
          <w:color w:val="000000"/>
          <w:kern w:val="0"/>
          <w:sz w:val="28"/>
          <w:szCs w:val="28"/>
        </w:rPr>
        <w:t>年度国有资本经营预算项目支出开展绩效自评，共涉及资金0万元，占国有资本经营预算项目支出总额的0</w:t>
      </w:r>
      <w:r>
        <w:rPr>
          <w:rFonts w:cs="黑体" w:asciiTheme="minorEastAsia" w:hAnsiTheme="minorEastAsia"/>
          <w:color w:val="000000"/>
          <w:kern w:val="0"/>
          <w:sz w:val="28"/>
          <w:szCs w:val="28"/>
        </w:rPr>
        <w:t>%</w:t>
      </w:r>
      <w:r>
        <w:rPr>
          <w:rFonts w:hint="eastAsia" w:cs="黑体" w:asciiTheme="minorEastAsia" w:hAnsiTheme="minorEastAsia"/>
          <w:color w:val="000000"/>
          <w:kern w:val="0"/>
          <w:sz w:val="28"/>
          <w:szCs w:val="28"/>
        </w:rPr>
        <w:t>。</w:t>
      </w:r>
    </w:p>
    <w:p>
      <w:pPr>
        <w:autoSpaceDE w:val="0"/>
        <w:autoSpaceDN w:val="0"/>
        <w:adjustRightInd w:val="0"/>
        <w:ind w:firstLine="560" w:firstLineChars="200"/>
        <w:jc w:val="left"/>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本单位无所谓二级单位，已开展项目绩效自评，无需对项目开展部门评价。</w:t>
      </w:r>
    </w:p>
    <w:p>
      <w:pPr>
        <w:autoSpaceDE w:val="0"/>
        <w:autoSpaceDN w:val="0"/>
        <w:adjustRightInd w:val="0"/>
        <w:ind w:firstLine="560" w:firstLineChars="200"/>
        <w:jc w:val="left"/>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组织对知市坪中学1个单位开展整体支出绩效评价，涉及一般公共预算支出319.76万元，政府性基金预算支出0万元，国有资本经营预算支出0万元。从评价情况来看，我校预算管理健全，资金使用合规，预决算信息公开完善，资产管理科学，职责履行到位，效益显著。2021年知市坪中学整体支出绩效自评分为98分。</w:t>
      </w:r>
    </w:p>
    <w:p>
      <w:pPr>
        <w:autoSpaceDE w:val="0"/>
        <w:autoSpaceDN w:val="0"/>
        <w:adjustRightInd w:val="0"/>
        <w:ind w:firstLine="560" w:firstLineChars="200"/>
        <w:jc w:val="left"/>
        <w:rPr>
          <w:rFonts w:cs="黑体" w:asciiTheme="minorEastAsia" w:hAnsiTheme="minorEastAsia"/>
          <w:b/>
          <w:color w:val="000000"/>
          <w:kern w:val="0"/>
          <w:sz w:val="28"/>
          <w:szCs w:val="28"/>
        </w:rPr>
      </w:pPr>
      <w:r>
        <w:rPr>
          <w:rFonts w:hint="eastAsia" w:cs="黑体" w:asciiTheme="minorEastAsia" w:hAnsiTheme="minorEastAsia"/>
          <w:b/>
          <w:color w:val="000000"/>
          <w:kern w:val="0"/>
          <w:sz w:val="28"/>
          <w:szCs w:val="28"/>
        </w:rPr>
        <w:t>（2）部门决算中项目绩效自评结果（如有）。</w:t>
      </w:r>
    </w:p>
    <w:p>
      <w:pPr>
        <w:autoSpaceDE w:val="0"/>
        <w:autoSpaceDN w:val="0"/>
        <w:adjustRightInd w:val="0"/>
        <w:ind w:firstLine="560" w:firstLineChars="200"/>
        <w:jc w:val="left"/>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项目绩效自评综述：根据年初设定的绩效目标，项目绩效自评得分为87</w:t>
      </w:r>
      <w:r>
        <w:rPr>
          <w:rFonts w:cs="黑体" w:asciiTheme="minorEastAsia" w:hAnsiTheme="minorEastAsia"/>
          <w:color w:val="000000"/>
          <w:kern w:val="0"/>
          <w:sz w:val="28"/>
          <w:szCs w:val="28"/>
        </w:rPr>
        <w:t xml:space="preserve"> </w:t>
      </w:r>
      <w:r>
        <w:rPr>
          <w:rFonts w:hint="eastAsia" w:cs="黑体" w:asciiTheme="minorEastAsia" w:hAnsiTheme="minorEastAsia"/>
          <w:color w:val="000000"/>
          <w:kern w:val="0"/>
          <w:sz w:val="28"/>
          <w:szCs w:val="28"/>
        </w:rPr>
        <w:t>分。项目全年预算数为56.80</w:t>
      </w:r>
      <w:r>
        <w:rPr>
          <w:rFonts w:cs="黑体" w:asciiTheme="minorEastAsia" w:hAnsiTheme="minorEastAsia"/>
          <w:color w:val="000000"/>
          <w:kern w:val="0"/>
          <w:sz w:val="28"/>
          <w:szCs w:val="28"/>
        </w:rPr>
        <w:t xml:space="preserve"> </w:t>
      </w:r>
      <w:r>
        <w:rPr>
          <w:rFonts w:hint="eastAsia" w:cs="黑体" w:asciiTheme="minorEastAsia" w:hAnsiTheme="minorEastAsia"/>
          <w:color w:val="000000"/>
          <w:kern w:val="0"/>
          <w:sz w:val="28"/>
          <w:szCs w:val="28"/>
        </w:rPr>
        <w:t>万元，执行数为44.80万元，完成预算的78.87</w:t>
      </w:r>
      <w:r>
        <w:rPr>
          <w:rFonts w:cs="黑体" w:asciiTheme="minorEastAsia" w:hAnsiTheme="minorEastAsia"/>
          <w:color w:val="000000"/>
          <w:kern w:val="0"/>
          <w:sz w:val="28"/>
          <w:szCs w:val="28"/>
        </w:rPr>
        <w:t>%</w:t>
      </w:r>
      <w:r>
        <w:rPr>
          <w:rFonts w:hint="eastAsia" w:cs="黑体" w:asciiTheme="minorEastAsia" w:hAnsiTheme="minorEastAsia"/>
          <w:color w:val="000000"/>
          <w:kern w:val="0"/>
          <w:sz w:val="28"/>
          <w:szCs w:val="28"/>
        </w:rPr>
        <w:t>。项目绩效目标完成情况：新建厕所工程。发现的主要问题及原因：无。下一步改进措施：无。</w:t>
      </w:r>
    </w:p>
    <w:p>
      <w:pPr>
        <w:autoSpaceDE w:val="0"/>
        <w:autoSpaceDN w:val="0"/>
        <w:adjustRightInd w:val="0"/>
        <w:ind w:firstLine="560" w:firstLineChars="200"/>
        <w:jc w:val="left"/>
        <w:rPr>
          <w:rFonts w:cs="黑体" w:asciiTheme="minorEastAsia" w:hAnsiTheme="minorEastAsia"/>
          <w:color w:val="000000"/>
          <w:kern w:val="0"/>
          <w:sz w:val="28"/>
          <w:szCs w:val="28"/>
        </w:rPr>
      </w:pPr>
      <w:r>
        <w:rPr>
          <w:rFonts w:hint="eastAsia" w:cs="黑体" w:asciiTheme="minorEastAsia" w:hAnsiTheme="minorEastAsia"/>
          <w:b/>
          <w:color w:val="000000"/>
          <w:kern w:val="0"/>
          <w:sz w:val="28"/>
          <w:szCs w:val="28"/>
        </w:rPr>
        <w:t>（</w:t>
      </w:r>
      <w:r>
        <w:rPr>
          <w:rFonts w:cs="黑体" w:asciiTheme="minorEastAsia" w:hAnsiTheme="minorEastAsia"/>
          <w:b/>
          <w:color w:val="000000"/>
          <w:kern w:val="0"/>
          <w:sz w:val="28"/>
          <w:szCs w:val="28"/>
        </w:rPr>
        <w:t>3</w:t>
      </w:r>
      <w:r>
        <w:rPr>
          <w:rFonts w:hint="eastAsia" w:cs="黑体" w:asciiTheme="minorEastAsia" w:hAnsiTheme="minorEastAsia"/>
          <w:b/>
          <w:color w:val="000000"/>
          <w:kern w:val="0"/>
          <w:sz w:val="28"/>
          <w:szCs w:val="28"/>
        </w:rPr>
        <w:t>）部门评价项目绩效评价结果。</w:t>
      </w:r>
    </w:p>
    <w:p>
      <w:pPr>
        <w:pStyle w:val="5"/>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jc w:val="both"/>
        <w:textAlignment w:val="auto"/>
        <w:rPr>
          <w:rFonts w:hint="eastAsia" w:asciiTheme="minorEastAsia" w:hAnsiTheme="minorEastAsia" w:eastAsiaTheme="minorEastAsia" w:cstheme="minorEastAsia"/>
          <w:color w:val="000000"/>
          <w:kern w:val="0"/>
          <w:sz w:val="28"/>
          <w:szCs w:val="28"/>
          <w:lang w:val="en-US" w:eastAsia="zh-CN" w:bidi="ar-SA"/>
        </w:rPr>
      </w:pPr>
      <w:r>
        <w:rPr>
          <w:rFonts w:hint="eastAsia" w:asciiTheme="minorEastAsia" w:hAnsiTheme="minorEastAsia" w:eastAsiaTheme="minorEastAsia" w:cstheme="minorEastAsia"/>
          <w:color w:val="000000"/>
          <w:kern w:val="0"/>
          <w:sz w:val="28"/>
          <w:szCs w:val="28"/>
          <w:lang w:val="en-US" w:eastAsia="zh-CN" w:bidi="ar-SA"/>
        </w:rPr>
        <w:t>本单位无所属二级单位，已开展项目绩效自评，无需开展部门评价，故无部门评价项目绩效评价结果。</w:t>
      </w:r>
    </w:p>
    <w:p>
      <w:pPr>
        <w:pStyle w:val="8"/>
        <w:jc w:val="both"/>
        <w:rPr>
          <w:rFonts w:hAnsi="黑体"/>
          <w:sz w:val="32"/>
          <w:szCs w:val="32"/>
        </w:rPr>
      </w:pPr>
      <w:r>
        <w:rPr>
          <w:rFonts w:hint="eastAsia" w:hAnsi="黑体"/>
          <w:sz w:val="32"/>
          <w:szCs w:val="32"/>
        </w:rPr>
        <w:t>第四部分名词解释</w:t>
      </w:r>
    </w:p>
    <w:p>
      <w:pPr>
        <w:pStyle w:val="8"/>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一、收入科目</w:t>
      </w:r>
    </w:p>
    <w:p>
      <w:pPr>
        <w:pStyle w:val="8"/>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财政拨款收入：指财政当年拨付的资金。</w:t>
      </w:r>
    </w:p>
    <w:p>
      <w:pPr>
        <w:pStyle w:val="8"/>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二、支出科目</w:t>
      </w:r>
    </w:p>
    <w:p>
      <w:pPr>
        <w:pStyle w:val="8"/>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1.基本支出：指为保障机构正常运转、完成日常工作任务而发生的人员支出和公用支出。</w:t>
      </w:r>
    </w:p>
    <w:p>
      <w:pPr>
        <w:pStyle w:val="8"/>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2.项目支出：指在基本支出之外为完成特定行政任务和事业发展目标所发生的支出。</w:t>
      </w:r>
    </w:p>
    <w:p>
      <w:pPr>
        <w:pStyle w:val="8"/>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3.年末结转和结余：指本年度或以前年度预算安排、因客观条件发生变化无法按原计划实施，需延迟到以后年度按有关规定继续使用的资金。</w:t>
      </w:r>
    </w:p>
    <w:p>
      <w:pPr>
        <w:pStyle w:val="8"/>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三、“三公”经费</w:t>
      </w:r>
    </w:p>
    <w:p>
      <w:pPr>
        <w:pStyle w:val="8"/>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8"/>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四、机关运行经费</w:t>
      </w:r>
    </w:p>
    <w:p>
      <w:pPr>
        <w:pStyle w:val="8"/>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是指各部门的公用经费，包括办公及印刷费、邮电费、差旅费、会议费、福利费、日常维修费、专用资料及一般设备购置费、办公用房水电费、网络租赁费、办公用房取暖费、办公用房物业管理费、公务用车运行维护费以及其他费用。</w:t>
      </w:r>
    </w:p>
    <w:p>
      <w:pPr>
        <w:pStyle w:val="8"/>
        <w:ind w:firstLine="640" w:firstLineChars="200"/>
        <w:jc w:val="both"/>
        <w:rPr>
          <w:rFonts w:hAnsi="黑体"/>
          <w:sz w:val="32"/>
          <w:szCs w:val="32"/>
        </w:rPr>
      </w:pPr>
      <w:r>
        <w:rPr>
          <w:rFonts w:hint="eastAsia" w:hAnsi="黑体"/>
          <w:sz w:val="32"/>
          <w:szCs w:val="32"/>
        </w:rPr>
        <w:t>第五部分附件</w:t>
      </w:r>
    </w:p>
    <w:p>
      <w:pPr>
        <w:ind w:firstLine="560" w:firstLineChars="200"/>
        <w:jc w:val="center"/>
        <w:rPr>
          <w:rFonts w:asciiTheme="minorEastAsia" w:hAnsiTheme="minorEastAsia" w:cstheme="minorEastAsia"/>
          <w:b/>
          <w:color w:val="000000"/>
          <w:kern w:val="0"/>
          <w:sz w:val="28"/>
          <w:szCs w:val="28"/>
        </w:rPr>
      </w:pPr>
      <w:r>
        <w:rPr>
          <w:rFonts w:hint="eastAsia" w:asciiTheme="minorEastAsia" w:hAnsiTheme="minorEastAsia" w:cstheme="minorEastAsia"/>
          <w:b/>
          <w:color w:val="000000"/>
          <w:kern w:val="0"/>
          <w:sz w:val="28"/>
          <w:szCs w:val="28"/>
        </w:rPr>
        <w:t>2021年度部门整体支出绩效评价报告</w:t>
      </w: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0F3C52"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518C1"/>
    <w:multiLevelType w:val="multilevel"/>
    <w:tmpl w:val="373518C1"/>
    <w:lvl w:ilvl="0" w:tentative="0">
      <w:start w:val="1"/>
      <w:numFmt w:val="none"/>
      <w:lvlText w:val="一、"/>
      <w:lvlJc w:val="left"/>
      <w:pPr>
        <w:ind w:left="862"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96D3D59"/>
    <w:rsid w:val="0009283E"/>
    <w:rsid w:val="000C32A8"/>
    <w:rsid w:val="001260BF"/>
    <w:rsid w:val="0016384D"/>
    <w:rsid w:val="0022141B"/>
    <w:rsid w:val="00230FF7"/>
    <w:rsid w:val="00271F59"/>
    <w:rsid w:val="00317DF1"/>
    <w:rsid w:val="003D6085"/>
    <w:rsid w:val="00480630"/>
    <w:rsid w:val="00496B5B"/>
    <w:rsid w:val="004D6AE8"/>
    <w:rsid w:val="004F3903"/>
    <w:rsid w:val="005B6078"/>
    <w:rsid w:val="006566D9"/>
    <w:rsid w:val="006A34FE"/>
    <w:rsid w:val="006B421B"/>
    <w:rsid w:val="00732561"/>
    <w:rsid w:val="00786CAD"/>
    <w:rsid w:val="007A4A7F"/>
    <w:rsid w:val="00801528"/>
    <w:rsid w:val="00807E3F"/>
    <w:rsid w:val="009A6721"/>
    <w:rsid w:val="00A7471A"/>
    <w:rsid w:val="00AC77AB"/>
    <w:rsid w:val="00BB4932"/>
    <w:rsid w:val="00BE0A2B"/>
    <w:rsid w:val="00BE719A"/>
    <w:rsid w:val="00C90647"/>
    <w:rsid w:val="00CA2E06"/>
    <w:rsid w:val="00D972A9"/>
    <w:rsid w:val="00E72A7D"/>
    <w:rsid w:val="00ED4C33"/>
    <w:rsid w:val="00F061B8"/>
    <w:rsid w:val="00FF10E6"/>
    <w:rsid w:val="00FF4435"/>
    <w:rsid w:val="048601F5"/>
    <w:rsid w:val="06983C28"/>
    <w:rsid w:val="108833E9"/>
    <w:rsid w:val="14333331"/>
    <w:rsid w:val="176A476F"/>
    <w:rsid w:val="196D3D59"/>
    <w:rsid w:val="25586693"/>
    <w:rsid w:val="28367397"/>
    <w:rsid w:val="2A0355B1"/>
    <w:rsid w:val="2DA26429"/>
    <w:rsid w:val="2F9874C3"/>
    <w:rsid w:val="36DC4165"/>
    <w:rsid w:val="383F5EE0"/>
    <w:rsid w:val="42ED1F84"/>
    <w:rsid w:val="47FD5A57"/>
    <w:rsid w:val="4C6D603D"/>
    <w:rsid w:val="4C8E2E4B"/>
    <w:rsid w:val="5313200B"/>
    <w:rsid w:val="5753429D"/>
    <w:rsid w:val="62545D01"/>
    <w:rsid w:val="627B167E"/>
    <w:rsid w:val="632942E7"/>
    <w:rsid w:val="67172CD4"/>
    <w:rsid w:val="685D1293"/>
    <w:rsid w:val="71062E85"/>
    <w:rsid w:val="71EF54FC"/>
    <w:rsid w:val="790A7FD0"/>
    <w:rsid w:val="796839BB"/>
    <w:rsid w:val="7C066D8A"/>
    <w:rsid w:val="7C3A1A78"/>
    <w:rsid w:val="7E232498"/>
    <w:rsid w:val="7F9E10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paragraph" w:customStyle="1" w:styleId="8">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9">
    <w:name w:val="List Paragraph"/>
    <w:basedOn w:val="1"/>
    <w:qFormat/>
    <w:uiPriority w:val="34"/>
    <w:pPr>
      <w:ind w:firstLine="420" w:firstLineChars="200"/>
    </w:pPr>
  </w:style>
  <w:style w:type="character" w:customStyle="1" w:styleId="10">
    <w:name w:val="页眉 Char"/>
    <w:basedOn w:val="7"/>
    <w:link w:val="4"/>
    <w:qFormat/>
    <w:uiPriority w:val="0"/>
    <w:rPr>
      <w:kern w:val="2"/>
      <w:sz w:val="18"/>
      <w:szCs w:val="18"/>
    </w:rPr>
  </w:style>
  <w:style w:type="character" w:customStyle="1" w:styleId="11">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1403</Words>
  <Characters>7999</Characters>
  <Lines>66</Lines>
  <Paragraphs>18</Paragraphs>
  <TotalTime>0</TotalTime>
  <ScaleCrop>false</ScaleCrop>
  <LinksUpToDate>false</LinksUpToDate>
  <CharactersWithSpaces>9384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2022-10-17T02:27:00Z</dcterms:created>
  <dc:creator>Administrator</dc:creator>
  <cp:lastModifiedBy>Administrator</cp:lastModifiedBy>
  <dcterms:modified xsi:type="dcterms:W3CDTF">2023-09-25T08:28:59Z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5FBD653A3CAB4012AFA93BA5F4258F5F</vt:lpwstr>
  </property>
</Properties>
</file>