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jc w:val="center"/>
        <w:rPr>
          <w:sz w:val="48"/>
          <w:szCs w:val="48"/>
        </w:rPr>
      </w:pPr>
    </w:p>
    <w:p>
      <w:pPr>
        <w:pStyle w:val="5"/>
        <w:jc w:val="center"/>
        <w:rPr>
          <w:sz w:val="48"/>
          <w:szCs w:val="48"/>
        </w:rPr>
      </w:pPr>
      <w:r>
        <w:rPr>
          <w:rFonts w:hint="eastAsia"/>
          <w:sz w:val="48"/>
          <w:szCs w:val="48"/>
        </w:rPr>
        <w:t>新田县归侨侨眷联合会单位2021年度部门决算公开</w:t>
      </w:r>
    </w:p>
    <w:p>
      <w:pPr>
        <w:pStyle w:val="5"/>
        <w:spacing w:line="540" w:lineRule="exact"/>
        <w:jc w:val="center"/>
        <w:rPr>
          <w:sz w:val="56"/>
          <w:szCs w:val="56"/>
        </w:rPr>
      </w:pPr>
    </w:p>
    <w:p>
      <w:pPr>
        <w:pStyle w:val="5"/>
        <w:spacing w:line="520" w:lineRule="exact"/>
        <w:jc w:val="center"/>
        <w:rPr>
          <w:sz w:val="44"/>
          <w:szCs w:val="44"/>
        </w:rPr>
      </w:pPr>
      <w:r>
        <w:rPr>
          <w:rFonts w:hint="eastAsia"/>
          <w:sz w:val="44"/>
          <w:szCs w:val="44"/>
        </w:rPr>
        <w:t>目录</w:t>
      </w:r>
    </w:p>
    <w:p>
      <w:pPr>
        <w:pStyle w:val="5"/>
        <w:spacing w:line="520" w:lineRule="exact"/>
        <w:rPr>
          <w:rFonts w:ascii="仿宋_GB2312" w:hAnsi="仿宋_GB2312" w:cs="仿宋_GB2312"/>
          <w:b/>
          <w:sz w:val="28"/>
          <w:szCs w:val="28"/>
        </w:rPr>
      </w:pPr>
      <w:r>
        <w:rPr>
          <w:rFonts w:hint="eastAsia"/>
          <w:b/>
          <w:sz w:val="28"/>
          <w:szCs w:val="28"/>
        </w:rPr>
        <w:t>第一部分XX单位概况</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5"/>
        <w:spacing w:line="520" w:lineRule="exact"/>
        <w:rPr>
          <w:rFonts w:ascii="仿宋_GB2312" w:hAnsi="仿宋_GB2312" w:cs="仿宋_GB2312"/>
          <w:b/>
          <w:sz w:val="28"/>
          <w:szCs w:val="28"/>
        </w:rPr>
      </w:pPr>
      <w:r>
        <w:rPr>
          <w:rFonts w:hint="eastAsia" w:hAnsi="仿宋_GB2312"/>
          <w:b/>
          <w:sz w:val="28"/>
          <w:szCs w:val="28"/>
        </w:rPr>
        <w:t>第二部分2021年度部门决算表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5"/>
        <w:spacing w:line="520" w:lineRule="exact"/>
        <w:ind w:firstLine="840" w:firstLineChars="300"/>
        <w:rPr>
          <w:rFonts w:ascii="宋体" w:hAnsi="宋体" w:eastAsia="宋体" w:cs="宋体"/>
          <w:color w:val="333333"/>
          <w:sz w:val="28"/>
          <w:szCs w:val="28"/>
          <w:shd w:val="clear" w:color="auto" w:fill="FFFFFF"/>
        </w:rPr>
      </w:pPr>
      <w:r>
        <w:rPr>
          <w:rFonts w:hint="eastAsia" w:ascii="微软雅黑" w:hAnsi="微软雅黑" w:eastAsia="微软雅黑" w:cs="微软雅黑"/>
          <w:color w:val="333333"/>
          <w:sz w:val="28"/>
          <w:szCs w:val="28"/>
          <w:shd w:val="clear" w:color="auto" w:fill="FFFFFF"/>
        </w:rPr>
        <w:t>九、</w:t>
      </w:r>
      <w:r>
        <w:rPr>
          <w:rFonts w:hint="eastAsia" w:ascii="宋体" w:hAnsi="宋体" w:eastAsia="宋体" w:cs="宋体"/>
          <w:color w:val="333333"/>
          <w:sz w:val="28"/>
          <w:szCs w:val="28"/>
          <w:shd w:val="clear" w:color="auto" w:fill="FFFFFF"/>
        </w:rPr>
        <w:t>国有资本经营预算财政拨款支出决算表</w:t>
      </w:r>
    </w:p>
    <w:p>
      <w:pPr>
        <w:pStyle w:val="5"/>
        <w:spacing w:line="520" w:lineRule="exact"/>
        <w:rPr>
          <w:rFonts w:ascii="仿宋_GB2312" w:hAnsi="仿宋_GB2312" w:cs="仿宋_GB2312"/>
          <w:b/>
          <w:sz w:val="28"/>
          <w:szCs w:val="28"/>
        </w:rPr>
      </w:pPr>
      <w:r>
        <w:rPr>
          <w:rFonts w:hint="eastAsia" w:hAnsi="仿宋_GB2312"/>
          <w:b/>
          <w:sz w:val="28"/>
          <w:szCs w:val="28"/>
        </w:rPr>
        <w:t>第三部分2021年度部门决算情况说明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一、收入支出决算总体情况说明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二、收入决算情况说明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三、支出决算情况说明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四、财政拨款收入支出决算总体情况说明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五、一般公共预算财政拨款支出决算情况说明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六、一般公共预算财政拨款基本支出决算情况说明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七、一般公共预算财政拨款“三公”经费支出决算情况说明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八、政府性基金预算收入支出决算情况</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九、国有资本经营预算财政拨款支出决算情况</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十、机关运行经费支出说明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十一、一般性支出情况说明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十二、政府采购支出说明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十三、国有资产占用情况说明</w:t>
      </w:r>
    </w:p>
    <w:p>
      <w:pPr>
        <w:pStyle w:val="2"/>
        <w:widowControl/>
        <w:shd w:val="clear" w:color="auto" w:fill="FFFFFF"/>
        <w:spacing w:beforeAutospacing="0" w:afterAutospacing="0"/>
        <w:ind w:firstLine="560" w:firstLineChars="200"/>
        <w:textAlignment w:val="center"/>
        <w:rPr>
          <w:rFonts w:ascii="微软雅黑" w:hAnsi="微软雅黑" w:eastAsia="微软雅黑" w:cs="微软雅黑"/>
          <w:color w:val="333333"/>
          <w:sz w:val="28"/>
          <w:szCs w:val="28"/>
        </w:rPr>
      </w:pPr>
      <w:r>
        <w:rPr>
          <w:rFonts w:hint="eastAsia" w:ascii="微软雅黑" w:hAnsi="微软雅黑" w:eastAsia="微软雅黑" w:cs="微软雅黑"/>
          <w:color w:val="333333"/>
          <w:sz w:val="28"/>
          <w:szCs w:val="28"/>
          <w:shd w:val="clear" w:color="auto" w:fill="FFFFFF"/>
        </w:rPr>
        <w:t>十四、2021年度预算绩效情况说明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rPr>
          <w:rFonts w:ascii="黑体" w:hAnsi="黑体" w:eastAsia="黑体" w:cs="黑体"/>
          <w:sz w:val="32"/>
          <w:szCs w:val="32"/>
        </w:rPr>
      </w:pPr>
      <w:r>
        <w:rPr>
          <w:rFonts w:hint="eastAsia" w:ascii="黑体" w:hAnsi="黑体" w:eastAsia="黑体" w:cs="黑体"/>
          <w:sz w:val="32"/>
          <w:szCs w:val="32"/>
        </w:rPr>
        <w:t>第一部分  新田县归侨侨眷联合会单位概况</w:t>
      </w:r>
    </w:p>
    <w:p>
      <w:pPr>
        <w:pStyle w:val="6"/>
        <w:numPr>
          <w:ilvl w:val="0"/>
          <w:numId w:val="1"/>
        </w:numPr>
        <w:ind w:firstLineChars="0"/>
        <w:jc w:val="left"/>
        <w:rPr>
          <w:rFonts w:asciiTheme="minorEastAsia" w:hAnsiTheme="minorEastAsia" w:cstheme="minorEastAsia"/>
          <w:b/>
          <w:bCs/>
          <w:sz w:val="28"/>
          <w:szCs w:val="28"/>
        </w:rPr>
      </w:pPr>
      <w:r>
        <w:rPr>
          <w:rFonts w:hint="eastAsia" w:asciiTheme="minorEastAsia" w:hAnsiTheme="minorEastAsia" w:cstheme="minorEastAsia"/>
          <w:b/>
          <w:bCs/>
          <w:sz w:val="28"/>
          <w:szCs w:val="28"/>
        </w:rPr>
        <w:t>部门职责</w:t>
      </w:r>
    </w:p>
    <w:p>
      <w:pPr>
        <w:widowControl/>
        <w:spacing w:line="600" w:lineRule="exact"/>
        <w:ind w:firstLine="560" w:firstLineChars="200"/>
        <w:rPr>
          <w:rFonts w:asciiTheme="minorEastAsia" w:hAnsiTheme="minorEastAsia" w:cstheme="minorEastAsia"/>
          <w:bCs/>
          <w:kern w:val="0"/>
          <w:sz w:val="28"/>
          <w:szCs w:val="28"/>
        </w:rPr>
      </w:pPr>
      <w:r>
        <w:rPr>
          <w:rFonts w:hint="eastAsia" w:asciiTheme="minorEastAsia" w:hAnsiTheme="minorEastAsia" w:cstheme="minorEastAsia"/>
          <w:bCs/>
          <w:kern w:val="0"/>
          <w:sz w:val="28"/>
          <w:szCs w:val="28"/>
        </w:rPr>
        <w:t xml:space="preserve">（一）贯彻党和政府的各项侨务政策、法规；调查本辖区侨情和开展侨务工作，协调有关部门解决涉及华侨、华人和归侨、侨眷的事项；在上级部门的指导下进行侨务宣传工作。 </w:t>
      </w:r>
      <w:r>
        <w:rPr>
          <w:rFonts w:asciiTheme="minorEastAsia" w:hAnsiTheme="minorEastAsia" w:cstheme="minorEastAsia"/>
          <w:bCs/>
          <w:kern w:val="0"/>
          <w:sz w:val="28"/>
          <w:szCs w:val="28"/>
        </w:rPr>
        <w:br w:type="textWrapping"/>
      </w:r>
      <w:r>
        <w:rPr>
          <w:rFonts w:hint="eastAsia" w:asciiTheme="minorEastAsia" w:hAnsiTheme="minorEastAsia" w:cstheme="minorEastAsia"/>
          <w:bCs/>
          <w:kern w:val="0"/>
          <w:sz w:val="28"/>
          <w:szCs w:val="28"/>
        </w:rPr>
        <w:t xml:space="preserve">    （二）</w:t>
      </w:r>
      <w:r>
        <w:rPr>
          <w:rFonts w:asciiTheme="minorEastAsia" w:hAnsiTheme="minorEastAsia" w:cstheme="minorEastAsia"/>
          <w:bCs/>
          <w:kern w:val="0"/>
          <w:sz w:val="28"/>
          <w:szCs w:val="28"/>
        </w:rPr>
        <w:t xml:space="preserve">根据《中华人民共和国归侨侨眷权益保护法》等有关法律、法规，依法维护归侨、侨眷的合法权益。 </w:t>
      </w:r>
      <w:r>
        <w:rPr>
          <w:rFonts w:asciiTheme="minorEastAsia" w:hAnsiTheme="minorEastAsia" w:cstheme="minorEastAsia"/>
          <w:bCs/>
          <w:kern w:val="0"/>
          <w:sz w:val="28"/>
          <w:szCs w:val="28"/>
        </w:rPr>
        <w:br w:type="textWrapping"/>
      </w:r>
      <w:r>
        <w:rPr>
          <w:rFonts w:hint="eastAsia" w:asciiTheme="minorEastAsia" w:hAnsiTheme="minorEastAsia" w:cstheme="minorEastAsia"/>
          <w:bCs/>
          <w:kern w:val="0"/>
          <w:sz w:val="28"/>
          <w:szCs w:val="28"/>
        </w:rPr>
        <w:t xml:space="preserve">    （三）</w:t>
      </w:r>
      <w:r>
        <w:rPr>
          <w:rFonts w:asciiTheme="minorEastAsia" w:hAnsiTheme="minorEastAsia" w:cstheme="minorEastAsia"/>
          <w:bCs/>
          <w:kern w:val="0"/>
          <w:sz w:val="28"/>
          <w:szCs w:val="28"/>
        </w:rPr>
        <w:t xml:space="preserve">配合有关部门做好困难归侨、侨眷救济和扶贫致富工作。 </w:t>
      </w:r>
      <w:r>
        <w:rPr>
          <w:rFonts w:asciiTheme="minorEastAsia" w:hAnsiTheme="minorEastAsia" w:cstheme="minorEastAsia"/>
          <w:bCs/>
          <w:kern w:val="0"/>
          <w:sz w:val="28"/>
          <w:szCs w:val="28"/>
        </w:rPr>
        <w:br w:type="textWrapping"/>
      </w:r>
      <w:r>
        <w:rPr>
          <w:rFonts w:hint="eastAsia" w:asciiTheme="minorEastAsia" w:hAnsiTheme="minorEastAsia" w:cstheme="minorEastAsia"/>
          <w:bCs/>
          <w:kern w:val="0"/>
          <w:sz w:val="28"/>
          <w:szCs w:val="28"/>
        </w:rPr>
        <w:t xml:space="preserve">    （四）</w:t>
      </w:r>
      <w:r>
        <w:rPr>
          <w:rFonts w:asciiTheme="minorEastAsia" w:hAnsiTheme="minorEastAsia" w:cstheme="minorEastAsia"/>
          <w:bCs/>
          <w:kern w:val="0"/>
          <w:sz w:val="28"/>
          <w:szCs w:val="28"/>
        </w:rPr>
        <w:t xml:space="preserve">协调华侨、华人、港澳同胞重点人士的联谊、接待工作，配合有关部门开展海外联谊与经济、技术、文化合作与交流。 </w:t>
      </w:r>
      <w:r>
        <w:rPr>
          <w:rFonts w:asciiTheme="minorEastAsia" w:hAnsiTheme="minorEastAsia" w:cstheme="minorEastAsia"/>
          <w:bCs/>
          <w:kern w:val="0"/>
          <w:sz w:val="28"/>
          <w:szCs w:val="28"/>
        </w:rPr>
        <w:br w:type="textWrapping"/>
      </w:r>
      <w:r>
        <w:rPr>
          <w:rFonts w:hint="eastAsia" w:asciiTheme="minorEastAsia" w:hAnsiTheme="minorEastAsia" w:cstheme="minorEastAsia"/>
          <w:bCs/>
          <w:kern w:val="0"/>
          <w:sz w:val="28"/>
          <w:szCs w:val="28"/>
        </w:rPr>
        <w:t xml:space="preserve">    （五）</w:t>
      </w:r>
      <w:r>
        <w:rPr>
          <w:rFonts w:asciiTheme="minorEastAsia" w:hAnsiTheme="minorEastAsia" w:cstheme="minorEastAsia"/>
          <w:bCs/>
          <w:kern w:val="0"/>
          <w:sz w:val="28"/>
          <w:szCs w:val="28"/>
        </w:rPr>
        <w:t xml:space="preserve">会同有关部门贯彻执行引进华侨、华人资金、技术、人才的方针、政策，推动引进华侨、华人资金、技术、人才等工作。 </w:t>
      </w:r>
      <w:r>
        <w:rPr>
          <w:rFonts w:asciiTheme="minorEastAsia" w:hAnsiTheme="minorEastAsia" w:cstheme="minorEastAsia"/>
          <w:bCs/>
          <w:kern w:val="0"/>
          <w:sz w:val="28"/>
          <w:szCs w:val="28"/>
        </w:rPr>
        <w:br w:type="textWrapping"/>
      </w:r>
      <w:r>
        <w:rPr>
          <w:rFonts w:hint="eastAsia" w:asciiTheme="minorEastAsia" w:hAnsiTheme="minorEastAsia" w:cstheme="minorEastAsia"/>
          <w:bCs/>
          <w:kern w:val="0"/>
          <w:sz w:val="28"/>
          <w:szCs w:val="28"/>
        </w:rPr>
        <w:t xml:space="preserve">    （六）</w:t>
      </w:r>
      <w:r>
        <w:rPr>
          <w:rFonts w:asciiTheme="minorEastAsia" w:hAnsiTheme="minorEastAsia" w:cstheme="minorEastAsia"/>
          <w:bCs/>
          <w:kern w:val="0"/>
          <w:sz w:val="28"/>
          <w:szCs w:val="28"/>
        </w:rPr>
        <w:t xml:space="preserve">宣传引导归侨、侨眷利用侨汇集资兴办集体、个体私营企业。 </w:t>
      </w:r>
      <w:r>
        <w:rPr>
          <w:rFonts w:asciiTheme="minorEastAsia" w:hAnsiTheme="minorEastAsia" w:cstheme="minorEastAsia"/>
          <w:bCs/>
          <w:kern w:val="0"/>
          <w:sz w:val="28"/>
          <w:szCs w:val="28"/>
        </w:rPr>
        <w:br w:type="textWrapping"/>
      </w:r>
      <w:r>
        <w:rPr>
          <w:rFonts w:hint="eastAsia" w:asciiTheme="minorEastAsia" w:hAnsiTheme="minorEastAsia" w:cstheme="minorEastAsia"/>
          <w:bCs/>
          <w:kern w:val="0"/>
          <w:sz w:val="28"/>
          <w:szCs w:val="28"/>
        </w:rPr>
        <w:t xml:space="preserve">    （七）</w:t>
      </w:r>
      <w:r>
        <w:rPr>
          <w:rFonts w:asciiTheme="minorEastAsia" w:hAnsiTheme="minorEastAsia" w:cstheme="minorEastAsia"/>
          <w:bCs/>
          <w:kern w:val="0"/>
          <w:sz w:val="28"/>
          <w:szCs w:val="28"/>
        </w:rPr>
        <w:t xml:space="preserve">承办上级相关部门和县委、县政府交办的其他事项。 </w:t>
      </w:r>
    </w:p>
    <w:p>
      <w:pPr>
        <w:widowControl/>
        <w:spacing w:line="600" w:lineRule="exact"/>
        <w:rPr>
          <w:rFonts w:asciiTheme="minorEastAsia" w:hAnsiTheme="minorEastAsia" w:cstheme="minorEastAsia"/>
          <w:b/>
          <w:kern w:val="0"/>
          <w:sz w:val="28"/>
          <w:szCs w:val="28"/>
        </w:rPr>
      </w:pPr>
      <w:r>
        <w:rPr>
          <w:rFonts w:hint="eastAsia" w:asciiTheme="minorEastAsia" w:hAnsiTheme="minorEastAsia" w:cstheme="minorEastAsia"/>
          <w:b/>
          <w:kern w:val="0"/>
          <w:sz w:val="28"/>
          <w:szCs w:val="28"/>
        </w:rPr>
        <w:t>二、机构设置及决算单位构成</w:t>
      </w:r>
    </w:p>
    <w:p>
      <w:pPr>
        <w:widowControl/>
        <w:spacing w:line="600" w:lineRule="exact"/>
        <w:ind w:firstLine="560" w:firstLineChars="200"/>
        <w:rPr>
          <w:rFonts w:asciiTheme="minorEastAsia" w:hAnsiTheme="minorEastAsia" w:cstheme="minorEastAsia"/>
          <w:bCs/>
          <w:kern w:val="0"/>
          <w:sz w:val="28"/>
          <w:szCs w:val="28"/>
        </w:rPr>
      </w:pPr>
      <w:r>
        <w:rPr>
          <w:rFonts w:hint="eastAsia" w:asciiTheme="minorEastAsia" w:hAnsiTheme="minorEastAsia" w:cstheme="minorEastAsia"/>
          <w:bCs/>
          <w:kern w:val="0"/>
          <w:sz w:val="28"/>
          <w:szCs w:val="28"/>
        </w:rPr>
        <w:t>（一）内设机构设置。新田县归侨侨眷联合会单位内设机构包括：股室1个，所属事业单位0个；内设股室分别是办公室。</w:t>
      </w:r>
    </w:p>
    <w:p>
      <w:pPr>
        <w:ind w:firstLine="560" w:firstLineChars="200"/>
        <w:rPr>
          <w:rFonts w:asciiTheme="minorEastAsia" w:hAnsiTheme="minorEastAsia" w:cstheme="minorEastAsia"/>
          <w:sz w:val="28"/>
          <w:szCs w:val="28"/>
        </w:rPr>
      </w:pPr>
      <w:r>
        <w:rPr>
          <w:rFonts w:hint="eastAsia" w:asciiTheme="minorEastAsia" w:hAnsiTheme="minorEastAsia" w:cstheme="minorEastAsia"/>
          <w:bCs/>
          <w:kern w:val="0"/>
          <w:sz w:val="28"/>
          <w:szCs w:val="28"/>
        </w:rPr>
        <w:t>（二）决算单位构成。新田县归侨侨眷联合会单位2021年部门决算汇总公开单位构成包括：新田县归侨侨眷联合会单位本级。</w:t>
      </w:r>
    </w:p>
    <w:p>
      <w:pPr>
        <w:rPr>
          <w:rFonts w:asciiTheme="minorEastAsia" w:hAnsiTheme="minorEastAsia" w:cstheme="minorEastAsia"/>
          <w:sz w:val="28"/>
          <w:szCs w:val="28"/>
        </w:rPr>
      </w:pPr>
    </w:p>
    <w:p>
      <w:pPr>
        <w:rPr>
          <w:rFonts w:ascii="黑体" w:hAnsi="黑体" w:eastAsia="黑体" w:cs="黑体"/>
          <w:sz w:val="32"/>
          <w:szCs w:val="32"/>
        </w:rPr>
      </w:pPr>
    </w:p>
    <w:p>
      <w:pPr>
        <w:rPr>
          <w:rFonts w:ascii="黑体" w:hAnsi="黑体" w:eastAsia="黑体" w:cs="黑体"/>
          <w:sz w:val="32"/>
          <w:szCs w:val="32"/>
        </w:rPr>
      </w:pPr>
      <w:r>
        <w:rPr>
          <w:rFonts w:hint="eastAsia" w:ascii="黑体" w:hAnsi="黑体" w:eastAsia="黑体" w:cs="黑体"/>
          <w:sz w:val="32"/>
          <w:szCs w:val="32"/>
        </w:rPr>
        <w:t>第二部分 部门决算表</w:t>
      </w:r>
    </w:p>
    <w:p>
      <w:pPr>
        <w:jc w:val="center"/>
        <w:rPr>
          <w:rFonts w:ascii="黑体" w:hAnsi="黑体" w:eastAsia="黑体"/>
          <w:sz w:val="36"/>
          <w:szCs w:val="32"/>
        </w:rPr>
      </w:pPr>
      <w:r>
        <w:rPr>
          <w:rFonts w:hint="eastAsia" w:ascii="黑体" w:hAnsi="黑体" w:eastAsia="黑体"/>
          <w:sz w:val="36"/>
          <w:szCs w:val="32"/>
        </w:rPr>
        <w:t>收入支出决算总表</w:t>
      </w:r>
    </w:p>
    <w:p>
      <w:pPr>
        <w:widowControl/>
        <w:spacing w:line="320" w:lineRule="exact"/>
        <w:ind w:right="198"/>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部门：新田县归侨侨眷联合会单位</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w:t>
      </w:r>
      <w:r>
        <w:rPr>
          <w:rFonts w:ascii="Times New Roman" w:hAnsi="Times New Roman" w:eastAsia="仿宋_GB2312" w:cs="Times New Roman"/>
          <w:color w:val="000000"/>
          <w:kern w:val="0"/>
          <w:szCs w:val="21"/>
        </w:rPr>
        <w:t>01</w:t>
      </w:r>
      <w:r>
        <w:rPr>
          <w:rFonts w:hint="eastAsia" w:ascii="Times New Roman" w:hAnsi="Times New Roman" w:eastAsia="仿宋_GB2312" w:cs="Times New Roman"/>
          <w:color w:val="000000"/>
          <w:kern w:val="0"/>
          <w:szCs w:val="21"/>
        </w:rPr>
        <w:t>表</w:t>
      </w:r>
    </w:p>
    <w:p>
      <w:pPr>
        <w:widowControl/>
        <w:spacing w:line="320" w:lineRule="exact"/>
        <w:ind w:right="198"/>
        <w:jc w:val="righ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单位：万元</w:t>
      </w:r>
    </w:p>
    <w:tbl>
      <w:tblPr>
        <w:tblStyle w:val="3"/>
        <w:tblW w:w="14061" w:type="dxa"/>
        <w:jc w:val="center"/>
        <w:tblLayout w:type="autofit"/>
        <w:tblCellMar>
          <w:top w:w="0" w:type="dxa"/>
          <w:left w:w="108" w:type="dxa"/>
          <w:bottom w:w="0" w:type="dxa"/>
          <w:right w:w="108" w:type="dxa"/>
        </w:tblCellMar>
      </w:tblPr>
      <w:tblGrid>
        <w:gridCol w:w="4932"/>
        <w:gridCol w:w="702"/>
        <w:gridCol w:w="1224"/>
        <w:gridCol w:w="4820"/>
        <w:gridCol w:w="702"/>
        <w:gridCol w:w="1681"/>
      </w:tblGrid>
      <w:tr>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noWrap/>
            <w:vAlign w:val="center"/>
          </w:tcPr>
          <w:p>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二、外交支出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三、国防支出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四、公共安全支出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五、教育支出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六、科学技术支出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　</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64.8</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2.4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　</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64.8</w:t>
            </w:r>
          </w:p>
        </w:tc>
      </w:tr>
    </w:tbl>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注：本表反映部门本年度的总收支和年末结转结余情况。</w:t>
      </w: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收入决算表</w:t>
      </w:r>
    </w:p>
    <w:p>
      <w:pPr>
        <w:widowControl/>
        <w:ind w:firstLine="630" w:firstLineChars="30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rPr>
        <w:t>新田县归侨侨眷联合会单位</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公开02表</w:t>
      </w:r>
    </w:p>
    <w:p>
      <w:pPr>
        <w:widowControl/>
        <w:ind w:right="63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13813" w:type="dxa"/>
        <w:jc w:val="center"/>
        <w:tblLayout w:type="autofit"/>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pPr>
              <w:widowControl/>
              <w:jc w:val="left"/>
              <w:rPr>
                <w:rFonts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一般公共服务支出</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20134</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统战事务</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2013405</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华侨事务</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8"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8"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bl>
    <w:p>
      <w:pPr>
        <w:widowControl/>
        <w:jc w:val="left"/>
        <w:rPr>
          <w:rFonts w:ascii="Times New Roman" w:hAnsi="Times New Roman" w:eastAsia="黑体" w:cs="Times New Roman"/>
          <w:bCs/>
          <w:kern w:val="0"/>
          <w:sz w:val="32"/>
          <w:szCs w:val="32"/>
        </w:rPr>
      </w:pP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rPr>
          <w:rFonts w:ascii="Times New Roman" w:hAnsi="Times New Roman" w:eastAsia="方正小标宋_GBK" w:cs="Times New Roman"/>
          <w:color w:val="000000"/>
          <w:kern w:val="0"/>
          <w:sz w:val="36"/>
          <w:szCs w:val="36"/>
        </w:rPr>
      </w:pP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支出决算表</w:t>
      </w:r>
    </w:p>
    <w:p>
      <w:pPr>
        <w:widowControl/>
        <w:spacing w:line="400" w:lineRule="exact"/>
        <w:ind w:firstLine="600" w:firstLineChars="300"/>
        <w:jc w:val="lef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 xml:space="preserve">部门：   </w:t>
      </w:r>
      <w:r>
        <w:rPr>
          <w:rFonts w:hint="eastAsia" w:ascii="Times New Roman" w:hAnsi="Times New Roman" w:eastAsia="仿宋_GB2312" w:cs="Times New Roman"/>
          <w:color w:val="000000"/>
          <w:kern w:val="0"/>
          <w:szCs w:val="21"/>
        </w:rPr>
        <w:t>新田县归侨侨眷联合会单位</w:t>
      </w:r>
      <w:r>
        <w:rPr>
          <w:rFonts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 w:val="20"/>
          <w:szCs w:val="20"/>
        </w:rPr>
        <w:t xml:space="preserve">                                                                                                                 公开03表</w:t>
      </w:r>
    </w:p>
    <w:p>
      <w:pPr>
        <w:widowControl/>
        <w:spacing w:line="400" w:lineRule="exact"/>
        <w:ind w:right="700"/>
        <w:jc w:val="righ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单位：万元</w:t>
      </w:r>
    </w:p>
    <w:tbl>
      <w:tblPr>
        <w:tblStyle w:val="3"/>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02"/>
        <w:gridCol w:w="1249"/>
        <w:gridCol w:w="1775"/>
        <w:gridCol w:w="1985"/>
        <w:gridCol w:w="1842"/>
        <w:gridCol w:w="1843"/>
        <w:gridCol w:w="1985"/>
        <w:gridCol w:w="230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77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98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4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843"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98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308"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249"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77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249"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77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775"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985"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42"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43"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985"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308"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一般公共服务支出</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20134</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统战事务</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2013405</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华侨事务</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rFonts w:ascii="Times New Roman" w:hAnsi="Times New Roman" w:eastAsia="宋体" w:cs="Times New Roman"/>
          <w:color w:val="000000"/>
          <w:kern w:val="0"/>
          <w:szCs w:val="21"/>
        </w:rPr>
      </w:pPr>
      <w:r>
        <w:rPr>
          <w:rFonts w:ascii="Times New Roman" w:hAnsi="Times New Roman" w:eastAsia="宋体" w:cs="Times New Roman"/>
          <w:color w:val="000000"/>
          <w:kern w:val="0"/>
          <w:szCs w:val="21"/>
        </w:rPr>
        <w:t>公开04表</w:t>
      </w:r>
    </w:p>
    <w:p>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新田县归侨侨眷联合会单位</w:t>
      </w:r>
      <w:r>
        <w:rPr>
          <w:rFonts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 w:val="20"/>
          <w:szCs w:val="20"/>
        </w:rPr>
        <w:t xml:space="preserve"> </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3"/>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一、一般公共服务支出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64.8</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二、外交支出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三、国防支出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四、公共安全支出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五、教育支出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六、科学技术支出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62.4</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64.8</w:t>
            </w:r>
          </w:p>
        </w:tc>
        <w:tc>
          <w:tcPr>
            <w:tcW w:w="1572" w:type="dxa"/>
            <w:shd w:val="clear" w:color="auto" w:fill="auto"/>
            <w:noWrap/>
            <w:vAlign w:val="center"/>
          </w:tcPr>
          <w:p>
            <w:pPr>
              <w:widowControl/>
              <w:jc w:val="left"/>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2.4</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2.4</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64.8</w:t>
            </w:r>
          </w:p>
        </w:tc>
        <w:tc>
          <w:tcPr>
            <w:tcW w:w="1572" w:type="dxa"/>
            <w:shd w:val="clear" w:color="auto" w:fill="auto"/>
            <w:noWrap/>
            <w:vAlign w:val="center"/>
          </w:tcPr>
          <w:p>
            <w:pPr>
              <w:widowControl/>
              <w:jc w:val="left"/>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p>
      <w:pPr>
        <w:widowControl/>
        <w:jc w:val="center"/>
        <w:rPr>
          <w:rFonts w:ascii="Times New Roman" w:hAnsi="Times New Roman" w:eastAsia="方正小标宋_GBK" w:cs="Times New Roman"/>
          <w:kern w:val="0"/>
          <w:sz w:val="36"/>
          <w:szCs w:val="36"/>
        </w:rPr>
      </w:pPr>
      <w:bookmarkStart w:id="0" w:name="RANGE!A1:F16"/>
      <w:r>
        <w:rPr>
          <w:rFonts w:ascii="Times New Roman" w:hAnsi="Times New Roman" w:eastAsia="方正小标宋_GBK" w:cs="Times New Roman"/>
          <w:kern w:val="0"/>
          <w:sz w:val="36"/>
          <w:szCs w:val="36"/>
        </w:rPr>
        <w:t>一般公共预算财政拨款支出决算表</w:t>
      </w:r>
      <w:bookmarkEnd w:id="0"/>
    </w:p>
    <w:p>
      <w:pPr>
        <w:widowControl/>
        <w:spacing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 xml:space="preserve">新田县归侨侨眷联合会单位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3"/>
        <w:tblW w:w="14219" w:type="dxa"/>
        <w:jc w:val="center"/>
        <w:tblLayout w:type="autofit"/>
        <w:tblCellMar>
          <w:top w:w="0" w:type="dxa"/>
          <w:left w:w="108" w:type="dxa"/>
          <w:bottom w:w="0" w:type="dxa"/>
          <w:right w:w="108" w:type="dxa"/>
        </w:tblCellMar>
      </w:tblPr>
      <w:tblGrid>
        <w:gridCol w:w="1200"/>
        <w:gridCol w:w="3527"/>
        <w:gridCol w:w="3000"/>
        <w:gridCol w:w="3492"/>
        <w:gridCol w:w="3000"/>
      </w:tblGrid>
      <w:tr>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64.8</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一般公共服务支出</w:t>
            </w:r>
          </w:p>
        </w:tc>
        <w:tc>
          <w:tcPr>
            <w:tcW w:w="3000"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20134</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统战事务</w:t>
            </w:r>
          </w:p>
        </w:tc>
        <w:tc>
          <w:tcPr>
            <w:tcW w:w="3000"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2013405</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华侨事务</w:t>
            </w:r>
          </w:p>
        </w:tc>
        <w:tc>
          <w:tcPr>
            <w:tcW w:w="3000" w:type="dxa"/>
            <w:tcBorders>
              <w:top w:val="nil"/>
              <w:left w:val="nil"/>
              <w:bottom w:val="single" w:color="auto" w:sz="4" w:space="0"/>
              <w:right w:val="single" w:color="auto" w:sz="4" w:space="0"/>
            </w:tcBorders>
            <w:shd w:val="clear" w:color="auto" w:fill="auto"/>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64.8</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jc w:val="center"/>
        <w:rPr>
          <w:rFonts w:ascii="Times New Roman" w:hAnsi="Times New Roman" w:eastAsia="方正小标宋_GBK" w:cs="Times New Roman"/>
          <w:color w:val="000000"/>
          <w:kern w:val="0"/>
          <w:sz w:val="28"/>
          <w:szCs w:val="36"/>
        </w:rPr>
      </w:pPr>
      <w:bookmarkStart w:id="1" w:name="RANGE!A1:I39"/>
      <w:r>
        <w:rPr>
          <w:rFonts w:ascii="Times New Roman" w:hAnsi="Times New Roman" w:eastAsia="方正小标宋_GBK" w:cs="Times New Roman"/>
          <w:color w:val="000000"/>
          <w:kern w:val="0"/>
          <w:sz w:val="28"/>
          <w:szCs w:val="36"/>
        </w:rPr>
        <w:t>一般公共预算财政拨款基本支出决算表</w:t>
      </w:r>
      <w:bookmarkEnd w:id="1"/>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公开06表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0" w:type="auto"/>
        <w:tblInd w:w="93" w:type="dxa"/>
        <w:tblLayout w:type="fixed"/>
        <w:tblCellMar>
          <w:top w:w="0" w:type="dxa"/>
          <w:left w:w="108" w:type="dxa"/>
          <w:bottom w:w="0" w:type="dxa"/>
          <w:right w:w="108" w:type="dxa"/>
        </w:tblCellMar>
      </w:tblPr>
      <w:tblGrid>
        <w:gridCol w:w="1149"/>
        <w:gridCol w:w="3306"/>
        <w:gridCol w:w="856"/>
        <w:gridCol w:w="1110"/>
        <w:gridCol w:w="2297"/>
        <w:gridCol w:w="856"/>
        <w:gridCol w:w="1076"/>
        <w:gridCol w:w="4394"/>
        <w:gridCol w:w="856"/>
      </w:tblGrid>
      <w:tr>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30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297"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4394"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330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42.8</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21.4</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基本工资</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24.1</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6.1</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国内债务付息</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津贴补贴</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印刷费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2.6</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国外债务付息</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1.5</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咨询费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伙食补助费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手续费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房屋建筑物购建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绩效工资</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11.3</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办公设备购置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机关事业单位基本养老保险费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4.2</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电费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专用设备购置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职业年金缴费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邮电费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0.6</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基础设施建设</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职工基本医疗保险缴费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1.6</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取暖费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大型修缮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公务员医疗补助缴费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物业管理费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信息网络及软件购置更新</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其他社会保障缴费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0.1</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差旅费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1.0</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物资储备</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住房公积金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因公出国（境）费用</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土地补偿</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维修（护）费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安置补助</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其他工资福利支出</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租赁费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地上附着物和青苗补偿</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330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0.6</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会议费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拆迁补偿</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离休费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培训费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公务用车购置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退休费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公务接待费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1.0</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其他交通工具购置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退职（役）费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专用材料费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文物和陈列品购置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抚恤金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被装购置费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无形资产购置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01"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生活补助</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0.6</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专用燃料费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其他资本性支出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救济费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劳务费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2.4</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医疗费补助</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委托业务费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赠与</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助学金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工会经费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4.2</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国家赔偿费用支出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奖励金</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个人农业生产补贴</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330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对其他个人和家庭的补助支出</w:t>
            </w:r>
          </w:p>
        </w:tc>
        <w:tc>
          <w:tcPr>
            <w:tcW w:w="85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single" w:color="auto" w:sz="8" w:space="0"/>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297" w:type="dxa"/>
            <w:tcBorders>
              <w:top w:val="single" w:color="auto" w:sz="8" w:space="0"/>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85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r>
              <w:rPr>
                <w:rFonts w:hint="eastAsia" w:ascii="Times New Roman" w:hAnsi="Times New Roman" w:eastAsia="宋体" w:cs="Times New Roman"/>
                <w:color w:val="000000"/>
                <w:kern w:val="0"/>
                <w:sz w:val="18"/>
                <w:szCs w:val="18"/>
              </w:rPr>
              <w:t>1.6</w:t>
            </w:r>
          </w:p>
        </w:tc>
        <w:tc>
          <w:tcPr>
            <w:tcW w:w="107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394" w:type="dxa"/>
            <w:tcBorders>
              <w:top w:val="single" w:color="auto" w:sz="8" w:space="0"/>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single" w:color="auto" w:sz="8" w:space="0"/>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r>
              <w:rPr>
                <w:rFonts w:hint="eastAsia" w:ascii="Times New Roman" w:hAnsi="Times New Roman" w:eastAsia="宋体" w:cs="Times New Roman"/>
                <w:color w:val="000000"/>
                <w:kern w:val="0"/>
                <w:sz w:val="18"/>
                <w:szCs w:val="18"/>
              </w:rPr>
              <w:t>1.9</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4455" w:type="dxa"/>
            <w:gridSpan w:val="2"/>
            <w:tcBorders>
              <w:top w:val="nil"/>
              <w:left w:val="single" w:color="auto" w:sz="8" w:space="0"/>
              <w:bottom w:val="single" w:color="auto" w:sz="8" w:space="0"/>
              <w:right w:val="single" w:color="auto" w:sz="8" w:space="0"/>
            </w:tcBorders>
            <w:shd w:val="clear" w:color="auto" w:fill="auto"/>
            <w:noWra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r>
              <w:rPr>
                <w:rFonts w:hint="eastAsia" w:ascii="Times New Roman" w:hAnsi="Times New Roman" w:eastAsia="宋体" w:cs="Times New Roman"/>
                <w:color w:val="000000"/>
                <w:kern w:val="0"/>
                <w:sz w:val="18"/>
                <w:szCs w:val="18"/>
              </w:rPr>
              <w:t>43.4</w:t>
            </w:r>
          </w:p>
        </w:tc>
        <w:tc>
          <w:tcPr>
            <w:tcW w:w="9733" w:type="dxa"/>
            <w:gridSpan w:val="5"/>
            <w:tcBorders>
              <w:top w:val="nil"/>
              <w:left w:val="nil"/>
              <w:bottom w:val="single" w:color="auto" w:sz="8" w:space="0"/>
              <w:right w:val="single" w:color="auto" w:sz="8" w:space="0"/>
            </w:tcBorders>
            <w:shd w:val="clear" w:color="auto" w:fill="auto"/>
            <w:noWra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856" w:type="dxa"/>
            <w:tcBorders>
              <w:top w:val="nil"/>
              <w:left w:val="nil"/>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21.4</w:t>
            </w:r>
          </w:p>
        </w:tc>
      </w:tr>
    </w:tbl>
    <w:p>
      <w:pPr>
        <w:widowControl/>
        <w:jc w:val="left"/>
        <w:rPr>
          <w:rFonts w:ascii="黑体" w:hAnsi="黑体" w:eastAsia="黑体"/>
          <w:szCs w:val="21"/>
        </w:rPr>
      </w:pPr>
      <w:r>
        <w:rPr>
          <w:rFonts w:hint="eastAsia" w:ascii="黑体" w:hAnsi="黑体" w:eastAsia="黑体"/>
          <w:szCs w:val="21"/>
        </w:rPr>
        <w:t>注：本表反映部门年度一般公共预算财政拨款基本支出明细情况。</w:t>
      </w:r>
      <w:r>
        <w:rPr>
          <w:rFonts w:ascii="黑体" w:hAnsi="黑体" w:eastAsia="黑体"/>
          <w:szCs w:val="21"/>
        </w:rPr>
        <w:br w:type="page"/>
      </w:r>
    </w:p>
    <w:p>
      <w:pPr>
        <w:widowControl/>
        <w:jc w:val="center"/>
        <w:rPr>
          <w:rFonts w:ascii="Times New Roman" w:hAnsi="Times New Roman" w:eastAsia="方正小标宋_GBK" w:cs="Times New Roman"/>
          <w:color w:val="000000"/>
          <w:kern w:val="0"/>
          <w:sz w:val="36"/>
          <w:szCs w:val="36"/>
        </w:rPr>
      </w:pPr>
      <w:r>
        <w:rPr>
          <w:rFonts w:hint="eastAsia" w:ascii="Times New Roman" w:hAnsi="Times New Roman" w:eastAsia="方正小标宋_GBK" w:cs="Times New Roman"/>
          <w:color w:val="000000"/>
          <w:kern w:val="0"/>
          <w:sz w:val="36"/>
          <w:szCs w:val="36"/>
        </w:rPr>
        <w:t>一般公共预算财政拨款“三公”经费支出决算表</w:t>
      </w:r>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w:t>
      </w:r>
      <w:r>
        <w:rPr>
          <w:rFonts w:hint="eastAsia" w:ascii="Times New Roman" w:hAnsi="Times New Roman" w:eastAsia="仿宋_GB2312" w:cs="Times New Roman"/>
          <w:color w:val="000000"/>
          <w:kern w:val="0"/>
          <w:szCs w:val="21"/>
        </w:rPr>
        <w:t>7</w:t>
      </w:r>
      <w:r>
        <w:rPr>
          <w:rFonts w:ascii="Times New Roman" w:hAnsi="Times New Roman" w:eastAsia="仿宋_GB2312" w:cs="Times New Roman"/>
          <w:color w:val="000000"/>
          <w:kern w:val="0"/>
          <w:szCs w:val="21"/>
        </w:rPr>
        <w:t>表</w:t>
      </w:r>
    </w:p>
    <w:p>
      <w:pPr>
        <w:widowControl/>
        <w:ind w:right="42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预算数</w:t>
            </w:r>
          </w:p>
        </w:tc>
        <w:tc>
          <w:tcPr>
            <w:tcW w:w="7320" w:type="dxa"/>
            <w:gridSpan w:val="6"/>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c>
          <w:tcPr>
            <w:tcW w:w="1220" w:type="dxa"/>
            <w:vMerge w:val="restart"/>
            <w:tcBorders>
              <w:top w:val="nil"/>
              <w:left w:val="nil"/>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r>
      <w:tr>
        <w:tblPrEx>
          <w:tblCellMar>
            <w:top w:w="0" w:type="dxa"/>
            <w:left w:w="108" w:type="dxa"/>
            <w:bottom w:w="0" w:type="dxa"/>
            <w:right w:w="108" w:type="dxa"/>
          </w:tblCellMar>
        </w:tblPrEx>
        <w:trPr>
          <w:trHeight w:val="397" w:hRule="atLeast"/>
          <w:jc w:val="center"/>
        </w:trPr>
        <w:tc>
          <w:tcPr>
            <w:tcW w:w="1220" w:type="dxa"/>
            <w:vMerge w:val="continue"/>
            <w:tcBorders>
              <w:top w:val="nil"/>
              <w:left w:val="single" w:color="auto" w:sz="8"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nil"/>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1.0</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1.0</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1.0</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single" w:color="auto" w:sz="4" w:space="0"/>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1.0</w:t>
            </w:r>
          </w:p>
        </w:tc>
      </w:tr>
    </w:tbl>
    <w:p>
      <w:pPr>
        <w:autoSpaceDE w:val="0"/>
        <w:autoSpaceDN w:val="0"/>
        <w:adjustRightInd w:val="0"/>
        <w:ind w:left="315" w:leftChars="150"/>
        <w:jc w:val="left"/>
        <w:rPr>
          <w:rFonts w:ascii="宋体" w:eastAsia="宋体" w:cs="宋体"/>
          <w:kern w:val="0"/>
          <w:sz w:val="24"/>
          <w:szCs w:val="24"/>
        </w:rPr>
      </w:pPr>
      <w:r>
        <w:rPr>
          <w:rFonts w:hint="eastAsia" w:ascii="仿宋" w:hAnsi="仿宋" w:eastAsia="仿宋" w:cs="仿宋"/>
          <w:kern w:val="0"/>
          <w:sz w:val="24"/>
          <w:szCs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ascii="宋体" w:eastAsia="宋体" w:cs="宋体"/>
          <w:kern w:val="0"/>
          <w:sz w:val="24"/>
          <w:szCs w:val="24"/>
        </w:rPr>
      </w:pPr>
      <w:r>
        <w:rPr>
          <w:rFonts w:ascii="宋体" w:eastAsia="宋体" w:cs="宋体"/>
          <w:kern w:val="0"/>
          <w:sz w:val="24"/>
          <w:szCs w:val="24"/>
        </w:rPr>
        <w:br w:type="page"/>
      </w:r>
    </w:p>
    <w:p>
      <w:pPr>
        <w:autoSpaceDE w:val="0"/>
        <w:autoSpaceDN w:val="0"/>
        <w:adjustRightInd w:val="0"/>
        <w:ind w:left="315" w:leftChars="150"/>
        <w:jc w:val="left"/>
        <w:rPr>
          <w:rFonts w:ascii="宋体" w:eastAsia="宋体" w:cs="宋体"/>
          <w:kern w:val="0"/>
          <w:sz w:val="24"/>
          <w:szCs w:val="24"/>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政府性基金预算财政拨款收入支出决算表</w:t>
      </w:r>
    </w:p>
    <w:p>
      <w:pPr>
        <w:widowControl/>
        <w:wordWrap w:val="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                                                                                                                       公开08表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年初结转和结余</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本年收入</w:t>
            </w:r>
          </w:p>
        </w:tc>
        <w:tc>
          <w:tcPr>
            <w:tcW w:w="6000"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13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000" w:type="dxa"/>
            <w:vMerge w:val="continue"/>
            <w:vAlign w:val="center"/>
          </w:tcPr>
          <w:p>
            <w:pPr>
              <w:widowControl/>
              <w:jc w:val="left"/>
              <w:rPr>
                <w:rFonts w:ascii="Times New Roman" w:hAnsi="Times New Roman" w:eastAsia="仿宋_GB2312" w:cs="Times New Roman"/>
                <w:b/>
                <w:kern w:val="0"/>
                <w:szCs w:val="21"/>
              </w:rPr>
            </w:pPr>
          </w:p>
        </w:tc>
        <w:tc>
          <w:tcPr>
            <w:tcW w:w="2000" w:type="dxa"/>
            <w:vMerge w:val="continue"/>
            <w:vAlign w:val="center"/>
          </w:tcPr>
          <w:p>
            <w:pPr>
              <w:widowControl/>
              <w:jc w:val="left"/>
              <w:rPr>
                <w:rFonts w:ascii="Times New Roman" w:hAnsi="Times New Roman" w:eastAsia="仿宋_GB2312" w:cs="Times New Roman"/>
                <w:b/>
                <w:kern w:val="0"/>
                <w:szCs w:val="21"/>
              </w:rPr>
            </w:pP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基本支出  </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c>
          <w:tcPr>
            <w:tcW w:w="2000" w:type="dxa"/>
            <w:vMerge w:val="continue"/>
            <w:vAlign w:val="center"/>
          </w:tcPr>
          <w:p>
            <w:pPr>
              <w:widowControl/>
              <w:jc w:val="left"/>
              <w:rPr>
                <w:rFonts w:ascii="Times New Roman" w:hAnsi="Times New Roman" w:eastAsia="仿宋_GB2312" w:cs="Times New Roman"/>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32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32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注：本表反映部门本年度政府性基金预算财政拨款收入、支出及结转和结余情况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w:t>
      </w:r>
      <w:r>
        <w:rPr>
          <w:rFonts w:hint="eastAsia" w:ascii="Times New Roman" w:hAnsi="Times New Roman" w:eastAsia="仿宋_GB2312" w:cs="Times New Roman"/>
          <w:kern w:val="0"/>
          <w:szCs w:val="21"/>
        </w:rPr>
        <w:t>新田县归侨侨眷联合会单位没有政府性基金收入，也没有使用政府性基金安排的支出，故本表无数据</w:t>
      </w:r>
      <w:r>
        <w:rPr>
          <w:rFonts w:ascii="Times New Roman" w:hAnsi="Times New Roman" w:eastAsia="仿宋_GB2312" w:cs="Times New Roman"/>
          <w:kern w:val="0"/>
          <w:szCs w:val="21"/>
        </w:rPr>
        <w:t>)。</w:t>
      </w:r>
    </w:p>
    <w:p>
      <w:pPr>
        <w:widowControl/>
        <w:jc w:val="left"/>
        <w:rPr>
          <w:rFonts w:ascii="黑体" w:hAnsi="黑体" w:eastAsia="黑体"/>
          <w:szCs w:val="21"/>
        </w:rPr>
      </w:pPr>
    </w:p>
    <w:p>
      <w:pPr>
        <w:widowControl/>
        <w:jc w:val="left"/>
        <w:rPr>
          <w:rFonts w:ascii="黑体" w:hAnsi="黑体" w:eastAsia="黑体"/>
          <w:szCs w:val="21"/>
        </w:rPr>
      </w:pPr>
    </w:p>
    <w:p>
      <w:pPr>
        <w:widowControl/>
        <w:jc w:val="left"/>
        <w:rPr>
          <w:rFonts w:ascii="黑体" w:hAnsi="黑体" w:eastAsia="黑体"/>
          <w:szCs w:val="21"/>
        </w:rPr>
        <w:sectPr>
          <w:pgSz w:w="16838" w:h="11906" w:orient="landscape"/>
          <w:pgMar w:top="720" w:right="720" w:bottom="720" w:left="720" w:header="851" w:footer="992" w:gutter="0"/>
          <w:cols w:space="425" w:num="1"/>
          <w:docGrid w:type="lines" w:linePitch="312" w:charSpace="0"/>
        </w:sectPr>
      </w:pPr>
      <w:r>
        <w:rPr>
          <w:rFonts w:ascii="黑体" w:hAnsi="黑体" w:eastAsia="黑体"/>
          <w:szCs w:val="21"/>
        </w:rPr>
        <w:br w:type="page"/>
      </w:r>
    </w:p>
    <w:p>
      <w:pPr>
        <w:widowControl/>
        <w:jc w:val="center"/>
        <w:rPr>
          <w:rFonts w:ascii="宋体" w:hAnsi="宋体" w:eastAsia="宋体" w:cs="宋体"/>
          <w:b/>
          <w:bCs/>
          <w:color w:val="333333"/>
          <w:sz w:val="36"/>
          <w:szCs w:val="36"/>
          <w:shd w:val="clear" w:color="auto" w:fill="FFFFFF"/>
        </w:rPr>
      </w:pPr>
      <w:r>
        <w:rPr>
          <w:rFonts w:hint="eastAsia" w:ascii="宋体" w:hAnsi="宋体" w:eastAsia="宋体" w:cs="宋体"/>
          <w:b/>
          <w:bCs/>
          <w:color w:val="333333"/>
          <w:sz w:val="36"/>
          <w:szCs w:val="36"/>
          <w:shd w:val="clear" w:color="auto" w:fill="FFFFFF"/>
        </w:rPr>
        <w:t>国有资本经营预算财政拨款支出决算表</w:t>
      </w:r>
    </w:p>
    <w:tbl>
      <w:tblPr>
        <w:tblStyle w:val="3"/>
        <w:tblW w:w="14190" w:type="dxa"/>
        <w:tblInd w:w="93" w:type="dxa"/>
        <w:tblLayout w:type="autofit"/>
        <w:tblCellMar>
          <w:top w:w="0" w:type="dxa"/>
          <w:left w:w="108" w:type="dxa"/>
          <w:bottom w:w="0" w:type="dxa"/>
          <w:right w:w="108" w:type="dxa"/>
        </w:tblCellMar>
      </w:tblPr>
      <w:tblGrid>
        <w:gridCol w:w="1060"/>
        <w:gridCol w:w="560"/>
        <w:gridCol w:w="1089"/>
        <w:gridCol w:w="2126"/>
        <w:gridCol w:w="1225"/>
        <w:gridCol w:w="1326"/>
        <w:gridCol w:w="1294"/>
        <w:gridCol w:w="1683"/>
        <w:gridCol w:w="3827"/>
      </w:tblGrid>
      <w:tr>
        <w:tblPrEx>
          <w:tblCellMar>
            <w:top w:w="0" w:type="dxa"/>
            <w:left w:w="108" w:type="dxa"/>
            <w:bottom w:w="0" w:type="dxa"/>
            <w:right w:w="108" w:type="dxa"/>
          </w:tblCellMar>
        </w:tblPrEx>
        <w:trPr>
          <w:trHeight w:val="720" w:hRule="atLeast"/>
        </w:trPr>
        <w:tc>
          <w:tcPr>
            <w:tcW w:w="14190" w:type="dxa"/>
            <w:gridSpan w:val="9"/>
            <w:tcBorders>
              <w:top w:val="nil"/>
              <w:left w:val="nil"/>
              <w:bottom w:val="nil"/>
              <w:right w:val="nil"/>
            </w:tcBorders>
            <w:shd w:val="clear" w:color="000000" w:fill="FFFFFF"/>
            <w:vAlign w:val="center"/>
          </w:tcPr>
          <w:p>
            <w:pPr>
              <w:widowControl/>
              <w:jc w:val="center"/>
              <w:rPr>
                <w:rFonts w:ascii="华文中宋" w:hAnsi="华文中宋" w:eastAsia="华文中宋" w:cs="宋体"/>
                <w:kern w:val="0"/>
                <w:sz w:val="32"/>
                <w:szCs w:val="32"/>
              </w:rPr>
            </w:pPr>
            <w:r>
              <w:rPr>
                <w:rFonts w:hint="eastAsia" w:ascii="华文中宋" w:hAnsi="华文中宋" w:eastAsia="华文中宋" w:cs="宋体"/>
                <w:kern w:val="0"/>
                <w:sz w:val="32"/>
                <w:szCs w:val="32"/>
              </w:rPr>
              <w:t>国有资本经营预算财政拨款支出决算表</w:t>
            </w:r>
          </w:p>
        </w:tc>
      </w:tr>
      <w:tr>
        <w:tblPrEx>
          <w:tblCellMar>
            <w:top w:w="0" w:type="dxa"/>
            <w:left w:w="108" w:type="dxa"/>
            <w:bottom w:w="0" w:type="dxa"/>
            <w:right w:w="108" w:type="dxa"/>
          </w:tblCellMar>
        </w:tblPrEx>
        <w:trPr>
          <w:trHeight w:val="285" w:hRule="atLeast"/>
        </w:trPr>
        <w:tc>
          <w:tcPr>
            <w:tcW w:w="1060" w:type="dxa"/>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60" w:type="dxa"/>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215" w:type="dxa"/>
            <w:gridSpan w:val="2"/>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25" w:type="dxa"/>
            <w:tcBorders>
              <w:top w:val="nil"/>
              <w:left w:val="nil"/>
              <w:bottom w:val="nil"/>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620" w:type="dxa"/>
            <w:gridSpan w:val="2"/>
            <w:tcBorders>
              <w:top w:val="nil"/>
              <w:left w:val="nil"/>
              <w:bottom w:val="nil"/>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510"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公开09表</w:t>
            </w:r>
          </w:p>
        </w:tc>
      </w:tr>
      <w:tr>
        <w:trPr>
          <w:trHeight w:val="285" w:hRule="atLeast"/>
        </w:trPr>
        <w:tc>
          <w:tcPr>
            <w:tcW w:w="1060" w:type="dxa"/>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p>
        </w:tc>
        <w:tc>
          <w:tcPr>
            <w:tcW w:w="560" w:type="dxa"/>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215" w:type="dxa"/>
            <w:gridSpan w:val="2"/>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25" w:type="dxa"/>
            <w:tcBorders>
              <w:top w:val="nil"/>
              <w:left w:val="nil"/>
              <w:bottom w:val="single" w:color="auto" w:sz="8" w:space="0"/>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620" w:type="dxa"/>
            <w:gridSpan w:val="2"/>
            <w:tcBorders>
              <w:top w:val="nil"/>
              <w:left w:val="nil"/>
              <w:bottom w:val="single" w:color="auto" w:sz="8" w:space="0"/>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510"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402" w:hRule="atLeast"/>
        </w:trPr>
        <w:tc>
          <w:tcPr>
            <w:tcW w:w="4835" w:type="dxa"/>
            <w:gridSpan w:val="4"/>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xml:space="preserve">项 </w:t>
            </w:r>
            <w:r>
              <w:rPr>
                <w:rFonts w:hint="eastAsia" w:ascii="宋体" w:hAnsi="宋体" w:eastAsia="宋体" w:cs="宋体"/>
                <w:color w:val="000000"/>
                <w:kern w:val="0"/>
                <w:sz w:val="22"/>
              </w:rPr>
              <w:t xml:space="preserve">   </w:t>
            </w:r>
            <w:r>
              <w:rPr>
                <w:rFonts w:hint="eastAsia" w:ascii="宋体" w:hAnsi="宋体" w:eastAsia="宋体" w:cs="宋体"/>
                <w:kern w:val="0"/>
                <w:sz w:val="24"/>
                <w:szCs w:val="24"/>
              </w:rPr>
              <w:t>目</w:t>
            </w:r>
          </w:p>
        </w:tc>
        <w:tc>
          <w:tcPr>
            <w:tcW w:w="9355" w:type="dxa"/>
            <w:gridSpan w:val="5"/>
            <w:tcBorders>
              <w:top w:val="single" w:color="auto" w:sz="8" w:space="0"/>
              <w:left w:val="nil"/>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本年支出</w:t>
            </w:r>
          </w:p>
        </w:tc>
      </w:tr>
      <w:tr>
        <w:tblPrEx>
          <w:tblCellMar>
            <w:top w:w="0" w:type="dxa"/>
            <w:left w:w="108" w:type="dxa"/>
            <w:bottom w:w="0" w:type="dxa"/>
            <w:right w:w="108" w:type="dxa"/>
          </w:tblCellMar>
        </w:tblPrEx>
        <w:trPr>
          <w:trHeight w:val="402" w:hRule="atLeast"/>
        </w:trPr>
        <w:tc>
          <w:tcPr>
            <w:tcW w:w="2709" w:type="dxa"/>
            <w:gridSpan w:val="3"/>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功能分类科目编码</w:t>
            </w:r>
          </w:p>
        </w:tc>
        <w:tc>
          <w:tcPr>
            <w:tcW w:w="2126"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科目名称</w:t>
            </w:r>
          </w:p>
        </w:tc>
        <w:tc>
          <w:tcPr>
            <w:tcW w:w="2551" w:type="dxa"/>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2977" w:type="dxa"/>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xml:space="preserve">基本支出  </w:t>
            </w:r>
          </w:p>
        </w:tc>
        <w:tc>
          <w:tcPr>
            <w:tcW w:w="3827"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项目支出</w:t>
            </w:r>
          </w:p>
        </w:tc>
      </w:tr>
      <w:tr>
        <w:tblPrEx>
          <w:tblCellMar>
            <w:top w:w="0" w:type="dxa"/>
            <w:left w:w="108" w:type="dxa"/>
            <w:bottom w:w="0" w:type="dxa"/>
            <w:right w:w="108" w:type="dxa"/>
          </w:tblCellMar>
        </w:tblPrEx>
        <w:trPr>
          <w:trHeight w:val="402" w:hRule="atLeast"/>
        </w:trPr>
        <w:tc>
          <w:tcPr>
            <w:tcW w:w="2709" w:type="dxa"/>
            <w:gridSpan w:val="3"/>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1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551"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2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382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402" w:hRule="atLeast"/>
        </w:trPr>
        <w:tc>
          <w:tcPr>
            <w:tcW w:w="2709" w:type="dxa"/>
            <w:gridSpan w:val="3"/>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1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551"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2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382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402" w:hRule="atLeast"/>
        </w:trPr>
        <w:tc>
          <w:tcPr>
            <w:tcW w:w="4835" w:type="dxa"/>
            <w:gridSpan w:val="4"/>
            <w:tcBorders>
              <w:top w:val="single" w:color="auto" w:sz="4" w:space="0"/>
              <w:left w:val="single" w:color="auto" w:sz="8"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栏次</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382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r>
      <w:tr>
        <w:tblPrEx>
          <w:tblCellMar>
            <w:top w:w="0" w:type="dxa"/>
            <w:left w:w="108" w:type="dxa"/>
            <w:bottom w:w="0" w:type="dxa"/>
            <w:right w:w="108" w:type="dxa"/>
          </w:tblCellMar>
        </w:tblPrEx>
        <w:trPr>
          <w:trHeight w:val="402" w:hRule="atLeast"/>
        </w:trPr>
        <w:tc>
          <w:tcPr>
            <w:tcW w:w="4835" w:type="dxa"/>
            <w:gridSpan w:val="4"/>
            <w:tcBorders>
              <w:top w:val="nil"/>
              <w:left w:val="single" w:color="auto" w:sz="8"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　</w:t>
            </w:r>
          </w:p>
        </w:tc>
        <w:tc>
          <w:tcPr>
            <w:tcW w:w="382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720" w:hRule="atLeast"/>
        </w:trPr>
        <w:tc>
          <w:tcPr>
            <w:tcW w:w="14190" w:type="dxa"/>
            <w:gridSpan w:val="9"/>
            <w:tcBorders>
              <w:top w:val="single" w:color="auto" w:sz="8" w:space="0"/>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注：本表反映部门本年度国有资本经营预算财政拨款支出情况。</w:t>
            </w:r>
          </w:p>
        </w:tc>
      </w:tr>
    </w:tbl>
    <w:p/>
    <w:tbl>
      <w:tblPr>
        <w:tblStyle w:val="3"/>
        <w:tblW w:w="8715" w:type="dxa"/>
        <w:tblInd w:w="0" w:type="dxa"/>
        <w:tblLayout w:type="autofit"/>
        <w:tblCellMar>
          <w:top w:w="0" w:type="dxa"/>
          <w:left w:w="0" w:type="dxa"/>
          <w:bottom w:w="0" w:type="dxa"/>
          <w:right w:w="0" w:type="dxa"/>
        </w:tblCellMar>
      </w:tblPr>
      <w:tblGrid>
        <w:gridCol w:w="8716"/>
      </w:tblGrid>
      <w:tr>
        <w:tblPrEx>
          <w:tblCellMar>
            <w:top w:w="0" w:type="dxa"/>
            <w:left w:w="0" w:type="dxa"/>
            <w:bottom w:w="0" w:type="dxa"/>
            <w:right w:w="0" w:type="dxa"/>
          </w:tblCellMar>
        </w:tblPrEx>
        <w:trPr>
          <w:trHeight w:val="267" w:hRule="atLeast"/>
        </w:trPr>
        <w:tc>
          <w:tcPr>
            <w:tcW w:w="8716" w:type="dxa"/>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p>
        </w:tc>
      </w:tr>
    </w:tbl>
    <w:p>
      <w:r>
        <w:rPr>
          <w:rFonts w:hint="eastAsia"/>
        </w:rPr>
        <w:t xml:space="preserve">     </w:t>
      </w:r>
    </w:p>
    <w:p>
      <w:pPr>
        <w:widowControl/>
        <w:jc w:val="left"/>
        <w:rPr>
          <w:rFonts w:ascii="仿宋" w:hAnsi="仿宋" w:eastAsia="仿宋" w:cs="仿宋"/>
          <w:kern w:val="0"/>
          <w:szCs w:val="21"/>
        </w:rPr>
      </w:pPr>
      <w:r>
        <w:rPr>
          <w:rFonts w:hint="eastAsia"/>
        </w:rPr>
        <w:tab/>
      </w:r>
      <w:r>
        <w:rPr>
          <w:rFonts w:hint="eastAsia" w:ascii="仿宋" w:hAnsi="仿宋" w:eastAsia="仿宋" w:cs="仿宋"/>
          <w:kern w:val="0"/>
          <w:szCs w:val="21"/>
        </w:rPr>
        <w:t>(新田县归侨侨眷联合会单位无</w:t>
      </w:r>
      <w:r>
        <w:rPr>
          <w:rFonts w:hint="eastAsia" w:ascii="仿宋" w:hAnsi="仿宋" w:eastAsia="仿宋" w:cs="仿宋"/>
          <w:color w:val="000000"/>
          <w:kern w:val="0"/>
          <w:szCs w:val="21"/>
        </w:rPr>
        <w:t>国有资本经营预算财政拨款支出</w:t>
      </w:r>
      <w:r>
        <w:rPr>
          <w:rFonts w:hint="eastAsia" w:ascii="仿宋" w:hAnsi="仿宋" w:eastAsia="仿宋" w:cs="仿宋"/>
          <w:kern w:val="0"/>
          <w:szCs w:val="21"/>
        </w:rPr>
        <w:t>，故本表无数据)。</w:t>
      </w:r>
    </w:p>
    <w:p>
      <w:pPr>
        <w:tabs>
          <w:tab w:val="left" w:pos="1460"/>
        </w:tabs>
        <w:jc w:val="left"/>
        <w:rPr>
          <w:szCs w:val="21"/>
        </w:rPr>
        <w:sectPr>
          <w:pgSz w:w="16838" w:h="11906" w:orient="landscape"/>
          <w:pgMar w:top="720" w:right="720" w:bottom="720" w:left="720" w:header="851" w:footer="992" w:gutter="0"/>
          <w:cols w:space="425" w:num="1"/>
          <w:docGrid w:type="lines" w:linePitch="312" w:charSpace="0"/>
        </w:sectPr>
      </w:pPr>
    </w:p>
    <w:p>
      <w:pPr>
        <w:pStyle w:val="5"/>
        <w:rPr>
          <w:sz w:val="32"/>
          <w:szCs w:val="32"/>
        </w:rPr>
      </w:pPr>
      <w:r>
        <w:rPr>
          <w:rFonts w:hint="eastAsia"/>
          <w:sz w:val="32"/>
          <w:szCs w:val="32"/>
        </w:rPr>
        <w:t>第三部分 2021年度部门决算情况说明</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一、收入支出决算总体情况说明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 年度收入62.4万元，上年结转2.4万元、支出64.8万元。与2020年相比，收入减少6.8万元，减少9%，主要是因为临时性项目减少，支出减少2万元，减少3%，主要是因为压缩经费开支。</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二、收入决算情况说明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本年收入合计62.4万元，其中：财政拨款收入62.4万元，占100%；上级补助收入0万元，占0%；事业收入0万元，占0%；经营收入0万元，占0%；附属单位上缴收入0万元，占0%；其他收入0万元，占0%。</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三、支出决算情况说明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本年支出合计64.8万元，其中：基本支出64.8万元，占100%；项目支出0万元，占0%；上缴上级支出0万元，占0%；经营支出0万元，占0%；对附属单位补助支出0万元，占0%。</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四、财政拨款收入支出决算总体情况说明</w:t>
      </w:r>
    </w:p>
    <w:p>
      <w:pPr>
        <w:pStyle w:val="5"/>
        <w:ind w:firstLine="56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2021年度财政拨款收入62.4万元，上年结转2.4万元、支出64.8万元。与2020年相比，收入减少6.8万元，减少9%，主要是因为临时性项目减少，支出减少2万元，减少3%，主要是因为压缩公用经费开支。</w:t>
      </w:r>
    </w:p>
    <w:p>
      <w:pPr>
        <w:pStyle w:val="5"/>
        <w:ind w:firstLine="56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五、一般公共预算财政拨款支出决算情况说明</w:t>
      </w:r>
    </w:p>
    <w:p>
      <w:pPr>
        <w:pStyle w:val="5"/>
        <w:ind w:firstLine="560" w:firstLineChars="20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（一）财政拨款支出决算总体情况</w:t>
      </w:r>
    </w:p>
    <w:p>
      <w:pPr>
        <w:pStyle w:val="5"/>
        <w:ind w:firstLine="56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2021年度财政拨款支出64.8万元，占本年支出合计的100%，与2020年相比，财政拨款支出减少2万元，减少3%，主要是因为压缩公用经费开支。</w:t>
      </w:r>
    </w:p>
    <w:p>
      <w:pPr>
        <w:pStyle w:val="5"/>
        <w:ind w:firstLine="420" w:firstLineChars="15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（二）财政拨款支出决算结构情况</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2021年度财政拨款支出64.8万元，主要用于以下方面：一般公共服务（类）支出64.8万元，占100%；教育（类）支出0万元，占0%.</w:t>
      </w:r>
    </w:p>
    <w:p>
      <w:pPr>
        <w:pStyle w:val="5"/>
        <w:ind w:firstLine="700" w:firstLineChars="25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（三）财政拨款支出决算具体情况</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2021年度财政拨款支出年初预算数为56.85万元，调整预算数为64.8万元，支出决算数为64.8万元，完成年初调整预算的100%，其中：</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1、一般公共服务（类）统战事务（款）华侨事务（项）。</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年初预算为56.85万元，调整预算数为64.8万元，支出决算为64.8万元，完成年初调整预算的100%，决算数基本与年初预算数持平主要原因是：严格按照预算执行。</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六、一般公共预算财政拨款基本支出决算情况说明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基本支出64.8万元，其中：人员经费43.4万元，占基本支出的67%,主要包括基本工资、津贴补贴、奖金、绩效工资、机关事业单位基本养老保险缴费、职工基本医疗保险缴费、其他社保缴费等；公用经费21.4万元，占基本支出的33%，主要包括办公费、印刷费、邮电费、差旅费、公务接待费、劳务费、工会费等。</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七、一般公共预算财政拨款三公经费支出决算情况说明</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（一）“三公”经费财政拨款支出决算总体情况说明</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“三公”经费财政拨款支出预算为1万元，支出决算为1万元，完成预算的100%，其中：</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因公出国(境)费支出预算为0万元，支出决算为 0万元，因预算数为 0，无法计算预算完成百分比。决算数与预算数一致，与上年相比持平，原因是上年及本年均无出国出境情况，无相关费用支出。</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公务接待费支出预算为1万元，支出决算为1万元，完成预算的100%，决算数等于年初预算数的主要原因是严格按照预算执行，与上年相比减少（增加）0万元，减少（增长）0%,的主要原因是严控支出，严格按照预算执行。</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公务用车购置费支出预算为0万元，支出决算为0万元，因预算数为0，无法计算预算完成百分比。决算数与预算数一致，与上年相比持平，原因是上年及本年均无公务用车购置费支出。</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（二）“三公”经费财政拨款支出决算具体情况说明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2021年度“三公”经费财政拨款支出决算中，公务接待费支出决算1万元，占100%,因公出国（境）费支出决算0万元，占0%,公务用车购置费及运行维护费支出决算0万元，占0%。其中：</w:t>
      </w:r>
    </w:p>
    <w:p>
      <w:pPr>
        <w:pStyle w:val="5"/>
        <w:ind w:firstLine="560" w:firstLineChars="20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sz w:val="28"/>
          <w:szCs w:val="28"/>
        </w:rPr>
        <w:t>1、因公出国（境）费支出决算为0万元，全年安排因公出国（境）团组0个，累计0人次。</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2、公务接待费支出决算为1万元，全年共接待来访团组24个、来宾215人次，主要是省市及其他县来新考察调研、侨眷属回新考察交流发生的接待支出。</w:t>
      </w:r>
    </w:p>
    <w:p>
      <w:pPr>
        <w:ind w:firstLine="700" w:firstLineChars="250"/>
        <w:rPr>
          <w:rFonts w:asciiTheme="minorEastAsia" w:hAnsiTheme="minorEastAsia" w:cstheme="minorEastAsia"/>
          <w:color w:val="000000"/>
          <w:kern w:val="0"/>
          <w:sz w:val="28"/>
          <w:szCs w:val="28"/>
        </w:rPr>
      </w:pPr>
      <w:r>
        <w:rPr>
          <w:rFonts w:hint="eastAsia" w:asciiTheme="minorEastAsia" w:hAnsiTheme="minorEastAsia" w:cstheme="minorEastAsia"/>
          <w:sz w:val="28"/>
          <w:szCs w:val="28"/>
        </w:rPr>
        <w:t>3、公务用车购置费及运行维护费支出决算为0万元，其中：公务用车购置费0万元，新田县归侨侨眷联合会</w:t>
      </w:r>
      <w:r>
        <w:rPr>
          <w:rFonts w:hint="eastAsia" w:asciiTheme="minorEastAsia" w:hAnsiTheme="minorEastAsia" w:cstheme="minorEastAsia"/>
          <w:sz w:val="28"/>
          <w:szCs w:val="28"/>
          <w:lang w:eastAsia="zh-CN"/>
        </w:rPr>
        <w:t>及下属事业单位</w:t>
      </w:r>
      <w:r>
        <w:rPr>
          <w:rFonts w:hint="eastAsia" w:asciiTheme="minorEastAsia" w:hAnsiTheme="minorEastAsia" w:cstheme="minorEastAsia"/>
          <w:sz w:val="28"/>
          <w:szCs w:val="28"/>
        </w:rPr>
        <w:t>更新公务用车0辆</w:t>
      </w:r>
      <w:r>
        <w:rPr>
          <w:rFonts w:hint="eastAsia" w:asciiTheme="minorEastAsia" w:hAnsiTheme="minorEastAsia" w:cstheme="minorEastAsia"/>
          <w:color w:val="000000" w:themeColor="text1"/>
          <w:sz w:val="28"/>
          <w:szCs w:val="28"/>
        </w:rPr>
        <w:t>。</w:t>
      </w:r>
      <w:r>
        <w:rPr>
          <w:rFonts w:hint="eastAsia" w:asciiTheme="minorEastAsia" w:hAnsiTheme="minorEastAsia" w:cstheme="minorEastAsia"/>
          <w:sz w:val="28"/>
          <w:szCs w:val="28"/>
        </w:rPr>
        <w:t>公务用车运行维护费0万元，主要是本单位无公车，无该项支出，截止2021年12月31日，我单位开支财政拨款的公务用车保有量为0辆。</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八、政府性基金预算收入支出决算情况</w:t>
      </w:r>
    </w:p>
    <w:p>
      <w:pPr>
        <w:pStyle w:val="5"/>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2021年度政府性基金预算财政拨款收入0万元；年初结转和结余0万元；支出0万元，其中基本支出0万元，项目支出0万元；年末结转和结余0万元。</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本单位无政府性基金收支。</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九、</w:t>
      </w:r>
      <w:r>
        <w:rPr>
          <w:rFonts w:hint="eastAsia" w:ascii="宋体" w:hAnsi="宋体" w:eastAsia="宋体" w:cs="宋体"/>
          <w:b/>
          <w:bCs/>
          <w:color w:val="333333"/>
          <w:sz w:val="28"/>
          <w:szCs w:val="28"/>
          <w:shd w:val="clear" w:color="auto" w:fill="FFFFFF"/>
        </w:rPr>
        <w:t>国有资本经营预算财政拨款支出决算情况</w:t>
      </w:r>
    </w:p>
    <w:p>
      <w:pPr>
        <w:pStyle w:val="5"/>
        <w:ind w:firstLine="280" w:firstLineChars="100"/>
        <w:rPr>
          <w:rFonts w:asciiTheme="minorEastAsia" w:hAnsiTheme="minorEastAsia" w:eastAsiaTheme="minorEastAsia" w:cstheme="minorEastAsia"/>
          <w:color w:val="FF0000"/>
          <w:sz w:val="28"/>
          <w:szCs w:val="28"/>
        </w:rPr>
      </w:pPr>
      <w:r>
        <w:rPr>
          <w:rFonts w:hint="eastAsia" w:asciiTheme="minorEastAsia" w:hAnsiTheme="minorEastAsia" w:eastAsiaTheme="minorEastAsia" w:cstheme="minorEastAsia"/>
          <w:sz w:val="28"/>
          <w:szCs w:val="28"/>
        </w:rPr>
        <w:t xml:space="preserve">  2021年度</w:t>
      </w:r>
      <w:r>
        <w:rPr>
          <w:rFonts w:hint="eastAsia" w:ascii="宋体" w:hAnsi="宋体" w:eastAsia="宋体" w:cs="宋体"/>
          <w:color w:val="333333"/>
          <w:sz w:val="28"/>
          <w:szCs w:val="28"/>
          <w:shd w:val="clear" w:color="auto" w:fill="FFFFFF"/>
        </w:rPr>
        <w:t>国有资本经营预算财政拨款</w:t>
      </w:r>
      <w:r>
        <w:rPr>
          <w:rFonts w:hint="eastAsia" w:asciiTheme="minorEastAsia" w:hAnsiTheme="minorEastAsia" w:eastAsiaTheme="minorEastAsia" w:cstheme="minorEastAsia"/>
          <w:sz w:val="28"/>
          <w:szCs w:val="28"/>
        </w:rPr>
        <w:t>支出0万元，其中基本支出0万元，项目支出0万元；本单位无国有资本经营预算财政拨款支出。</w:t>
      </w:r>
    </w:p>
    <w:p>
      <w:pPr>
        <w:ind w:firstLine="420" w:firstLineChars="150"/>
        <w:rPr>
          <w:rFonts w:asciiTheme="minorEastAsia" w:hAnsiTheme="minorEastAsia" w:cstheme="minorEastAsia"/>
          <w:b/>
          <w:color w:val="000000"/>
          <w:kern w:val="0"/>
          <w:sz w:val="28"/>
          <w:szCs w:val="28"/>
        </w:rPr>
      </w:pPr>
      <w:r>
        <w:rPr>
          <w:rFonts w:hint="eastAsia" w:asciiTheme="minorEastAsia" w:hAnsiTheme="minorEastAsia" w:cstheme="minorEastAsia"/>
          <w:b/>
          <w:sz w:val="28"/>
          <w:szCs w:val="28"/>
        </w:rPr>
        <w:t>十、</w:t>
      </w:r>
      <w:r>
        <w:rPr>
          <w:rFonts w:hint="eastAsia" w:asciiTheme="minorEastAsia" w:hAnsiTheme="minorEastAsia" w:cstheme="minorEastAsia"/>
          <w:b/>
          <w:color w:val="000000"/>
          <w:kern w:val="0"/>
          <w:sz w:val="28"/>
          <w:szCs w:val="28"/>
        </w:rPr>
        <w:t>机关运行经费支出情况</w:t>
      </w:r>
    </w:p>
    <w:p>
      <w:pPr>
        <w:ind w:firstLine="840" w:firstLineChars="3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本部门2021 年度机关运行经费支出21.4万元，比年初预算数增加6.4万元，增长42%。主要原因是：疫情防控经费增加。</w:t>
      </w:r>
    </w:p>
    <w:p>
      <w:pPr>
        <w:ind w:firstLine="560" w:firstLineChars="200"/>
        <w:rPr>
          <w:rFonts w:asciiTheme="minorEastAsia" w:hAnsiTheme="minorEastAsia" w:cstheme="minorEastAsia"/>
          <w:b/>
          <w:color w:val="000000"/>
          <w:kern w:val="0"/>
          <w:sz w:val="28"/>
          <w:szCs w:val="28"/>
        </w:rPr>
      </w:pPr>
      <w:r>
        <w:rPr>
          <w:rFonts w:hint="eastAsia" w:asciiTheme="minorEastAsia" w:hAnsiTheme="minorEastAsia" w:cstheme="minorEastAsia"/>
          <w:b/>
          <w:sz w:val="28"/>
          <w:szCs w:val="28"/>
        </w:rPr>
        <w:t>十一、</w:t>
      </w:r>
      <w:r>
        <w:rPr>
          <w:rFonts w:hint="eastAsia" w:asciiTheme="minorEastAsia" w:hAnsiTheme="minorEastAsia" w:cstheme="minorEastAsia"/>
          <w:b/>
          <w:color w:val="000000"/>
          <w:kern w:val="0"/>
          <w:sz w:val="28"/>
          <w:szCs w:val="28"/>
        </w:rPr>
        <w:t>一般性支出情况</w:t>
      </w:r>
    </w:p>
    <w:p>
      <w:pPr>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2021年本部门开支会议费0万元，本单位2021年度无会议费支出；开支培训费0万元，本单位2021年度无会议费支出；未举办节庆、晚会、论坛、赛事活动等。</w:t>
      </w:r>
    </w:p>
    <w:p>
      <w:pPr>
        <w:ind w:firstLine="560" w:firstLineChars="200"/>
        <w:rPr>
          <w:rFonts w:asciiTheme="minorEastAsia" w:hAnsiTheme="minorEastAsia" w:cstheme="minorEastAsia"/>
          <w:b/>
          <w:color w:val="000000"/>
          <w:kern w:val="0"/>
          <w:sz w:val="28"/>
          <w:szCs w:val="28"/>
        </w:rPr>
      </w:pPr>
      <w:r>
        <w:rPr>
          <w:rFonts w:hint="eastAsia" w:asciiTheme="minorEastAsia" w:hAnsiTheme="minorEastAsia" w:cstheme="minorEastAsia"/>
          <w:b/>
          <w:color w:val="000000"/>
          <w:kern w:val="0"/>
          <w:sz w:val="28"/>
          <w:szCs w:val="28"/>
        </w:rPr>
        <w:t>十二、政府采购支出情况</w:t>
      </w:r>
    </w:p>
    <w:p>
      <w:pPr>
        <w:ind w:firstLine="560" w:firstLineChars="200"/>
        <w:rPr>
          <w:rFonts w:asciiTheme="minorEastAsia" w:hAnsiTheme="minorEastAsia" w:cstheme="minorEastAsia"/>
          <w:i/>
          <w:color w:val="FF0000"/>
          <w:kern w:val="0"/>
          <w:sz w:val="28"/>
          <w:szCs w:val="28"/>
        </w:rPr>
      </w:pPr>
      <w:r>
        <w:rPr>
          <w:rFonts w:hint="eastAsia" w:asciiTheme="minorEastAsia" w:hAnsiTheme="minorEastAsia" w:cstheme="minorEastAsia"/>
          <w:color w:val="000000"/>
          <w:kern w:val="0"/>
          <w:sz w:val="28"/>
          <w:szCs w:val="28"/>
        </w:rPr>
        <w:t>本部门2021年度政府采购支出总额4万元，其中：政府采购货物支出4万元、政府采购工程支出0万元、政府采购服务支出0万元。授予中小企业合同金额0万元，占政府采购支出总额的0%，其中：授予小微企业合同金额0万元，占政府采购支出总额的0%。</w:t>
      </w:r>
    </w:p>
    <w:p>
      <w:pPr>
        <w:ind w:firstLine="420" w:firstLineChars="150"/>
        <w:rPr>
          <w:rFonts w:asciiTheme="minorEastAsia" w:hAnsiTheme="minorEastAsia" w:cstheme="minorEastAsia"/>
          <w:b/>
          <w:color w:val="000000"/>
          <w:kern w:val="0"/>
          <w:sz w:val="28"/>
          <w:szCs w:val="28"/>
        </w:rPr>
      </w:pPr>
      <w:r>
        <w:rPr>
          <w:rFonts w:hint="eastAsia" w:asciiTheme="minorEastAsia" w:hAnsiTheme="minorEastAsia" w:cstheme="minorEastAsia"/>
          <w:b/>
          <w:color w:val="000000"/>
          <w:kern w:val="0"/>
          <w:sz w:val="28"/>
          <w:szCs w:val="28"/>
        </w:rPr>
        <w:t>十三、国有资产占用情况</w:t>
      </w:r>
    </w:p>
    <w:p>
      <w:pPr>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截至2021年12月31日，本单位共有车辆0辆，其中，领导干部用车0辆、机要通信用车0辆、应急保障用车0辆、执法执勤用车0辆、特种专业技术用车0辆、其他用车0辆；单位价值50万元以上通用设备0台（套）；单位价值100万元以上专用设备0台（套）。</w:t>
      </w:r>
    </w:p>
    <w:p>
      <w:pPr>
        <w:pStyle w:val="5"/>
        <w:rPr>
          <w:rFonts w:asciiTheme="minorEastAsia" w:hAnsiTheme="minorEastAsia" w:eastAsiaTheme="minorEastAsia" w:cstheme="minorEastAsia"/>
          <w:b/>
          <w:sz w:val="28"/>
          <w:szCs w:val="28"/>
        </w:rPr>
      </w:pPr>
      <w:r>
        <w:rPr>
          <w:rFonts w:hint="eastAsia" w:asciiTheme="minorEastAsia" w:hAnsiTheme="minorEastAsia" w:cstheme="minorEastAsia"/>
          <w:b/>
          <w:sz w:val="28"/>
          <w:szCs w:val="28"/>
        </w:rPr>
        <w:t>十四、</w:t>
      </w:r>
      <w:r>
        <w:rPr>
          <w:rFonts w:hint="eastAsia" w:asciiTheme="minorEastAsia" w:hAnsiTheme="minorEastAsia" w:eastAsiaTheme="minorEastAsia" w:cstheme="minorEastAsia"/>
          <w:b/>
          <w:sz w:val="28"/>
          <w:szCs w:val="28"/>
        </w:rPr>
        <w:t>2021年度预算绩效情况说明</w:t>
      </w:r>
    </w:p>
    <w:p>
      <w:pPr>
        <w:pStyle w:val="2"/>
        <w:widowControl/>
        <w:shd w:val="clear" w:color="auto" w:fill="FFFFFF"/>
        <w:spacing w:beforeAutospacing="0" w:after="105" w:afterAutospacing="0" w:line="30" w:lineRule="atLeast"/>
        <w:ind w:firstLine="560" w:firstLineChars="200"/>
        <w:rPr>
          <w:rFonts w:asciiTheme="minorEastAsia" w:hAnsiTheme="minorEastAsia" w:cstheme="minorEastAsia"/>
          <w:b/>
          <w:sz w:val="28"/>
          <w:szCs w:val="28"/>
        </w:rPr>
      </w:pPr>
      <w:r>
        <w:rPr>
          <w:rFonts w:hint="eastAsia" w:asciiTheme="minorEastAsia" w:hAnsiTheme="minorEastAsia" w:cstheme="minorEastAsia"/>
          <w:b/>
          <w:sz w:val="28"/>
          <w:szCs w:val="28"/>
        </w:rPr>
        <w:t xml:space="preserve">  </w:t>
      </w:r>
      <w:r>
        <w:rPr>
          <w:rFonts w:hint="eastAsia" w:cs="黑体" w:asciiTheme="minorEastAsia" w:hAnsiTheme="minorEastAsia"/>
          <w:color w:val="000000"/>
          <w:sz w:val="28"/>
          <w:szCs w:val="28"/>
        </w:rPr>
        <w:t>根据预算绩效管理要求，我部门组织对</w:t>
      </w:r>
      <w:r>
        <w:rPr>
          <w:rFonts w:cs="黑体" w:asciiTheme="minorEastAsia" w:hAnsiTheme="minorEastAsia"/>
          <w:color w:val="000000"/>
          <w:sz w:val="28"/>
          <w:szCs w:val="28"/>
        </w:rPr>
        <w:t xml:space="preserve">2021 </w:t>
      </w:r>
      <w:r>
        <w:rPr>
          <w:rFonts w:hint="eastAsia" w:cs="黑体" w:asciiTheme="minorEastAsia" w:hAnsiTheme="minorEastAsia"/>
          <w:color w:val="000000"/>
          <w:sz w:val="28"/>
          <w:szCs w:val="28"/>
        </w:rPr>
        <w:t>年度一般公共预算项目支出全面开展绩效自评，其中，一级项目0个，二级项目0</w:t>
      </w:r>
      <w:r>
        <w:rPr>
          <w:rFonts w:cs="黑体" w:asciiTheme="minorEastAsia" w:hAnsiTheme="minorEastAsia"/>
          <w:color w:val="000000"/>
          <w:sz w:val="28"/>
          <w:szCs w:val="28"/>
        </w:rPr>
        <w:t xml:space="preserve"> </w:t>
      </w:r>
      <w:r>
        <w:rPr>
          <w:rFonts w:hint="eastAsia" w:cs="黑体" w:asciiTheme="minorEastAsia" w:hAnsiTheme="minorEastAsia"/>
          <w:color w:val="000000"/>
          <w:sz w:val="28"/>
          <w:szCs w:val="28"/>
        </w:rPr>
        <w:t>个，共涉及资金0</w:t>
      </w:r>
      <w:r>
        <w:rPr>
          <w:rFonts w:cs="黑体" w:asciiTheme="minorEastAsia" w:hAnsiTheme="minorEastAsia"/>
          <w:color w:val="000000"/>
          <w:sz w:val="28"/>
          <w:szCs w:val="28"/>
        </w:rPr>
        <w:t xml:space="preserve"> </w:t>
      </w:r>
      <w:r>
        <w:rPr>
          <w:rFonts w:hint="eastAsia" w:cs="黑体" w:asciiTheme="minorEastAsia" w:hAnsiTheme="minorEastAsia"/>
          <w:color w:val="000000"/>
          <w:sz w:val="28"/>
          <w:szCs w:val="28"/>
        </w:rPr>
        <w:t>万元，占一般公共预算项目支出总额的0</w:t>
      </w:r>
      <w:r>
        <w:rPr>
          <w:rFonts w:cs="黑体" w:asciiTheme="minorEastAsia" w:hAnsiTheme="minorEastAsia"/>
          <w:color w:val="000000"/>
          <w:sz w:val="28"/>
          <w:szCs w:val="28"/>
        </w:rPr>
        <w:t>%</w:t>
      </w:r>
      <w:r>
        <w:rPr>
          <w:rFonts w:hint="eastAsia" w:cs="黑体" w:asciiTheme="minorEastAsia" w:hAnsiTheme="minorEastAsia"/>
          <w:color w:val="000000"/>
          <w:sz w:val="28"/>
          <w:szCs w:val="28"/>
        </w:rPr>
        <w:t>。组织对</w:t>
      </w:r>
      <w:r>
        <w:rPr>
          <w:rFonts w:cs="黑体" w:asciiTheme="minorEastAsia" w:hAnsiTheme="minorEastAsia"/>
          <w:color w:val="000000"/>
          <w:sz w:val="28"/>
          <w:szCs w:val="28"/>
        </w:rPr>
        <w:t>2021</w:t>
      </w:r>
      <w:r>
        <w:rPr>
          <w:rFonts w:hint="eastAsia" w:cs="黑体" w:asciiTheme="minorEastAsia" w:hAnsiTheme="minorEastAsia"/>
          <w:color w:val="000000"/>
          <w:sz w:val="28"/>
          <w:szCs w:val="28"/>
        </w:rPr>
        <w:t>年度0</w:t>
      </w:r>
      <w:r>
        <w:rPr>
          <w:rFonts w:cs="黑体" w:asciiTheme="minorEastAsia" w:hAnsiTheme="minorEastAsia"/>
          <w:color w:val="000000"/>
          <w:sz w:val="28"/>
          <w:szCs w:val="28"/>
        </w:rPr>
        <w:t xml:space="preserve"> </w:t>
      </w:r>
      <w:r>
        <w:rPr>
          <w:rFonts w:hint="eastAsia" w:cs="黑体" w:asciiTheme="minorEastAsia" w:hAnsiTheme="minorEastAsia"/>
          <w:color w:val="000000"/>
          <w:sz w:val="28"/>
          <w:szCs w:val="28"/>
        </w:rPr>
        <w:t>个政府性基金预算项目支出开展绩效自评，共涉及资金0万元，占政府性基金预算项目支出总额的0</w:t>
      </w:r>
      <w:r>
        <w:rPr>
          <w:rFonts w:cs="黑体" w:asciiTheme="minorEastAsia" w:hAnsiTheme="minorEastAsia"/>
          <w:color w:val="000000"/>
          <w:sz w:val="28"/>
          <w:szCs w:val="28"/>
        </w:rPr>
        <w:t>%</w:t>
      </w:r>
      <w:r>
        <w:rPr>
          <w:rFonts w:hint="eastAsia" w:cs="黑体" w:asciiTheme="minorEastAsia" w:hAnsiTheme="minorEastAsia"/>
          <w:color w:val="000000"/>
          <w:sz w:val="28"/>
          <w:szCs w:val="28"/>
        </w:rPr>
        <w:t>。组织对</w:t>
      </w:r>
      <w:r>
        <w:rPr>
          <w:rFonts w:cs="黑体" w:asciiTheme="minorEastAsia" w:hAnsiTheme="minorEastAsia"/>
          <w:color w:val="000000"/>
          <w:sz w:val="28"/>
          <w:szCs w:val="28"/>
        </w:rPr>
        <w:t xml:space="preserve">2021 </w:t>
      </w:r>
      <w:r>
        <w:rPr>
          <w:rFonts w:hint="eastAsia" w:cs="黑体" w:asciiTheme="minorEastAsia" w:hAnsiTheme="minorEastAsia"/>
          <w:color w:val="000000"/>
          <w:sz w:val="28"/>
          <w:szCs w:val="28"/>
        </w:rPr>
        <w:t>年度0个国有资本经营预算项目支出开展绩效自评，共涉及资金0万元，占国有资本经营预算项目支出总额的0</w:t>
      </w:r>
      <w:r>
        <w:rPr>
          <w:rFonts w:cs="黑体" w:asciiTheme="minorEastAsia" w:hAnsiTheme="minorEastAsia"/>
          <w:color w:val="000000"/>
          <w:sz w:val="28"/>
          <w:szCs w:val="28"/>
        </w:rPr>
        <w:t>%</w:t>
      </w:r>
      <w:r>
        <w:rPr>
          <w:rFonts w:hint="eastAsia" w:cs="黑体" w:asciiTheme="minorEastAsia" w:hAnsiTheme="minorEastAsia"/>
          <w:color w:val="000000"/>
          <w:sz w:val="28"/>
          <w:szCs w:val="28"/>
        </w:rPr>
        <w:t>。</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单位项目资金其主要是确保本单位的正常运转，保障各项涉侨事务顺利完成。在人员经费支出、公共经费支出严格执行县委县政府的各项制度；在项目经费的使用上，在保证各项华侨事务任务顺利完成的同时，严格落实厉行节约的原则；三公经费的使用严格按照预算执行。根据部门整体支出绩效评价指标体系，我单位2021年度评价得分为95.75分。部门整体支出绩效情况如下：</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1. 预算配置控制较好得13.75分。其中：在职人员控制率：在职3人/编制4人*100%=75%（其中一人提前退休），得3.75分；“三公”经费中,公务接待费按要求无增加,变动率小于0，得5分。</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2. 预算执行比较到位得15分。（1）预算完成率=（上年结转2.4万元+年初预算数56.85万元+本年追加预算5.55万元-年末结余0万元）/(上年结转2.4万元+年初预算数56.85万元+本年追加预算5.55万元)*100%=100%，得5分。（2）预算调整率=（本年追加预算5.55万元/年初预算数56.85万元）*100%，小于10%，得5分，</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3. 预算管理较理想，制度执行总体较为有效；未完全执行公务卡刷卡得0分，得12分。</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4.资产管理较理想得10分，固定资产利用率=100%，得10分。</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5.职责履行得25分：2021年我单位在全体干部职工的共同努力下圆满出色完成了各项工作目标和任务。</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6.履职效益得20分。（1）经济效益、社会效益、生态效益得15分：我单位的各方面工作都得到侨界群众的肯定和好评。（2）社会公众或服务对象满意度得5分：在年度绩效考核中成绩优异。</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按照财政绩效部门要求随同部门决算一同公开的绩效信息，绩效评价报告已作为第五部分附件中公开。</w:t>
      </w:r>
    </w:p>
    <w:p>
      <w:pPr>
        <w:pStyle w:val="5"/>
        <w:ind w:firstLine="640" w:firstLineChars="200"/>
        <w:jc w:val="both"/>
        <w:rPr>
          <w:rFonts w:hAnsi="黑体"/>
          <w:sz w:val="32"/>
          <w:szCs w:val="32"/>
        </w:rPr>
      </w:pPr>
      <w:r>
        <w:rPr>
          <w:rFonts w:hint="eastAsia" w:hAnsi="黑体"/>
          <w:sz w:val="32"/>
          <w:szCs w:val="32"/>
        </w:rPr>
        <w:t>第四部分 名词解释</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一、收入科目</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财政拨款收入：指财政当年</w:t>
      </w:r>
      <w:bookmarkStart w:id="2" w:name="_GoBack"/>
      <w:r>
        <w:rPr>
          <w:rFonts w:hint="eastAsia" w:asciiTheme="minorEastAsia" w:hAnsiTheme="minorEastAsia" w:eastAsiaTheme="minorEastAsia" w:cstheme="minorEastAsia"/>
          <w:sz w:val="28"/>
          <w:szCs w:val="28"/>
        </w:rPr>
        <w:t>拨付</w:t>
      </w:r>
      <w:bookmarkEnd w:id="2"/>
      <w:r>
        <w:rPr>
          <w:rFonts w:hint="eastAsia" w:asciiTheme="minorEastAsia" w:hAnsiTheme="minorEastAsia" w:eastAsiaTheme="minorEastAsia" w:cstheme="minorEastAsia"/>
          <w:sz w:val="28"/>
          <w:szCs w:val="28"/>
        </w:rPr>
        <w:t>的资金。</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二、支出科目</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1.基本支出：指为保障机构正常运转、完成日常工作任务而发生的人员支出和公用支出。</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2.项目支出：指在基本支出之外为完成特定行政任务和事业发展目标所发生的支出。</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3.年末结转和结余：指本年度或以前年度预算安排、因客观条件发生变化无法按原计划实施，需延迟到以后年度按有关规定继续使用的资金。</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三、“三公”经费</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四、机关运行经费</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是指各部门的公用经费，包括办公及印刷费、邮电费、差旅费、会议费、福利费、日常维修费、专用资料及一般设备购置费、办公用房水电费、网络租赁费、办公用房取暖费、办公用房物业管理费、公务用车运行维护费以及其他费用。</w:t>
      </w:r>
    </w:p>
    <w:p>
      <w:pPr>
        <w:pStyle w:val="5"/>
        <w:ind w:firstLine="640" w:firstLineChars="200"/>
        <w:jc w:val="both"/>
        <w:rPr>
          <w:rFonts w:hAnsi="黑体"/>
          <w:sz w:val="32"/>
          <w:szCs w:val="32"/>
        </w:rPr>
      </w:pPr>
      <w:r>
        <w:rPr>
          <w:rFonts w:hint="eastAsia" w:hAnsi="黑体"/>
          <w:sz w:val="32"/>
          <w:szCs w:val="32"/>
        </w:rPr>
        <w:t>第五部分 附件</w:t>
      </w:r>
    </w:p>
    <w:p>
      <w:pPr>
        <w:ind w:firstLine="560" w:firstLineChars="200"/>
        <w:jc w:val="center"/>
        <w:rPr>
          <w:rFonts w:asciiTheme="minorEastAsia" w:hAnsiTheme="minorEastAsia" w:cstheme="minorEastAsia"/>
          <w:b/>
          <w:color w:val="000000"/>
          <w:kern w:val="0"/>
          <w:sz w:val="28"/>
          <w:szCs w:val="28"/>
        </w:rPr>
      </w:pPr>
      <w:r>
        <w:rPr>
          <w:rFonts w:hint="eastAsia" w:asciiTheme="minorEastAsia" w:hAnsiTheme="minorEastAsia" w:cstheme="minorEastAsia"/>
          <w:b/>
          <w:color w:val="000000"/>
          <w:kern w:val="0"/>
          <w:sz w:val="28"/>
          <w:szCs w:val="28"/>
        </w:rPr>
        <w:t>2021年度部门整体支出绩效评价报告</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一、部门概况</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（一）部门基本情况</w:t>
      </w:r>
    </w:p>
    <w:p>
      <w:pPr>
        <w:pStyle w:val="2"/>
        <w:widowControl/>
        <w:spacing w:beforeAutospacing="0" w:afterAutospacing="0"/>
        <w:ind w:firstLine="600"/>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①部门职责</w:t>
      </w:r>
    </w:p>
    <w:p>
      <w:pPr>
        <w:widowControl/>
        <w:ind w:firstLine="64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1.贯彻党和政府的各项侨务政策、法规；调查本辖区侨情和开展侨务工作，协调有关部门解决涉及华侨、华人和归侨、侨眷的事项；在上级部门的指导下进行侨务宣传工作。2.根据《中华人民共和国归侨侨眷权益保护法》等有关法律、法规，依法维护归侨、侨眷的合法权益。3.配合有关部门做好困难归侨、侨眷救济和扶贫致富工作。4.协调华侨、华人、港澳同胞重点人士的联谊、接待工作，配合有关部门开展海外联谊与经济、技术、文化合作与交流。5.会同有关部门贯彻执行引进华侨、华人资金、技术、人才的方针、政策，推动引进华侨、华人资金、技术、人才等工作。6.宣传引导归侨、侨眷利用侨汇集资兴办集体、个体私营企业。7.承办上级相关部门和县委、县政府交办的其他事项。</w:t>
      </w:r>
    </w:p>
    <w:p>
      <w:pPr>
        <w:widowControl/>
        <w:ind w:firstLine="627"/>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②机构设置及部门预算单位构成：根据编委核定，我局内设股室1个，所属事业单位0个，内设股室是办公室。所属事业单位无。2021年部门预算单位构成情况：本部门现人员编制3人，实有在职人员4人，实有车辆0台</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（二）2021年部门支出64.8万元，其中财政日常经费拨款64.8万元。</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二、部门整体支出使用情况</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（一）基本支出</w:t>
      </w:r>
    </w:p>
    <w:p>
      <w:pPr>
        <w:pStyle w:val="2"/>
        <w:widowControl/>
        <w:spacing w:beforeAutospacing="0" w:afterAutospacing="0"/>
        <w:ind w:firstLine="560" w:firstLineChars="200"/>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1、2021年度财政拨款基本支出64.8万元，其中：人员经费43.4万元，占基本支出的67%,主要包括基本工资、津贴补贴、绩效工资、机关事业单位基本养老保险缴费、职业年金缴费、职工基本医疗保险缴费等支出；公用经费21.4万元，占基本支出的33%，主要包括办公费、印刷费、邮电费、差旅费、培训费、公务接待费、其他交通费等支出。</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2、2021年“三公”经费支出数为1万元，其中，公务接待费1万元，公务用车购置及运行费 0 万元（其中，公务用车购置费0万元，公务用车运行费 0 万元，因公出国（境）费0万元。与上年“三公”经费持平，主要是严格按照预算执行，严格控制“三公”经费支出。</w:t>
      </w:r>
    </w:p>
    <w:p>
      <w:pPr>
        <w:widowControl/>
        <w:adjustRightInd w:val="0"/>
        <w:ind w:firstLine="560" w:firstLineChars="20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（二）项目支出</w:t>
      </w:r>
    </w:p>
    <w:p>
      <w:pPr>
        <w:widowControl/>
        <w:adjustRightInd w:val="0"/>
        <w:ind w:left="558" w:leftChars="266"/>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本单位项目资金其主要是确保本单位的正常运转，保障各项涉侨事务顺利完成。三、部门整体支出绩效情况</w:t>
      </w:r>
    </w:p>
    <w:p>
      <w:pPr>
        <w:pStyle w:val="2"/>
        <w:widowControl/>
        <w:shd w:val="clear" w:color="auto" w:fill="FFFFFF"/>
        <w:spacing w:beforeAutospacing="0" w:afterAutospacing="0" w:line="580" w:lineRule="exact"/>
        <w:ind w:firstLine="560" w:firstLineChars="200"/>
        <w:jc w:val="both"/>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2021年，县侨联在县委、县政府的正确领导和市侨联的指导下，充分发挥侨联的特点和优势，大力团结凝聚全县归侨侨眷和海外侨胞，全面贯彻党的十九大和十九届二中、三中、四中、五中全会精神，紧紧围绕县委、县政府的中心工作履行职能，解放思想、开拓创新、振奋精神、克难奋进，取得了较好的成绩。</w:t>
      </w:r>
    </w:p>
    <w:p>
      <w:pPr>
        <w:pStyle w:val="2"/>
        <w:widowControl/>
        <w:shd w:val="clear" w:color="auto" w:fill="FFFFFF"/>
        <w:spacing w:beforeAutospacing="0" w:afterAutospacing="0" w:line="580" w:lineRule="exact"/>
        <w:ind w:firstLine="560" w:firstLineChars="200"/>
        <w:jc w:val="both"/>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1、突出思想政治引领。坚持以习近平新时代中国特色社会主义思想统领侨联工作，将其作为引领侨界群众的第一位任务。组织侨界群众开展</w:t>
      </w:r>
      <w:r>
        <w:rPr>
          <w:rFonts w:hint="eastAsia" w:asciiTheme="minorEastAsia" w:hAnsiTheme="minorEastAsia" w:cstheme="minorEastAsia"/>
          <w:color w:val="000000"/>
          <w:sz w:val="28"/>
          <w:szCs w:val="28"/>
          <w:lang w:eastAsia="zh-CN"/>
        </w:rPr>
        <w:t>党史学习教育</w:t>
      </w:r>
      <w:r>
        <w:rPr>
          <w:rFonts w:hint="eastAsia" w:asciiTheme="minorEastAsia" w:hAnsiTheme="minorEastAsia" w:cstheme="minorEastAsia"/>
          <w:color w:val="000000"/>
          <w:sz w:val="28"/>
          <w:szCs w:val="28"/>
        </w:rPr>
        <w:t>，集中传达学习</w:t>
      </w:r>
      <w:r>
        <w:rPr>
          <w:rFonts w:hint="eastAsia" w:asciiTheme="minorEastAsia" w:hAnsiTheme="minorEastAsia" w:cstheme="minorEastAsia"/>
          <w:color w:val="000000"/>
          <w:sz w:val="28"/>
          <w:szCs w:val="28"/>
          <w:lang w:eastAsia="zh-CN"/>
        </w:rPr>
        <w:t>习近平总书记“七一”重要讲话精神</w:t>
      </w:r>
      <w:r>
        <w:rPr>
          <w:rFonts w:hint="eastAsia" w:asciiTheme="minorEastAsia" w:hAnsiTheme="minorEastAsia" w:cstheme="minorEastAsia"/>
          <w:color w:val="000000"/>
          <w:sz w:val="28"/>
          <w:szCs w:val="28"/>
        </w:rPr>
        <w:t>、</w:t>
      </w:r>
      <w:r>
        <w:rPr>
          <w:rFonts w:hint="eastAsia" w:asciiTheme="minorEastAsia" w:hAnsiTheme="minorEastAsia" w:cstheme="minorEastAsia"/>
          <w:color w:val="000000"/>
          <w:sz w:val="28"/>
          <w:szCs w:val="28"/>
          <w:lang w:eastAsia="zh-CN"/>
        </w:rPr>
        <w:t>习近平总书记在纪念辛亥革命110周年大会上的重要讲话精神</w:t>
      </w:r>
      <w:r>
        <w:rPr>
          <w:rFonts w:hint="eastAsia" w:asciiTheme="minorEastAsia" w:hAnsiTheme="minorEastAsia" w:cstheme="minorEastAsia"/>
          <w:color w:val="000000"/>
          <w:sz w:val="28"/>
          <w:szCs w:val="28"/>
        </w:rPr>
        <w:t>和十九届六中全会精神，不断增强侨界群众的思想政治认同，最大限度把侨界群众团结凝聚在</w:t>
      </w:r>
      <w:r>
        <w:rPr>
          <w:rFonts w:hint="eastAsia" w:asciiTheme="minorEastAsia" w:hAnsiTheme="minorEastAsia" w:cstheme="minorEastAsia"/>
          <w:color w:val="000000"/>
          <w:sz w:val="28"/>
          <w:szCs w:val="28"/>
          <w:lang w:eastAsia="zh-CN"/>
        </w:rPr>
        <w:t>县委、县政府</w:t>
      </w:r>
      <w:r>
        <w:rPr>
          <w:rFonts w:hint="eastAsia" w:asciiTheme="minorEastAsia" w:hAnsiTheme="minorEastAsia" w:cstheme="minorEastAsia"/>
          <w:color w:val="000000"/>
          <w:sz w:val="28"/>
          <w:szCs w:val="28"/>
        </w:rPr>
        <w:t>的周围，画好最大侨界同心圆。</w:t>
      </w:r>
    </w:p>
    <w:p>
      <w:pPr>
        <w:spacing w:line="58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2、加大侨法宣传力度。为进一步增强全社会法治观念，营造“亲侨、爱侨、护侨”的良好氛围，一是由县委统战部、县侨联联合在县文体中心主办以“侨法宣传”、“民族团结进步宣传”、“反恐宣传”为主题的综合性宣传活动，设计制作了专题宣传海报、悬挂了宣传标语，向群众现场发放了涉侨政策、民族团结、反恐知识等各类宣传单5000多份，宣传册子2000多份。二是在“新田侨联”微信公众号开设普法栏目，系列解读涉侨法律法规。</w:t>
      </w:r>
    </w:p>
    <w:p>
      <w:pPr>
        <w:spacing w:line="58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3、开展丰富多彩的联络联谊活动。</w:t>
      </w:r>
      <w:r>
        <w:rPr>
          <w:rFonts w:hint="eastAsia" w:asciiTheme="minorEastAsia" w:hAnsiTheme="minorEastAsia" w:cstheme="minorEastAsia"/>
          <w:color w:val="000000"/>
          <w:kern w:val="0"/>
          <w:sz w:val="28"/>
          <w:szCs w:val="28"/>
        </w:rPr>
        <w:sym w:font="Wingdings" w:char="F081"/>
      </w:r>
      <w:r>
        <w:rPr>
          <w:rFonts w:hint="eastAsia" w:asciiTheme="minorEastAsia" w:hAnsiTheme="minorEastAsia" w:cstheme="minorEastAsia"/>
          <w:color w:val="000000"/>
          <w:kern w:val="0"/>
          <w:sz w:val="28"/>
          <w:szCs w:val="28"/>
        </w:rPr>
        <w:t>侨界共庆建党百年“侨心永向党”活动。组织侨界群众学红歌、唱红歌，“心里有话向党说”等活动，拍摄“侨心永向党”视频在湖南电视台海外频道播出，营造侨心向党，侨界共庆建党百年的浓厚氛围，共同庆祝中国共产党建党100周年。</w:t>
      </w:r>
      <w:r>
        <w:rPr>
          <w:rFonts w:hint="eastAsia" w:asciiTheme="minorEastAsia" w:hAnsiTheme="minorEastAsia" w:cstheme="minorEastAsia"/>
          <w:color w:val="000000"/>
          <w:kern w:val="0"/>
          <w:sz w:val="28"/>
          <w:szCs w:val="28"/>
        </w:rPr>
        <w:sym w:font="Wingdings" w:char="F082"/>
      </w:r>
      <w:r>
        <w:rPr>
          <w:rFonts w:hint="eastAsia" w:asciiTheme="minorEastAsia" w:hAnsiTheme="minorEastAsia" w:cstheme="minorEastAsia"/>
          <w:color w:val="000000"/>
          <w:kern w:val="0"/>
          <w:sz w:val="28"/>
          <w:szCs w:val="28"/>
        </w:rPr>
        <w:t>在第四十三个植树节，新田县侨联组织开展了植树活动。县侨联全体机关干部职工、县侨联委员、侨界代表人士等20余人参加了活动。与当地干部群众一起参加植树活动，共同携手栽下一棵棵同心树。</w:t>
      </w:r>
    </w:p>
    <w:p>
      <w:pPr>
        <w:spacing w:line="58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4、开展走访慰问活动。为切实把党和政府的温暖送到归侨侨眷的心中，市侨联党组书记柏继平等市侨联领导深入我县实地走访慰问；县侨联在元旦、春节以及中秋、重阳节等期间，开展走访慰问活动，走访慰问侨界代表人士和困难侨眷属30多人次，发放慰问金、慰问物资5万余元。</w:t>
      </w:r>
    </w:p>
    <w:p>
      <w:pPr>
        <w:pStyle w:val="2"/>
        <w:widowControl/>
        <w:spacing w:beforeAutospacing="0" w:afterAutospacing="0" w:line="580" w:lineRule="exact"/>
        <w:ind w:firstLine="560" w:firstLineChars="200"/>
        <w:jc w:val="both"/>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5、协助华人华侨开展助学帮困工作。联络马来西亚华人王国丰先生“王国丰慈善助学会”助学新田贫困学生。受疫情影响，王国丰先生人没有到新田来，但通过汇款的方式，资助新田一中、二中、瑞华学校的贫困学生和大学生贫困新生计人民币84万余元。</w:t>
      </w:r>
    </w:p>
    <w:p>
      <w:pPr>
        <w:pStyle w:val="2"/>
        <w:widowControl/>
        <w:spacing w:beforeAutospacing="0" w:afterAutospacing="0" w:line="580" w:lineRule="exact"/>
        <w:ind w:firstLine="560" w:firstLineChars="200"/>
        <w:jc w:val="both"/>
        <w:rPr>
          <w:rFonts w:asciiTheme="minorEastAsia" w:hAnsiTheme="minorEastAsia" w:cstheme="minorEastAsia"/>
          <w:color w:val="000000"/>
          <w:sz w:val="28"/>
          <w:szCs w:val="28"/>
        </w:rPr>
      </w:pPr>
      <w:r>
        <w:rPr>
          <w:rFonts w:hint="eastAsia" w:asciiTheme="minorEastAsia" w:hAnsiTheme="minorEastAsia" w:cstheme="minorEastAsia"/>
          <w:color w:val="000000"/>
          <w:sz w:val="28"/>
          <w:szCs w:val="28"/>
        </w:rPr>
        <w:t>6、完成申报“蒋先云故居”为湖南省华侨文化交流基地。为提升新田县全球知名度，今年4月份，县侨联积极向省侨联申报“蒋先云故居”为湖南省华侨文化交流基地。目前，各项申报工作已完成，待省侨联等有关部门审核验收通过。</w:t>
      </w:r>
    </w:p>
    <w:p>
      <w:pPr>
        <w:widowControl/>
        <w:shd w:val="clear" w:color="auto" w:fill="FFFFFF"/>
        <w:spacing w:line="580" w:lineRule="exact"/>
        <w:ind w:firstLine="640"/>
        <w:jc w:val="left"/>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7、积极服务中心工作。积极参加乡村振兴、疫情防控、巩卫创文、扫黑除恶、美丽乡村建设等中心工作。</w:t>
      </w:r>
    </w:p>
    <w:p>
      <w:pPr>
        <w:widowControl/>
        <w:adjustRightInd w:val="0"/>
        <w:ind w:firstLine="700" w:firstLineChars="250"/>
        <w:jc w:val="left"/>
        <w:rPr>
          <w:rFonts w:asciiTheme="minorEastAsia" w:hAnsiTheme="minorEastAsia" w:cstheme="minorEastAsia"/>
          <w:color w:val="000000"/>
          <w:kern w:val="0"/>
          <w:sz w:val="28"/>
          <w:szCs w:val="28"/>
        </w:rPr>
      </w:pPr>
    </w:p>
    <w:p>
      <w:pPr>
        <w:rPr>
          <w:rFonts w:asciiTheme="minorEastAsia" w:hAnsiTheme="minorEastAsia" w:cstheme="minorEastAsia"/>
          <w:color w:val="000000"/>
          <w:kern w:val="0"/>
          <w:sz w:val="28"/>
          <w:szCs w:val="28"/>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0000000000000000000"/>
    <w:charset w:val="86"/>
    <w:family w:val="auto"/>
    <w:pitch w:val="default"/>
    <w:sig w:usb0="00000000" w:usb1="00000000" w:usb2="00000010" w:usb3="00000000" w:csb0="0004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hideGrammatical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mQ0ZTZlNzg3ZTdlMzI2NjA4Yjk1ZTQ1MGViODEzZTEifQ=="/>
    <w:docVar w:name="KSO_WPS_MARK_KEY" w:val="dab88118-bbd5-4270-b82c-a42cd8cb5343"/>
  </w:docVars>
  <w:rsids>
    <w:rsidRoot w:val="196D3D59"/>
    <w:rsid w:val="004A26FE"/>
    <w:rsid w:val="006A0E01"/>
    <w:rsid w:val="00A566D5"/>
    <w:rsid w:val="015E4AD6"/>
    <w:rsid w:val="01C44E7D"/>
    <w:rsid w:val="022D3616"/>
    <w:rsid w:val="02B659C3"/>
    <w:rsid w:val="04742321"/>
    <w:rsid w:val="04D41FFA"/>
    <w:rsid w:val="064047AA"/>
    <w:rsid w:val="06983C28"/>
    <w:rsid w:val="07465DF0"/>
    <w:rsid w:val="078B5EF9"/>
    <w:rsid w:val="079E5C2C"/>
    <w:rsid w:val="07DE2CD3"/>
    <w:rsid w:val="07E23C72"/>
    <w:rsid w:val="07EA0E72"/>
    <w:rsid w:val="081638D9"/>
    <w:rsid w:val="083309D2"/>
    <w:rsid w:val="0A3D172D"/>
    <w:rsid w:val="0B065FC2"/>
    <w:rsid w:val="0BD95485"/>
    <w:rsid w:val="0CAF15D3"/>
    <w:rsid w:val="0CC858E1"/>
    <w:rsid w:val="0CEC11E8"/>
    <w:rsid w:val="0D913229"/>
    <w:rsid w:val="0DC857B1"/>
    <w:rsid w:val="0E0610E3"/>
    <w:rsid w:val="0E15476E"/>
    <w:rsid w:val="0E3966AF"/>
    <w:rsid w:val="0E99714E"/>
    <w:rsid w:val="109E6C9D"/>
    <w:rsid w:val="10A30CD6"/>
    <w:rsid w:val="10B22749"/>
    <w:rsid w:val="11286567"/>
    <w:rsid w:val="12372F05"/>
    <w:rsid w:val="12474209"/>
    <w:rsid w:val="13390EFF"/>
    <w:rsid w:val="139F6FB4"/>
    <w:rsid w:val="13FC61B5"/>
    <w:rsid w:val="145F4995"/>
    <w:rsid w:val="14F11A91"/>
    <w:rsid w:val="152A6D51"/>
    <w:rsid w:val="156009C5"/>
    <w:rsid w:val="15A05265"/>
    <w:rsid w:val="16655860"/>
    <w:rsid w:val="16895CFA"/>
    <w:rsid w:val="16A32D08"/>
    <w:rsid w:val="17334649"/>
    <w:rsid w:val="17602A4A"/>
    <w:rsid w:val="17C76AD9"/>
    <w:rsid w:val="196D3D59"/>
    <w:rsid w:val="19CF6119"/>
    <w:rsid w:val="1A5D54D3"/>
    <w:rsid w:val="1AB31597"/>
    <w:rsid w:val="1AE9320B"/>
    <w:rsid w:val="1AF8344E"/>
    <w:rsid w:val="1B803B6F"/>
    <w:rsid w:val="1BC31CAE"/>
    <w:rsid w:val="1C27223D"/>
    <w:rsid w:val="1C4C33DE"/>
    <w:rsid w:val="1C5823F6"/>
    <w:rsid w:val="1C7D1E5D"/>
    <w:rsid w:val="1C901B90"/>
    <w:rsid w:val="1DE859FC"/>
    <w:rsid w:val="1E546D62"/>
    <w:rsid w:val="1E566E09"/>
    <w:rsid w:val="1E65704C"/>
    <w:rsid w:val="1E9C63F5"/>
    <w:rsid w:val="1ECC70CB"/>
    <w:rsid w:val="1F3262E4"/>
    <w:rsid w:val="1F5F1CED"/>
    <w:rsid w:val="1FFE32B4"/>
    <w:rsid w:val="21555156"/>
    <w:rsid w:val="218872DA"/>
    <w:rsid w:val="219A616E"/>
    <w:rsid w:val="221A5FAF"/>
    <w:rsid w:val="2254540E"/>
    <w:rsid w:val="228E048C"/>
    <w:rsid w:val="228F4698"/>
    <w:rsid w:val="22B67E76"/>
    <w:rsid w:val="23B56380"/>
    <w:rsid w:val="241E5CD3"/>
    <w:rsid w:val="25E71680"/>
    <w:rsid w:val="26AF5308"/>
    <w:rsid w:val="28477D86"/>
    <w:rsid w:val="29D55086"/>
    <w:rsid w:val="2AEB08D9"/>
    <w:rsid w:val="2B536BAA"/>
    <w:rsid w:val="2BF437BD"/>
    <w:rsid w:val="2C6D3C9C"/>
    <w:rsid w:val="2D9C5EBB"/>
    <w:rsid w:val="2E0E6DB8"/>
    <w:rsid w:val="2F9874C3"/>
    <w:rsid w:val="3163741B"/>
    <w:rsid w:val="31853836"/>
    <w:rsid w:val="32700042"/>
    <w:rsid w:val="32B37F2E"/>
    <w:rsid w:val="32C90D6F"/>
    <w:rsid w:val="33590AD6"/>
    <w:rsid w:val="34993154"/>
    <w:rsid w:val="34A342E3"/>
    <w:rsid w:val="34E940DB"/>
    <w:rsid w:val="35333C44"/>
    <w:rsid w:val="357B026C"/>
    <w:rsid w:val="35D72186"/>
    <w:rsid w:val="36DC4165"/>
    <w:rsid w:val="371371EE"/>
    <w:rsid w:val="372238D5"/>
    <w:rsid w:val="37824373"/>
    <w:rsid w:val="379A1CEF"/>
    <w:rsid w:val="37DC1CD5"/>
    <w:rsid w:val="37F92887"/>
    <w:rsid w:val="383F5EE0"/>
    <w:rsid w:val="386A72E1"/>
    <w:rsid w:val="38D86941"/>
    <w:rsid w:val="39F07CBA"/>
    <w:rsid w:val="3A563FC1"/>
    <w:rsid w:val="3A77045D"/>
    <w:rsid w:val="3B412B8D"/>
    <w:rsid w:val="3B9A7EDD"/>
    <w:rsid w:val="3C5502A8"/>
    <w:rsid w:val="3CE86374"/>
    <w:rsid w:val="3CF17FD1"/>
    <w:rsid w:val="3D67388F"/>
    <w:rsid w:val="3DB32CBD"/>
    <w:rsid w:val="3DDD67A7"/>
    <w:rsid w:val="3EFD6EE9"/>
    <w:rsid w:val="40B27A77"/>
    <w:rsid w:val="42116A20"/>
    <w:rsid w:val="42171BFF"/>
    <w:rsid w:val="426B25D4"/>
    <w:rsid w:val="42C27EFF"/>
    <w:rsid w:val="42D77C69"/>
    <w:rsid w:val="42EA4F30"/>
    <w:rsid w:val="43D45F57"/>
    <w:rsid w:val="440D34F5"/>
    <w:rsid w:val="445F3A72"/>
    <w:rsid w:val="44FC5765"/>
    <w:rsid w:val="462E5DF2"/>
    <w:rsid w:val="465F5FAB"/>
    <w:rsid w:val="466E4440"/>
    <w:rsid w:val="46821DE0"/>
    <w:rsid w:val="46B8390E"/>
    <w:rsid w:val="46F55EAD"/>
    <w:rsid w:val="47176886"/>
    <w:rsid w:val="47523D62"/>
    <w:rsid w:val="47543636"/>
    <w:rsid w:val="479003E6"/>
    <w:rsid w:val="47FD5A57"/>
    <w:rsid w:val="495E69EE"/>
    <w:rsid w:val="49706721"/>
    <w:rsid w:val="4A314103"/>
    <w:rsid w:val="4AB43F58"/>
    <w:rsid w:val="4C107D48"/>
    <w:rsid w:val="4C8E2E4B"/>
    <w:rsid w:val="4CAF57B3"/>
    <w:rsid w:val="4DAC33D7"/>
    <w:rsid w:val="4DB14F5C"/>
    <w:rsid w:val="4E12250E"/>
    <w:rsid w:val="4E712D20"/>
    <w:rsid w:val="4F9B12BB"/>
    <w:rsid w:val="4FAD2421"/>
    <w:rsid w:val="4FB355BA"/>
    <w:rsid w:val="4FF017E7"/>
    <w:rsid w:val="501047BA"/>
    <w:rsid w:val="5313200B"/>
    <w:rsid w:val="53762B86"/>
    <w:rsid w:val="53FE4A87"/>
    <w:rsid w:val="554C1DF1"/>
    <w:rsid w:val="561B7A15"/>
    <w:rsid w:val="56B75990"/>
    <w:rsid w:val="5753429D"/>
    <w:rsid w:val="589917F1"/>
    <w:rsid w:val="58BE1257"/>
    <w:rsid w:val="592B61C1"/>
    <w:rsid w:val="592D018B"/>
    <w:rsid w:val="5A5C0D28"/>
    <w:rsid w:val="5AC260CE"/>
    <w:rsid w:val="5BED59B0"/>
    <w:rsid w:val="5C11169E"/>
    <w:rsid w:val="5C961BA3"/>
    <w:rsid w:val="5CC96947"/>
    <w:rsid w:val="5E6A778C"/>
    <w:rsid w:val="5F030EC2"/>
    <w:rsid w:val="5F1612BF"/>
    <w:rsid w:val="60B82A30"/>
    <w:rsid w:val="62642B41"/>
    <w:rsid w:val="627B167E"/>
    <w:rsid w:val="62BF00A6"/>
    <w:rsid w:val="6315416A"/>
    <w:rsid w:val="63161C90"/>
    <w:rsid w:val="63163A3E"/>
    <w:rsid w:val="63E9766D"/>
    <w:rsid w:val="654F3237"/>
    <w:rsid w:val="65735178"/>
    <w:rsid w:val="65F02CD3"/>
    <w:rsid w:val="67334BBF"/>
    <w:rsid w:val="6826679A"/>
    <w:rsid w:val="685A43CD"/>
    <w:rsid w:val="68792AA5"/>
    <w:rsid w:val="68D26659"/>
    <w:rsid w:val="68D93544"/>
    <w:rsid w:val="68F91E38"/>
    <w:rsid w:val="69823BDB"/>
    <w:rsid w:val="6A9F31BA"/>
    <w:rsid w:val="6B735ED1"/>
    <w:rsid w:val="6BB362CE"/>
    <w:rsid w:val="6C6049F0"/>
    <w:rsid w:val="6C6A09BC"/>
    <w:rsid w:val="6D761CA9"/>
    <w:rsid w:val="6E1B2BD6"/>
    <w:rsid w:val="6E4771A1"/>
    <w:rsid w:val="6E687D9A"/>
    <w:rsid w:val="6E82467D"/>
    <w:rsid w:val="6F2474E3"/>
    <w:rsid w:val="6F5A2F04"/>
    <w:rsid w:val="709B10D0"/>
    <w:rsid w:val="70F133F4"/>
    <w:rsid w:val="71062E85"/>
    <w:rsid w:val="712D6B22"/>
    <w:rsid w:val="71812BC5"/>
    <w:rsid w:val="71BB2380"/>
    <w:rsid w:val="71CD20B4"/>
    <w:rsid w:val="750C4CA1"/>
    <w:rsid w:val="75C72540"/>
    <w:rsid w:val="75F034DD"/>
    <w:rsid w:val="765F1DEE"/>
    <w:rsid w:val="7780359C"/>
    <w:rsid w:val="77F02658"/>
    <w:rsid w:val="780507EE"/>
    <w:rsid w:val="781520BE"/>
    <w:rsid w:val="790A7FD0"/>
    <w:rsid w:val="793F3897"/>
    <w:rsid w:val="79A16666"/>
    <w:rsid w:val="7A9674E6"/>
    <w:rsid w:val="7B000E04"/>
    <w:rsid w:val="7B1D15A2"/>
    <w:rsid w:val="7BD86A8D"/>
    <w:rsid w:val="7BEC1388"/>
    <w:rsid w:val="7C3A1A78"/>
    <w:rsid w:val="7CD442F6"/>
    <w:rsid w:val="7E232498"/>
    <w:rsid w:val="7E7B3392"/>
    <w:rsid w:val="7ED93E46"/>
    <w:rsid w:val="7EE36A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paragraph" w:customStyle="1" w:styleId="5">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21</Pages>
  <Words>8399</Words>
  <Characters>9312</Characters>
  <Lines>87</Lines>
  <Paragraphs>24</Paragraphs>
  <TotalTime>2</TotalTime>
  <ScaleCrop>false</ScaleCrop>
  <LinksUpToDate>false</LinksUpToDate>
  <CharactersWithSpaces>11064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2022-10-31T03:14:00Z</dcterms:created>
  <dc:creator>Administrator</dc:creator>
  <cp:lastModifiedBy>Lemo.</cp:lastModifiedBy>
  <dcterms:modified xsi:type="dcterms:W3CDTF">2025-07-24T06:58:27Z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F0B5C7E89884482A8548E3738C2BF2E0</vt:lpwstr>
  </property>
</Properties>
</file>